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88265</wp:posOffset>
            </wp:positionV>
            <wp:extent cx="1892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5"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ANNUAL REPORT PURSUANT TO THE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-235585</wp:posOffset>
            </wp:positionV>
            <wp:extent cx="1892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720" w:hanging="685"/>
        <w:spacing w:after="0" w:line="212" w:lineRule="auto"/>
        <w:tabs>
          <w:tab w:leader="none" w:pos="7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95" w:lineRule="exact"/>
        <w:rPr>
          <w:sz w:val="24"/>
          <w:szCs w:val="24"/>
          <w:color w:val="auto"/>
        </w:rPr>
      </w:pPr>
    </w:p>
    <w:p>
      <w:pPr>
        <w:ind w:left="38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1-07533</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FEDERAL REALTY INVESTMENT TRUST</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144"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4020" w:type="dxa"/>
            <w:vAlign w:val="bottom"/>
          </w:tcPr>
          <w:p>
            <w:pPr>
              <w:jc w:val="center"/>
              <w:ind w:right="259"/>
              <w:spacing w:after="0"/>
              <w:rPr>
                <w:sz w:val="20"/>
                <w:szCs w:val="20"/>
                <w:color w:val="auto"/>
              </w:rPr>
            </w:pPr>
            <w:r>
              <w:rPr>
                <w:rFonts w:ascii="Arial" w:cs="Arial" w:eastAsia="Arial" w:hAnsi="Arial"/>
                <w:sz w:val="18"/>
                <w:szCs w:val="18"/>
                <w:b w:val="1"/>
                <w:bCs w:val="1"/>
                <w:color w:val="auto"/>
                <w:w w:val="96"/>
              </w:rPr>
              <w:t>Maryland</w:t>
            </w:r>
          </w:p>
        </w:tc>
        <w:tc>
          <w:tcPr>
            <w:tcW w:w="4800" w:type="dxa"/>
            <w:vAlign w:val="bottom"/>
          </w:tcPr>
          <w:p>
            <w:pPr>
              <w:jc w:val="right"/>
              <w:ind w:right="537"/>
              <w:spacing w:after="0"/>
              <w:rPr>
                <w:sz w:val="20"/>
                <w:szCs w:val="20"/>
                <w:color w:val="auto"/>
              </w:rPr>
            </w:pPr>
            <w:r>
              <w:rPr>
                <w:rFonts w:ascii="Arial" w:cs="Arial" w:eastAsia="Arial" w:hAnsi="Arial"/>
                <w:sz w:val="18"/>
                <w:szCs w:val="18"/>
                <w:b w:val="1"/>
                <w:bCs w:val="1"/>
                <w:color w:val="auto"/>
              </w:rPr>
              <w:t>52-0782497</w:t>
            </w:r>
          </w:p>
        </w:tc>
      </w:tr>
      <w:tr>
        <w:trPr>
          <w:trHeight w:val="217"/>
        </w:trPr>
        <w:tc>
          <w:tcPr>
            <w:tcW w:w="402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(State of Organization)</w:t>
            </w:r>
          </w:p>
        </w:tc>
        <w:tc>
          <w:tcPr>
            <w:tcW w:w="4800" w:type="dxa"/>
            <w:vAlign w:val="bottom"/>
          </w:tcPr>
          <w:p>
            <w:pPr>
              <w:jc w:val="center"/>
              <w:ind w:left="2617"/>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76"/>
        </w:trPr>
        <w:tc>
          <w:tcPr>
            <w:tcW w:w="4020" w:type="dxa"/>
            <w:vAlign w:val="bottom"/>
          </w:tcPr>
          <w:p>
            <w:pPr>
              <w:jc w:val="center"/>
              <w:ind w:right="259"/>
              <w:spacing w:after="0"/>
              <w:rPr>
                <w:sz w:val="20"/>
                <w:szCs w:val="20"/>
                <w:color w:val="auto"/>
              </w:rPr>
            </w:pPr>
            <w:r>
              <w:rPr>
                <w:rFonts w:ascii="Arial" w:cs="Arial" w:eastAsia="Arial" w:hAnsi="Arial"/>
                <w:sz w:val="18"/>
                <w:szCs w:val="18"/>
                <w:b w:val="1"/>
                <w:bCs w:val="1"/>
                <w:color w:val="auto"/>
                <w:w w:val="91"/>
              </w:rPr>
              <w:t>1626 East Jefferson Street, Rockville, Maryland</w:t>
            </w:r>
          </w:p>
        </w:tc>
        <w:tc>
          <w:tcPr>
            <w:tcW w:w="4800" w:type="dxa"/>
            <w:vAlign w:val="bottom"/>
          </w:tcPr>
          <w:p>
            <w:pPr>
              <w:jc w:val="right"/>
              <w:ind w:right="737"/>
              <w:spacing w:after="0"/>
              <w:rPr>
                <w:sz w:val="20"/>
                <w:szCs w:val="20"/>
                <w:color w:val="auto"/>
              </w:rPr>
            </w:pPr>
            <w:r>
              <w:rPr>
                <w:rFonts w:ascii="Arial" w:cs="Arial" w:eastAsia="Arial" w:hAnsi="Arial"/>
                <w:sz w:val="18"/>
                <w:szCs w:val="18"/>
                <w:b w:val="1"/>
                <w:bCs w:val="1"/>
                <w:color w:val="auto"/>
              </w:rPr>
              <w:t>20852</w:t>
            </w:r>
          </w:p>
        </w:tc>
      </w:tr>
      <w:tr>
        <w:trPr>
          <w:trHeight w:val="217"/>
        </w:trPr>
        <w:tc>
          <w:tcPr>
            <w:tcW w:w="4020" w:type="dxa"/>
            <w:vAlign w:val="bottom"/>
          </w:tcPr>
          <w:p>
            <w:pPr>
              <w:jc w:val="center"/>
              <w:ind w:right="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800" w:type="dxa"/>
            <w:vAlign w:val="bottom"/>
          </w:tcPr>
          <w:p>
            <w:pPr>
              <w:jc w:val="center"/>
              <w:ind w:left="2617"/>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4020" w:type="dxa"/>
            <w:vAlign w:val="bottom"/>
          </w:tcPr>
          <w:p>
            <w:pPr>
              <w:spacing w:after="0"/>
              <w:rPr>
                <w:sz w:val="24"/>
                <w:szCs w:val="24"/>
                <w:color w:val="auto"/>
              </w:rPr>
            </w:pPr>
          </w:p>
        </w:tc>
        <w:tc>
          <w:tcPr>
            <w:tcW w:w="4800" w:type="dxa"/>
            <w:vAlign w:val="bottom"/>
          </w:tcPr>
          <w:p>
            <w:pPr>
              <w:jc w:val="right"/>
              <w:ind w:right="3257"/>
              <w:spacing w:after="0"/>
              <w:rPr>
                <w:sz w:val="20"/>
                <w:szCs w:val="20"/>
                <w:color w:val="auto"/>
              </w:rPr>
            </w:pPr>
            <w:r>
              <w:rPr>
                <w:rFonts w:ascii="Arial" w:cs="Arial" w:eastAsia="Arial" w:hAnsi="Arial"/>
                <w:sz w:val="18"/>
                <w:szCs w:val="18"/>
                <w:b w:val="1"/>
                <w:bCs w:val="1"/>
                <w:color w:val="auto"/>
              </w:rPr>
              <w:t>(301) 998-8100</w:t>
            </w:r>
          </w:p>
        </w:tc>
      </w:tr>
    </w:tbl>
    <w:p>
      <w:pPr>
        <w:spacing w:after="0" w:line="18"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580" w:type="dxa"/>
            <w:vAlign w:val="bottom"/>
          </w:tcPr>
          <w:p>
            <w:pPr>
              <w:spacing w:after="0"/>
              <w:rPr>
                <w:sz w:val="18"/>
                <w:szCs w:val="18"/>
                <w:color w:val="auto"/>
              </w:rPr>
            </w:pPr>
          </w:p>
        </w:tc>
        <w:tc>
          <w:tcPr>
            <w:tcW w:w="44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20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60" w:type="dxa"/>
            <w:vAlign w:val="bottom"/>
            <w:gridSpan w:val="2"/>
            <w:shd w:val="clear" w:color="auto" w:fill="000000"/>
          </w:tcPr>
          <w:p>
            <w:pPr>
              <w:spacing w:after="0" w:line="20" w:lineRule="exact"/>
              <w:rPr>
                <w:sz w:val="1"/>
                <w:szCs w:val="1"/>
                <w:color w:val="auto"/>
              </w:rPr>
            </w:pPr>
          </w:p>
        </w:tc>
      </w:tr>
      <w:tr>
        <w:trPr>
          <w:trHeight w:val="276"/>
        </w:trPr>
        <w:tc>
          <w:tcPr>
            <w:tcW w:w="606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Common Shares of Beneficial Interest, $.01 par value per share, with</w:t>
            </w:r>
          </w:p>
        </w:tc>
        <w:tc>
          <w:tcPr>
            <w:tcW w:w="840" w:type="dxa"/>
            <w:vAlign w:val="bottom"/>
          </w:tcPr>
          <w:p>
            <w:pPr>
              <w:spacing w:after="0"/>
              <w:rPr>
                <w:sz w:val="23"/>
                <w:szCs w:val="23"/>
                <w:color w:val="auto"/>
              </w:rPr>
            </w:pPr>
          </w:p>
        </w:tc>
        <w:tc>
          <w:tcPr>
            <w:tcW w:w="356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6060" w:type="dxa"/>
            <w:vAlign w:val="bottom"/>
            <w:gridSpan w:val="3"/>
          </w:tcPr>
          <w:p>
            <w:pPr>
              <w:jc w:val="center"/>
              <w:ind w:right="540"/>
              <w:spacing w:after="0"/>
              <w:rPr>
                <w:sz w:val="20"/>
                <w:szCs w:val="20"/>
                <w:color w:val="auto"/>
              </w:rPr>
            </w:pPr>
            <w:r>
              <w:rPr>
                <w:rFonts w:ascii="Arial" w:cs="Arial" w:eastAsia="Arial" w:hAnsi="Arial"/>
                <w:sz w:val="18"/>
                <w:szCs w:val="18"/>
                <w:color w:val="auto"/>
                <w:w w:val="88"/>
              </w:rPr>
              <w:t>associated Common Share Purchase Rights</w:t>
            </w:r>
          </w:p>
        </w:tc>
        <w:tc>
          <w:tcPr>
            <w:tcW w:w="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97"/>
        </w:trPr>
        <w:tc>
          <w:tcPr>
            <w:tcW w:w="60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7"/>
        </w:trPr>
        <w:tc>
          <w:tcPr>
            <w:tcW w:w="9240" w:type="dxa"/>
            <w:vAlign w:val="bottom"/>
            <w:gridSpan w:val="5"/>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Yes</w:t>
            </w:r>
          </w:p>
        </w:tc>
        <w:tc>
          <w:tcPr>
            <w:tcW w:w="12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r>
        <w:trPr>
          <w:trHeight w:val="283"/>
        </w:trPr>
        <w:tc>
          <w:tcPr>
            <w:tcW w:w="9240" w:type="dxa"/>
            <w:vAlign w:val="bottom"/>
            <w:gridSpan w:val="5"/>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w:t>
            </w: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Yes</w:t>
            </w:r>
          </w:p>
        </w:tc>
        <w:tc>
          <w:tcPr>
            <w:tcW w:w="12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bl>
    <w:p>
      <w:pPr>
        <w:spacing w:after="0" w:line="20" w:lineRule="exact"/>
        <w:rPr>
          <w:sz w:val="24"/>
          <w:szCs w:val="24"/>
          <w:color w:val="auto"/>
        </w:rPr>
      </w:pPr>
    </w:p>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 w:lineRule="exact"/>
        <w:rPr>
          <w:sz w:val="24"/>
          <w:szCs w:val="24"/>
          <w:color w:val="auto"/>
        </w:rPr>
      </w:pPr>
    </w:p>
    <w:p>
      <w:pPr>
        <w:ind w:right="360"/>
        <w:spacing w:after="0" w:line="34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00"/>
          </w:cols>
          <w:pgMar w:left="240" w:top="234" w:right="259" w:bottom="1440" w:gutter="0" w:footer="0" w:header="0"/>
        </w:sectPr>
      </w:pPr>
    </w:p>
    <w:p>
      <w:pPr>
        <w:spacing w:after="0" w:line="7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20" w:space="720"/>
            <w:col w:w="3960" w:space="720"/>
            <w:col w:w="3260" w:space="720"/>
            <w:col w:w="300"/>
          </w:cols>
          <w:pgMar w:left="240" w:top="234" w:right="25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02" w:lineRule="exact"/>
        <w:rPr>
          <w:sz w:val="24"/>
          <w:szCs w:val="24"/>
          <w:color w:val="auto"/>
        </w:rPr>
      </w:pPr>
    </w:p>
    <w:p>
      <w:pPr>
        <w:sectPr>
          <w:pgSz w:w="11900" w:h="16838" w:orient="portrait"/>
          <w:cols w:equalWidth="0" w:num="4">
            <w:col w:w="1720" w:space="720"/>
            <w:col w:w="3960" w:space="720"/>
            <w:col w:w="3260" w:space="720"/>
            <w:col w:w="300"/>
          </w:cols>
          <w:pgMar w:left="240" w:top="234" w:right="25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55" w:lineRule="exact"/>
        <w:rPr>
          <w:sz w:val="24"/>
          <w:szCs w:val="24"/>
          <w:color w:val="auto"/>
        </w:rPr>
      </w:pPr>
    </w:p>
    <w:p>
      <w:pPr>
        <w:sectPr>
          <w:pgSz w:w="11900" w:h="16838" w:orient="portrait"/>
          <w:cols w:equalWidth="0" w:num="5">
            <w:col w:w="8240" w:space="220"/>
            <w:col w:w="160" w:space="80"/>
            <w:col w:w="260" w:space="180"/>
            <w:col w:w="160" w:space="100"/>
            <w:col w:w="2000"/>
          </w:cols>
          <w:pgMar w:left="240" w:top="234" w:right="259" w:bottom="1440" w:gutter="0" w:footer="0" w:header="0"/>
          <w:type w:val="continuous"/>
        </w:sectPr>
      </w:pPr>
    </w:p>
    <w:p>
      <w:pPr>
        <w:ind w:right="180"/>
        <w:spacing w:after="0" w:line="268" w:lineRule="auto"/>
        <w:rPr>
          <w:sz w:val="20"/>
          <w:szCs w:val="20"/>
          <w:color w:val="auto"/>
        </w:rPr>
      </w:pPr>
      <w:r>
        <w:rPr>
          <w:rFonts w:ascii="Arial" w:cs="Arial" w:eastAsia="Arial" w:hAnsi="Arial"/>
          <w:sz w:val="18"/>
          <w:szCs w:val="18"/>
          <w:color w:val="auto"/>
        </w:rPr>
        <w:t>The aggregate market value of the Registrant's common shares held by non-affiliates of the Registrant, based upon the closing sales price of the Registrant's common shares on June 30, 2016 was $11.8 billion.</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Registrant’s common shares outstanding on February 8, 2017 was 72,105,659.</w:t>
      </w:r>
    </w:p>
    <w:p>
      <w:pPr>
        <w:sectPr>
          <w:pgSz w:w="11900" w:h="16838" w:orient="portrait"/>
          <w:cols w:equalWidth="0" w:num="1">
            <w:col w:w="11400"/>
          </w:cols>
          <w:pgMar w:left="240" w:top="234" w:right="25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FISCAL YEAR ENDED DECEMBER 31, 2016</w:t>
      </w:r>
    </w:p>
    <w:p>
      <w:pPr>
        <w:spacing w:after="0" w:line="31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36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for the Registrant’s 2016 annual meeting of shareholders to be held in May 2017 will be incorporated by reference into Part III hereof.</w:t>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972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240" w:type="dxa"/>
            <w:vAlign w:val="bottom"/>
          </w:tcPr>
          <w:p>
            <w:pPr>
              <w:spacing w:after="0"/>
              <w:rPr>
                <w:sz w:val="20"/>
                <w:szCs w:val="20"/>
                <w:color w:val="auto"/>
              </w:rPr>
            </w:pPr>
            <w:r>
              <w:rPr>
                <w:rFonts w:ascii="Arial" w:cs="Arial" w:eastAsia="Arial" w:hAnsi="Arial"/>
                <w:sz w:val="18"/>
                <w:szCs w:val="18"/>
                <w:color w:val="auto"/>
              </w:rPr>
              <w:t>PART 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80" w:type="dxa"/>
            <w:vAlign w:val="bottom"/>
          </w:tcPr>
          <w:p>
            <w:pPr>
              <w:spacing w:after="0"/>
              <w:rPr>
                <w:sz w:val="19"/>
                <w:szCs w:val="19"/>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97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80" w:type="dxa"/>
            <w:vAlign w:val="bottom"/>
          </w:tcPr>
          <w:p>
            <w:pPr>
              <w:spacing w:after="0"/>
              <w:rPr>
                <w:sz w:val="21"/>
                <w:szCs w:val="2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1B.</w:t>
            </w:r>
          </w:p>
        </w:tc>
        <w:tc>
          <w:tcPr>
            <w:tcW w:w="972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614"/>
        </w:trPr>
        <w:tc>
          <w:tcPr>
            <w:tcW w:w="1240" w:type="dxa"/>
            <w:vAlign w:val="bottom"/>
          </w:tcPr>
          <w:p>
            <w:pPr>
              <w:spacing w:after="0"/>
              <w:rPr>
                <w:sz w:val="20"/>
                <w:szCs w:val="20"/>
                <w:color w:val="auto"/>
              </w:rPr>
            </w:pPr>
            <w:r>
              <w:rPr>
                <w:rFonts w:ascii="Arial" w:cs="Arial" w:eastAsia="Arial" w:hAnsi="Arial"/>
                <w:sz w:val="18"/>
                <w:szCs w:val="18"/>
                <w:color w:val="auto"/>
              </w:rPr>
              <w:t>PART II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5.</w:t>
            </w:r>
          </w:p>
        </w:tc>
        <w:tc>
          <w:tcPr>
            <w:tcW w:w="9720" w:type="dxa"/>
            <w:vAlign w:val="bottom"/>
          </w:tcPr>
          <w:p>
            <w:pPr>
              <w:ind w:left="140"/>
              <w:spacing w:after="0"/>
              <w:rPr>
                <w:sz w:val="20"/>
                <w:szCs w:val="20"/>
                <w:color w:val="auto"/>
              </w:rPr>
            </w:pPr>
            <w:r>
              <w:rPr>
                <w:rFonts w:ascii="Arial" w:cs="Arial" w:eastAsia="Arial" w:hAnsi="Arial"/>
                <w:sz w:val="18"/>
                <w:szCs w:val="18"/>
                <w:color w:val="auto"/>
              </w:rPr>
              <w:t>Market for Our Common Equity and Related Shareholder Matters and Issuer Purchases of Equity Securities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972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972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7A.</w:t>
            </w:r>
          </w:p>
        </w:tc>
        <w:tc>
          <w:tcPr>
            <w:tcW w:w="97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972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972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9A.</w:t>
            </w:r>
          </w:p>
        </w:tc>
        <w:tc>
          <w:tcPr>
            <w:tcW w:w="97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9B.</w:t>
            </w:r>
          </w:p>
        </w:tc>
        <w:tc>
          <w:tcPr>
            <w:tcW w:w="972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614"/>
        </w:trPr>
        <w:tc>
          <w:tcPr>
            <w:tcW w:w="1240" w:type="dxa"/>
            <w:vAlign w:val="bottom"/>
          </w:tcPr>
          <w:p>
            <w:pPr>
              <w:spacing w:after="0"/>
              <w:rPr>
                <w:sz w:val="20"/>
                <w:szCs w:val="20"/>
                <w:color w:val="auto"/>
              </w:rPr>
            </w:pPr>
            <w:r>
              <w:rPr>
                <w:rFonts w:ascii="Arial" w:cs="Arial" w:eastAsia="Arial" w:hAnsi="Arial"/>
                <w:sz w:val="18"/>
                <w:szCs w:val="18"/>
                <w:color w:val="auto"/>
              </w:rPr>
              <w:t>PART III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10.</w:t>
            </w:r>
          </w:p>
        </w:tc>
        <w:tc>
          <w:tcPr>
            <w:tcW w:w="9720" w:type="dxa"/>
            <w:vAlign w:val="bottom"/>
          </w:tcPr>
          <w:p>
            <w:pPr>
              <w:ind w:left="140"/>
              <w:spacing w:after="0"/>
              <w:rPr>
                <w:sz w:val="20"/>
                <w:szCs w:val="20"/>
                <w:color w:val="auto"/>
              </w:rPr>
            </w:pPr>
            <w:r>
              <w:rPr>
                <w:rFonts w:ascii="Arial" w:cs="Arial" w:eastAsia="Arial" w:hAnsi="Arial"/>
                <w:sz w:val="18"/>
                <w:szCs w:val="18"/>
                <w:color w:val="auto"/>
              </w:rPr>
              <w:t>Trustees, Executive Officers and Corporate Governance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972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12.</w:t>
            </w:r>
          </w:p>
        </w:tc>
        <w:tc>
          <w:tcPr>
            <w:tcW w:w="972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13.</w:t>
            </w:r>
          </w:p>
        </w:tc>
        <w:tc>
          <w:tcPr>
            <w:tcW w:w="972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Trustee Independence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14.</w:t>
            </w:r>
          </w:p>
        </w:tc>
        <w:tc>
          <w:tcPr>
            <w:tcW w:w="972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614"/>
        </w:trPr>
        <w:tc>
          <w:tcPr>
            <w:tcW w:w="1240" w:type="dxa"/>
            <w:vAlign w:val="bottom"/>
          </w:tcPr>
          <w:p>
            <w:pPr>
              <w:spacing w:after="0"/>
              <w:rPr>
                <w:sz w:val="20"/>
                <w:szCs w:val="20"/>
                <w:color w:val="auto"/>
              </w:rPr>
            </w:pPr>
            <w:r>
              <w:rPr>
                <w:rFonts w:ascii="Arial" w:cs="Arial" w:eastAsia="Arial" w:hAnsi="Arial"/>
                <w:sz w:val="18"/>
                <w:szCs w:val="18"/>
                <w:color w:val="auto"/>
              </w:rPr>
              <w:t>PART IV</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9720" w:type="dxa"/>
            <w:vAlign w:val="bottom"/>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16.</w:t>
            </w:r>
          </w:p>
        </w:tc>
        <w:tc>
          <w:tcPr>
            <w:tcW w:w="9720" w:type="dxa"/>
            <w:vAlign w:val="bottom"/>
          </w:tcPr>
          <w:p>
            <w:pPr>
              <w:ind w:left="140"/>
              <w:spacing w:after="0"/>
              <w:rPr>
                <w:sz w:val="20"/>
                <w:szCs w:val="20"/>
                <w:color w:val="auto"/>
              </w:rPr>
            </w:pPr>
            <w:r>
              <w:rPr>
                <w:rFonts w:ascii="Arial" w:cs="Arial" w:eastAsia="Arial" w:hAnsi="Arial"/>
                <w:sz w:val="18"/>
                <w:szCs w:val="18"/>
                <w:color w:val="auto"/>
              </w:rPr>
              <w:t>Form 10-K Summary</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574"/>
        </w:trPr>
        <w:tc>
          <w:tcPr>
            <w:tcW w:w="1240" w:type="dxa"/>
            <w:vAlign w:val="bottom"/>
          </w:tcPr>
          <w:p>
            <w:pPr>
              <w:spacing w:after="0"/>
              <w:rPr>
                <w:sz w:val="20"/>
                <w:szCs w:val="20"/>
                <w:color w:val="auto"/>
              </w:rPr>
            </w:pPr>
            <w:r>
              <w:rPr>
                <w:rFonts w:ascii="Arial" w:cs="Arial" w:eastAsia="Arial" w:hAnsi="Arial"/>
                <w:sz w:val="18"/>
                <w:szCs w:val="18"/>
                <w:color w:val="auto"/>
              </w:rPr>
              <w:t>SIGNATURES</w:t>
            </w:r>
          </w:p>
        </w:tc>
        <w:tc>
          <w:tcPr>
            <w:tcW w:w="9720" w:type="dxa"/>
            <w:vAlign w:val="bottom"/>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506"/>
        </w:trPr>
        <w:tc>
          <w:tcPr>
            <w:tcW w:w="1240" w:type="dxa"/>
            <w:vAlign w:val="bottom"/>
          </w:tcPr>
          <w:p>
            <w:pPr>
              <w:spacing w:after="0"/>
              <w:rPr>
                <w:sz w:val="24"/>
                <w:szCs w:val="24"/>
                <w:color w:val="auto"/>
              </w:rPr>
            </w:pPr>
          </w:p>
        </w:tc>
        <w:tc>
          <w:tcPr>
            <w:tcW w:w="9720" w:type="dxa"/>
            <w:vAlign w:val="bottom"/>
          </w:tcPr>
          <w:p>
            <w:pPr>
              <w:ind w:left="4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80"/>
          </w:cols>
          <w:pgMar w:left="240" w:top="126" w:right="47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References to “we,” “us,” “our” or the “Trust” refer to Federal Realty Investment Trust and our business and operations conducted through our directly or indirectly owned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and South Florida. As of December 31, 2016, we owned or had a majority interest in community and neighborhood shopping centers and mixed-use properties which are operated as 96 predominantly retail real estate projects comprising approximately 22.6 million square feet. In total, the real estate projects were 94.4% leased and 93.3% occupied at December 31, 2016. We have paid quarterly dividends to our shareholders continuously since our founding in 1962 and have increased our dividends per common share for 49 consecutive years.</w:t>
      </w:r>
    </w:p>
    <w:p>
      <w:pPr>
        <w:spacing w:after="0" w:line="10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 and is not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Strategies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primary business objective is to own, manage, acquire and redevelop a portfolio of high quality retail focused properties that will:</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increasing cash flow for distribution to shareholders;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 higher internal growth than the shopping center industry;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potential for capital appreciation;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investor capital.</w:t>
      </w:r>
    </w:p>
    <w:p>
      <w:pPr>
        <w:spacing w:after="0" w:line="1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office, residential and/or hotel components.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Strategies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core operating strategy is to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enabled us to maintain higher occupancy rates, charge higher rental rates, and maintain steady rent growth, all of which increase the value of our portfolio. Our operating strategies also include:</w:t>
      </w:r>
    </w:p>
    <w:p>
      <w:pPr>
        <w:spacing w:after="0" w:line="3" w:lineRule="exact"/>
        <w:rPr>
          <w:sz w:val="20"/>
          <w:szCs w:val="20"/>
          <w:color w:val="auto"/>
        </w:rPr>
      </w:pP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rental rates through the renewal of expiring leases or the leasing of space to new tenants at higher rental rates while limiting vacancy and down-time;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a diversified tenant base, thereby limiting exposure to any one tenant’s financial or operating difficulties;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monitoring the merchandising mix of our tenant base to achieve a balance of strong national and regional tenants with local specialty tenants;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minimizing overhead and operating costs;</w:t>
      </w:r>
    </w:p>
    <w:p>
      <w:pPr>
        <w:spacing w:after="0" w:line="8" w:lineRule="exact"/>
        <w:rPr>
          <w:rFonts w:ascii="Arial" w:cs="Arial" w:eastAsia="Arial" w:hAnsi="Arial"/>
          <w:sz w:val="18"/>
          <w:szCs w:val="18"/>
          <w:color w:val="auto"/>
        </w:rPr>
      </w:pPr>
    </w:p>
    <w:p>
      <w:pPr>
        <w:ind w:left="660" w:right="32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local and regional market expertise in order to capitalize on market and retailing trends;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the contacts and experience of our management team to build and maintain long-term relationships with tenants;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6" w:right="29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exceptional customer service; and</w:t>
      </w:r>
    </w:p>
    <w:p>
      <w:pPr>
        <w:spacing w:after="0" w:line="23" w:lineRule="exact"/>
        <w:rPr>
          <w:rFonts w:ascii="Arial" w:cs="Arial" w:eastAsia="Arial" w:hAnsi="Arial"/>
          <w:sz w:val="18"/>
          <w:szCs w:val="18"/>
          <w:color w:val="auto"/>
        </w:rPr>
      </w:pPr>
    </w:p>
    <w:p>
      <w:pPr>
        <w:ind w:left="660" w:right="10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an experience at many of our properties that is identifiable, unique and serves the surrounding communities to help insulate these properties and the tenants at these properties from the impact of on-line retailing.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Strategies</w:t>
      </w:r>
    </w:p>
    <w:p>
      <w:pPr>
        <w:spacing w:after="0" w:line="90"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spacing w:after="0" w:line="1" w:lineRule="exact"/>
        <w:rPr>
          <w:sz w:val="20"/>
          <w:szCs w:val="20"/>
          <w:color w:val="auto"/>
        </w:rPr>
      </w:pPr>
    </w:p>
    <w:p>
      <w:pPr>
        <w:ind w:left="660" w:right="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expanding, reconfiguring and/or retenanting our existing properties to take advantage of under-utilized land or existing square footage to increase revenue;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or expanding tenant spaces for tenants capable of producing higher sales, and therefore, paying higher rents;</w:t>
      </w:r>
    </w:p>
    <w:p>
      <w:pPr>
        <w:spacing w:after="0" w:line="8" w:lineRule="exact"/>
        <w:rPr>
          <w:rFonts w:ascii="Arial" w:cs="Arial" w:eastAsia="Arial" w:hAnsi="Arial"/>
          <w:sz w:val="18"/>
          <w:szCs w:val="18"/>
          <w:color w:val="auto"/>
        </w:rPr>
      </w:pPr>
    </w:p>
    <w:p>
      <w:pPr>
        <w:jc w:val="both"/>
        <w:ind w:left="660" w:right="2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ind w:left="660" w:right="54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the retail portions of mixed-use properties and developing or otherwise investing in non-retail portions of mixed-use properties we already own in order to capitalize on the overall value created in these properties.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Criteria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we evaluate potential redevelopment, retenanting, expansion, acquisition and development opportunities, we consider such factors as:</w:t>
      </w:r>
    </w:p>
    <w:p>
      <w:pPr>
        <w:spacing w:after="0" w:line="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returns in relation to our short and long-term cost of capital as well as the anticipated risk we will face in achieving the expected returns;</w:t>
      </w:r>
    </w:p>
    <w:p>
      <w:pPr>
        <w:spacing w:after="0" w:line="31"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anticipated growth rate of operating income generated by the property;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increase the long-term value of the property through redevelopment and retenanting;</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tenant mix at the property, tenant sales performance and the creditworthiness of those tenants;</w:t>
      </w:r>
    </w:p>
    <w:p>
      <w:pPr>
        <w:spacing w:after="0" w:line="8"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geographic area in which the property is located, including the population density and household incomes, as well as the population and income trends in that geographic area;</w:t>
      </w:r>
    </w:p>
    <w:p>
      <w:pPr>
        <w:ind w:left="660" w:right="5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conditions in the vicinity of the property, including competition for tenants and the ability of others to create competing properties through redevelopment, new construction or renovation;</w:t>
      </w:r>
    </w:p>
    <w:p>
      <w:pPr>
        <w:ind w:left="660" w:right="1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and visibility of the property from existing roadways and the potential for new, widened or realigned, roadways within the property’s trade area, which may affect access and commuting and shopping patterns;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and success of our existing investments in the market area;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current market value of the land, buildings and other improvements and the potential for increasing those market values;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physical condition of the land, buildings and other improvements, including the structural and environmental condition.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Strategies</w:t>
      </w:r>
    </w:p>
    <w:p>
      <w:pPr>
        <w:spacing w:after="0" w:line="90"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spacing w:after="0" w:line="1" w:lineRule="exact"/>
        <w:rPr>
          <w:sz w:val="20"/>
          <w:szCs w:val="20"/>
          <w:color w:val="auto"/>
        </w:rPr>
      </w:pPr>
    </w:p>
    <w:p>
      <w:pPr>
        <w:ind w:left="660" w:right="5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 prudent level of overall leverage and an appropriate pool of unencumbered properties that is sufficient to support our unsecured borrowings;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managing our exposure to variable-rate debt;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an available line of credit to fund operating and investing needs on a short-term basis;</w:t>
      </w:r>
    </w:p>
    <w:p>
      <w:pPr>
        <w:spacing w:after="0" w:line="8"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taking advantage of market opportunities to refinance existing debt, reduce interest costs and manage our debt maturity schedule so that a significant portion of our debt does not mature in any one year;</w:t>
      </w:r>
    </w:p>
    <w:p>
      <w:pPr>
        <w:ind w:left="660" w:right="1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ind w:left="660" w:right="5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utilizing the most advantageous long-term source of capital available to us to finance redevelopment and acquisition opportunities, which may include:</w:t>
      </w:r>
    </w:p>
    <w:p>
      <w:pPr>
        <w:ind w:left="1300" w:right="360" w:hanging="321"/>
        <w:spacing w:after="0" w:line="25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sale of our equity or debt securities through public offerings, including our at-the-market ("ATM") equity program in which we may from time to time offer and sell common shares, or private placements,</w:t>
      </w:r>
    </w:p>
    <w:p>
      <w:pPr>
        <w:ind w:left="1300" w:hanging="321"/>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incurrence of indebtedness through unsecured or secured borrowings,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ind w:left="1300" w:right="40" w:hanging="321"/>
        <w:spacing w:after="0" w:line="25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operating partnership units in a new or existing “downREIT partnership” that is controlled and consolidated by us (generally operating partnership units in a “downREIT” partnership are issued in exchange for a tax deferred contribution of property; these units receive the same distributions as our common shares and the holders of these units have the right to exchange their units for cash or the same number of our common shares, at our option), or</w:t>
      </w:r>
    </w:p>
    <w:p>
      <w:pPr>
        <w:spacing w:after="0" w:line="1" w:lineRule="exact"/>
        <w:rPr>
          <w:rFonts w:ascii="Arial" w:cs="Arial" w:eastAsia="Arial" w:hAnsi="Arial"/>
          <w:sz w:val="18"/>
          <w:szCs w:val="18"/>
          <w:color w:val="auto"/>
        </w:rPr>
      </w:pPr>
    </w:p>
    <w:p>
      <w:pPr>
        <w:ind w:left="1300" w:hanging="32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joint venture arrangements.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February 8, 2017, we had 312 full-time employees and 17 part-time employees. None of our employees are represented by a collective bargaining unit. We believe that our relationship with our employees is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Affecting Our Properties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and our properties are subject to a variety of federal, state and local environmental, health, safety and similar laws, including without limitation:</w:t>
      </w:r>
    </w:p>
    <w:p>
      <w:pPr>
        <w:spacing w:after="0" w:line="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Comprehensive Environmental Response, Compensation, and Liability Act of 1980, as amended, which we refer to as CERCLA;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Resource Conservation &amp; Recovery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Water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Air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Toxic Substances Control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Occupational Safety &amp; Health Act;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Americans with Disabilities Act.</w:t>
      </w:r>
    </w:p>
    <w:p>
      <w:pPr>
        <w:spacing w:after="0" w:line="156"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such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number of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 leading to increased vacancy rates and/or reduced rents;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6"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 xml:space="preserve"> as soon as reasonably practicable after we electronically file the material with, or furnish the material to, the Securities and Exchange Commission, or the SEC.</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Investors section of our website.</w:t>
      </w:r>
    </w:p>
    <w:p>
      <w:pPr>
        <w:spacing w:after="0" w:line="1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Amendments to the Code of Ethics or Code of Business Conduct or waivers that apply to any of our executive officers or our senior financial officers will be disclosed in that section of our website as well.</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may obtain a printed copy of any of the foregoing materials from us by writing to us at Investor Relations, Federal Realty Investment Trust, 1626 East Jefferson Street, Rockville, Maryland 20852.</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6" w:right="31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and/or competitive conditions may impact the success of our tenants’ retail operations and therefore the amount of rent and expense reimbursements we receive from our tenants. While demand for our retail spaces has been strong, there can be no assurance that this will continue. Any reduction in our tenants’ abilities to pay base rent, percentage rent or other charges on a timely basis, including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income depends on the success and continued presence of our “anchor” tenants.</w:t>
      </w:r>
    </w:p>
    <w:p>
      <w:pPr>
        <w:spacing w:after="0" w:line="9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We currently are experiencing higher levels of anchor vacancy and expect this will persist over the next few years while we are actively releasing vacant space, and in some cases, redeveloping the shopping center. Our anchor tenant space is currently</w:t>
      </w:r>
    </w:p>
    <w:p>
      <w:pPr>
        <w:spacing w:after="0" w:line="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97.1% leased and 96.3% occupied. We also have seen an overall decrease in the number of tenants available to fill anchor spaces. Therefore, tenant demand for certain of our anchor spaces may decrease and as a result, we may see an increase in vacancy and/or a decrease in rents for those spaces that could have a negative impact to our net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collect balances due from tenants that file for bankruptcy protection.</w:t>
      </w:r>
    </w:p>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94"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9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As of December 31, 2016, we had approximately $2.8 billion of debt outstanding. Of that outstanding debt, approximately $466.3 million was secured by all or a portion of nine of our real estate projects and approximately $71.6 million represented capital lease obligations on four of our properties. All of our debt outstanding as of December 31, 2016 is fixed rate debt, which includes all of our property secured debt, our capital lease obligations and our $275.0 million term loan as the rate is effectively fixed by two interest rate swap agreements. Our organizational documents do not limit the level or amount of debt that we may</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6" w:right="25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incur. The amount of our debt outstanding from time to time could have important consequences to our shareholders. For example, it could:</w:t>
      </w:r>
    </w:p>
    <w:p>
      <w:pPr>
        <w:spacing w:after="0" w:line="23" w:lineRule="exact"/>
        <w:rPr>
          <w:sz w:val="20"/>
          <w:szCs w:val="20"/>
          <w:color w:val="auto"/>
        </w:rPr>
      </w:pPr>
    </w:p>
    <w:p>
      <w:pPr>
        <w:ind w:left="660" w:right="80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8"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increased amounts of our cash flow from operations to payments on debt upon refinancing or on our variable rate, unhedged debt, if interest rates rise;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8" w:lineRule="exact"/>
        <w:rPr>
          <w:rFonts w:ascii="Arial" w:cs="Arial" w:eastAsia="Arial" w:hAnsi="Arial"/>
          <w:sz w:val="18"/>
          <w:szCs w:val="18"/>
          <w:color w:val="auto"/>
        </w:rPr>
      </w:pPr>
    </w:p>
    <w:p>
      <w:pPr>
        <w:ind w:left="660" w:right="90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ind w:left="660" w:right="48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3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ability to make scheduled principal payments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86"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spacing w:after="0" w:line="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revolving credit facility, term loan and certain series of notes include financial covenants that may limit our operating activities in the future. We are also required to comply with additional covenants that include, among other things, provisions:</w:t>
      </w:r>
    </w:p>
    <w:p>
      <w:pPr>
        <w:spacing w:after="0" w:line="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2016, we were in compliance with all of our financial covenants. If we were to breach any of our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our credit rating could affect our borrowing capacity and borrowing terms</w:t>
      </w:r>
    </w:p>
    <w:p>
      <w:pPr>
        <w:spacing w:after="0" w:line="9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credit worthiness is rated by nationally recognized credit rating agencies. The credit ratings assigned are based on our operating performance, liquidity and leverage ratios, financial condition and prospects, and other factors viewed by the credit rating agencies as relevant to our industry and the economic outlook in general. Our credit rating can affect the amount of capital we access, as well as the terms of certain existing and future financing we obtain. Since we depend on debt financing to fund the growth of our business, an adverse change in our credit rating, including actual changes in outlook, or even the initiation of review of our credit rating that could result in an adverse change, could have a material adverse effect on us.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6" w:right="27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have inherent risks.</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such as Assembly Row in Somerville, Massachusetts and Pike &amp; Rose in North Bethesda, Maryland.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 any new projects are not successful, it may adversely affect our financial condition and results of operations.</w:t>
      </w:r>
    </w:p>
    <w:p>
      <w:pPr>
        <w:spacing w:after="0" w:line="11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During 2016, construction continued on the development of Phase II at both Assembly Row and Pike &amp; Rose. At Santana Row, we continue our on-going redevelopment efforts, completed construction of a new 234,500 square foot office building that is pre-leased to Splunk Inc., and are also proceeding with construction of an eight story 284,000 square foot office building, which will include 29,000 square feet of retail space and 1,300 parking spaces. A further discussion of these projects, expected costs, and current status can be found in Item 7. Management's Discussion and Analysis of Financial Condition and Results of Operations in the "Outlook" subsection.</w:t>
      </w:r>
    </w:p>
    <w:p>
      <w:pPr>
        <w:spacing w:after="0" w:line="137"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and the specific risks above, the risks associated with our remaining development activities include:</w:t>
      </w:r>
    </w:p>
    <w:p>
      <w:pPr>
        <w:spacing w:after="0" w:line="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contractor changes may delay the completion of development projects and increase overall costs;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time lag between commencement and stabilization subjects us to greater risks due to fluctuations in the general economy;</w:t>
      </w:r>
    </w:p>
    <w:p>
      <w:pPr>
        <w:spacing w:after="0" w:line="8"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delivery of residential product (both rental units and for sale condominium units) into uncertain residential environments may result in lower rents or sale prices than underwritten;</w:t>
      </w:r>
    </w:p>
    <w:p>
      <w:pPr>
        <w:ind w:left="660" w:right="2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amount of our investment is related to infrastructure, the value of which may be negatively impacted if we do not complete subsequent phases;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8"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to obtain public funding from governmental agencies to fund infrastructure projects, including public funding in connection with our development at Assembly Row;</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of partners to perform on hotel joint ventures;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third-party developer of office or other buildings may not deliver or may encounter delays in delivering space as planned;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securing key anchor or other tenants may impact occupancy rates and projected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than estimated construction or operating costs, including labor and material costs; and</w:t>
      </w:r>
    </w:p>
    <w:p>
      <w:pPr>
        <w:spacing w:after="0" w:line="8" w:lineRule="exact"/>
        <w:rPr>
          <w:rFonts w:ascii="Arial" w:cs="Arial" w:eastAsia="Arial" w:hAnsi="Arial"/>
          <w:sz w:val="18"/>
          <w:szCs w:val="18"/>
          <w:color w:val="auto"/>
        </w:rPr>
      </w:pPr>
    </w:p>
    <w:p>
      <w:pPr>
        <w:ind w:left="660" w:hanging="328"/>
        <w:spacing w:after="0" w:line="28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possible delay in completion of a project because of a number of factors, including weather, labor disruptions, construction delays or delays in receipt of zoning or other regulatory approvals, acts of terror or other acts of violence, or acts of God (such as fires, earthquakes or floods).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9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spacing w:after="0" w:line="2" w:lineRule="exact"/>
        <w:rPr>
          <w:sz w:val="20"/>
          <w:szCs w:val="20"/>
          <w:color w:val="auto"/>
        </w:rPr>
      </w:pPr>
    </w:p>
    <w:p>
      <w:pPr>
        <w:ind w:left="660" w:right="3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identify suitable properties to acquire or may be unable to complete the acquisition of the properties we identify;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integrate an acquisition into our existing operations successfully;</w:t>
      </w:r>
    </w:p>
    <w:p>
      <w:pPr>
        <w:spacing w:after="0" w:line="8"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ind w:left="660" w:right="20" w:hanging="328"/>
        <w:spacing w:after="0" w:line="28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ind w:left="660" w:right="560" w:hanging="328"/>
        <w:spacing w:after="0" w:line="34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9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Additionally, we cannot guarantee that 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Of our approximately $2.8 billion of debt outstanding as of December 31, 2016, approximately $275.0 million bears interest at variable rates which is effectively fixed at 2.62% through two interest rate swap agreements. We have an $800.0 million revolving credit facility, on which no balance is outstanding at December 31, 2016, that bears interest at LIBOR plus 82.5 basis points.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We may enter into this type of hedging arrangements or other transactions for all or a portion of our variable rate debt to limit our exposure to rising interest rates. However, the amounts we are required to pay under the term loan and any other variable rate debt to which hedging or similar arrangements relate may increase in the event of non-performance by the counterparties to any of our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value of our debt and equity securities is subject to various factors that may cause significant fluctuations or volatility.</w:t>
      </w:r>
    </w:p>
    <w:p>
      <w:pPr>
        <w:spacing w:after="0" w:line="9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spacing w:after="0" w:line="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and trend of interest rates;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access the capital markets to raise additional capital;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additional equity or debt securities;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funds from operations (“FFO”) or earnings estimates;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debt or analyst ratings;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financial condition and performance;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perception of our business compared to other REITs;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perception of REITs, in general, compared to other investment alternatives.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our key management could adversely affect performance and the value of our common shares.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economic performance and the value of our real estate assets, and, consequently, the value of our investments, are subject to the risk that if our properties do not generate revenues sufficient to meet our operating expenses, including debt service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6" w:right="25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capital expenditures, our cash flow and ability to pay distributions to our shareholders will be adversely affected. As a real estate company, we are susceptible to the following real estate industry risks:</w:t>
      </w:r>
    </w:p>
    <w:p>
      <w:pPr>
        <w:spacing w:after="0" w:line="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downturns in general, or in the areas where our properties are located;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an oversupply or reduction in demand;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8" w:lineRule="exact"/>
        <w:rPr>
          <w:rFonts w:ascii="Arial" w:cs="Arial" w:eastAsia="Arial" w:hAnsi="Arial"/>
          <w:sz w:val="18"/>
          <w:szCs w:val="18"/>
          <w:color w:val="auto"/>
        </w:rPr>
      </w:pPr>
    </w:p>
    <w:p>
      <w:pPr>
        <w:ind w:left="660" w:right="52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3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Each of these risks could result in decreases in market rental rates and increases in vacancy rates, which could adversely affect our financial condition and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9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Numerous commercial developers and real estate companies compete with us in seeking tenants for our existing properties and properties for acquisition. This competition may:</w:t>
      </w:r>
    </w:p>
    <w:p>
      <w:pPr>
        <w:spacing w:after="0" w:line="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9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organizational documents do not limit the amount of funds that we may invest in properties and assets owned jointly with other persons or entities. As of December 31, 2016, we held nine predominantly retail real estate projects jointly with other persons in addition to properties owned in a “downREIT” structure. Additionally, we have entered into a joint venture agreement related to the hotel component of Phase II of our Pike &amp; Rose and Assembly Row development projects.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2016, we held the controlling interests in all of our existing co-investments (except the hotel investments discussed above),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9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3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6" w:right="25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forced to pay these costs. If not addressed, environmental conditions could impair our ability to sell or re-lease the affected properties in the future or result in lower sales prices or rent payments.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10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98"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32" w:lineRule="exact"/>
        <w:rPr>
          <w:sz w:val="20"/>
          <w:szCs w:val="20"/>
          <w:color w:val="auto"/>
        </w:rPr>
      </w:pPr>
    </w:p>
    <w:p>
      <w:pPr>
        <w:ind w:right="340"/>
        <w:spacing w:after="0" w:line="307"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If we fail to qualify as a REIT:</w:t>
      </w:r>
    </w:p>
    <w:p>
      <w:pPr>
        <w:spacing w:after="0" w:line="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subject to the federal alternative minimum tax;</w:t>
      </w:r>
    </w:p>
    <w:p>
      <w:pPr>
        <w:spacing w:after="0" w:line="8"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ind w:left="660" w:right="18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3" w:lineRule="exact"/>
        <w:rPr>
          <w:sz w:val="20"/>
          <w:szCs w:val="20"/>
          <w:color w:val="auto"/>
        </w:rPr>
      </w:pPr>
    </w:p>
    <w:p>
      <w:pPr>
        <w:ind w:left="660" w:right="20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income may not be matched by our related expenses at the time the income is considered received for purposes of determining taxable income; and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18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can own.</w:t>
      </w:r>
    </w:p>
    <w:p>
      <w:pPr>
        <w:spacing w:after="0" w:line="9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happened, either the transfer of ownership would be void or the shares would be transferred to a charitable trust and then sold to someone who can own those shares without violating the 9.8% ownership limit.</w:t>
      </w:r>
    </w:p>
    <w:p>
      <w:pPr>
        <w:spacing w:after="0" w:line="1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at historical rates.</w:t>
      </w:r>
    </w:p>
    <w:p>
      <w:pPr>
        <w:spacing w:after="0" w:line="94" w:lineRule="exact"/>
        <w:rPr>
          <w:sz w:val="20"/>
          <w:szCs w:val="20"/>
          <w:color w:val="auto"/>
        </w:rPr>
      </w:pPr>
    </w:p>
    <w:p>
      <w:pPr>
        <w:ind w:right="500"/>
        <w:spacing w:after="0" w:line="273"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performance of lease terms by tenants;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we do not maintain or increase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tax and anti-takeover provisions of our declaration of trust and bylaws may inhibit a change of our control.</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8"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ind w:left="660" w:right="2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126" w:right="31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0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amend or revise our business policies without your approval.</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3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current business plan adopted by our Board of Trustees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disasters and severe weather conditions could have an adverse impact on our cash flow and operating results.</w:t>
      </w:r>
    </w:p>
    <w:p>
      <w:pPr>
        <w:spacing w:after="0" w:line="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Changing weather patterns and climatic conditions, such as global warming, may have added to the unpredictability and frequency of natural disasters and severe weather conditions and created additional uncertainty as to future trends and exposures. Our operations are located in areas that are subject to natural disasters and severe weather conditions such as hurricanes, earthquakes, droughts, snow storms, floods and fires. The occurrence of natural disasters or severe weather conditions can delay new development projects, increase investment costs to repair or replace damaged properties, increase operation costs, increase future property insurance costs, and negatively impact the tenant demand for lease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cybersecurity attacks that could cause loss of confidential information and other business disruptions.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extensively on computer systems to process transactions and manage our business, and our business is at risk from and may be impacted by cybersecurity attacks. These could include attempts to gain unauthorized access to our data and computer systems. Attacks can be both individual and/or highly organized attempts organized by very sophisticated hacking organizations. We employ a number of measures to prevent, detect and mitigate these threats, which include password encryption, frequent password change events, firewall detection systems, anti-virus software in-place, frequent backups, a redundant data system for core applications and annual penetration testing; however, there is no guarantee such efforts will be successful in preventing a cyber attack. A cybersecurity attack could compromise the confidential information of our employees, tenants and vendors. A successful attack could disrupt and otherwise adversely affect our business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 may adversely impact our financial results.</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Financial Accounting Standards Board ("FASB"), in conjunction with the SEC, has several key projects on their agenda and recently issued standards that could impact how we currently account for our material transactions, including lease accounting and other convergence projects with the International Accounting Standards Board. At this time, we are unable to predict with certainty which, if any, proposals may be passed or what level of impact any such proposal could have on the presentation of our consolidated financial statements, our results of operations and our financial ratios required by our debt covenants.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December 31, 2016, we owned or had a majority ownership interest in community and neighborhood shopping centers and mixed-used properties which are operated as 96 predominantly retail real estate projects comprising approximately 22.6 million square feet. These properties are located primarily in densely populated and affluent communities in strategic metropolitan markets in the Northeast and Mid-Atlantic regions of the United States, California, and South Florida. No single property accounted for over 10% of our 2016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Diversification</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2016, we had approximately 2,900 leases, with tenants ranging from sole proprietors to major national and international retailers. No one tenant or affiliated group of tenants accounted for more than 3.1% of our annualized base rent as of December 31, 2016. As a result of our tenant diversification, we believe our exposure to any one bankruptcy filing in the retail sector has not been and will not be significant, however, multiple filings by a number of retailers could have a significant impact.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94" w:lineRule="exact"/>
        <w:rPr>
          <w:sz w:val="20"/>
          <w:szCs w:val="20"/>
          <w:color w:val="auto"/>
        </w:rPr>
      </w:pPr>
    </w:p>
    <w:p>
      <w:pPr>
        <w:ind w:right="360"/>
        <w:spacing w:after="0" w:line="341" w:lineRule="auto"/>
        <w:rPr>
          <w:sz w:val="20"/>
          <w:szCs w:val="20"/>
          <w:color w:val="auto"/>
        </w:rPr>
      </w:pPr>
      <w:r>
        <w:rPr>
          <w:rFonts w:ascii="Arial" w:cs="Arial" w:eastAsia="Arial" w:hAnsi="Arial"/>
          <w:sz w:val="16"/>
          <w:szCs w:val="16"/>
          <w:color w:val="auto"/>
        </w:rPr>
        <w:t>Our 96 real estate projects are located in 12 states and the District of Columbia. The following table shows the number of projects, the gross leasable area (“GLA”) of commercial space and the percentage of total portfolio gross leasable area of commercial space in each state as of December 31,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Gross Leasable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Gross</w:t>
            </w:r>
          </w:p>
        </w:tc>
        <w:tc>
          <w:tcPr>
            <w:tcW w:w="0" w:type="dxa"/>
            <w:vAlign w:val="bottom"/>
          </w:tcPr>
          <w:p>
            <w:pPr>
              <w:spacing w:after="0"/>
              <w:rPr>
                <w:sz w:val="1"/>
                <w:szCs w:val="1"/>
                <w:color w:val="auto"/>
              </w:rPr>
            </w:pPr>
          </w:p>
        </w:tc>
      </w:tr>
      <w:tr>
        <w:trPr>
          <w:trHeight w:val="148"/>
        </w:trPr>
        <w:tc>
          <w:tcPr>
            <w:tcW w:w="6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2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Leasable</w:t>
            </w:r>
          </w:p>
        </w:tc>
        <w:tc>
          <w:tcPr>
            <w:tcW w:w="0" w:type="dxa"/>
            <w:vAlign w:val="bottom"/>
          </w:tcPr>
          <w:p>
            <w:pPr>
              <w:spacing w:after="0"/>
              <w:rPr>
                <w:sz w:val="1"/>
                <w:szCs w:val="1"/>
                <w:color w:val="auto"/>
              </w:rPr>
            </w:pPr>
          </w:p>
        </w:tc>
      </w:tr>
      <w:tr>
        <w:trPr>
          <w:trHeight w:val="192"/>
        </w:trPr>
        <w:tc>
          <w:tcPr>
            <w:tcW w:w="6360" w:type="dxa"/>
            <w:vAlign w:val="bottom"/>
            <w:gridSpan w:val="2"/>
            <w:vMerge w:val="continue"/>
          </w:tcPr>
          <w:p>
            <w:pPr>
              <w:spacing w:after="0"/>
              <w:rPr>
                <w:sz w:val="16"/>
                <w:szCs w:val="16"/>
                <w:color w:val="auto"/>
              </w:rPr>
            </w:pPr>
          </w:p>
        </w:tc>
        <w:tc>
          <w:tcPr>
            <w:tcW w:w="1200" w:type="dxa"/>
            <w:vAlign w:val="bottom"/>
          </w:tcPr>
          <w:p>
            <w:pPr>
              <w:jc w:val="center"/>
              <w:ind w:left="308"/>
              <w:spacing w:after="0"/>
              <w:rPr>
                <w:sz w:val="20"/>
                <w:szCs w:val="20"/>
                <w:color w:val="auto"/>
              </w:rPr>
            </w:pPr>
            <w:r>
              <w:rPr>
                <w:rFonts w:ascii="Arial" w:cs="Arial" w:eastAsia="Arial" w:hAnsi="Arial"/>
                <w:sz w:val="14"/>
                <w:szCs w:val="14"/>
                <w:b w:val="1"/>
                <w:bCs w:val="1"/>
                <w:color w:val="auto"/>
                <w:w w:val="90"/>
              </w:rPr>
              <w:t>Projects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Area</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Area</w:t>
            </w:r>
          </w:p>
        </w:tc>
        <w:tc>
          <w:tcPr>
            <w:tcW w:w="0" w:type="dxa"/>
            <w:vAlign w:val="bottom"/>
          </w:tcPr>
          <w:p>
            <w:pPr>
              <w:spacing w:after="0"/>
              <w:rPr>
                <w:sz w:val="1"/>
                <w:szCs w:val="1"/>
                <w:color w:val="auto"/>
              </w:rPr>
            </w:pPr>
          </w:p>
        </w:tc>
      </w:tr>
      <w:tr>
        <w:trPr>
          <w:trHeight w:val="250"/>
        </w:trPr>
        <w:tc>
          <w:tcPr>
            <w:tcW w:w="6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 square feet)</w:t>
            </w: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4,394,000</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California</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4,137,000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Virginia</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3,735,000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Pennsylvania(1)</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2,300,000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2,052,000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New Jersey</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1,721,000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1,355,000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New York</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1,248,000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Connecticut</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397,000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District of Columbia</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168,000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Carolina</w:t>
            </w:r>
          </w:p>
        </w:tc>
        <w:tc>
          <w:tcPr>
            <w:tcW w:w="1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153,000</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6"/>
        </w:trPr>
        <w:tc>
          <w:tcPr>
            <w:tcW w:w="63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22,630,000</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0" w:firstLine="324"/>
        <w:spacing w:after="0" w:line="391" w:lineRule="auto"/>
        <w:rPr>
          <w:sz w:val="20"/>
          <w:szCs w:val="20"/>
          <w:color w:val="auto"/>
        </w:rPr>
      </w:pPr>
      <w:r>
        <w:rPr>
          <w:rFonts w:ascii="Arial" w:cs="Arial" w:eastAsia="Arial" w:hAnsi="Arial"/>
          <w:sz w:val="18"/>
          <w:szCs w:val="18"/>
          <w:color w:val="auto"/>
        </w:rPr>
        <w:t xml:space="preserve">(1) Additionally, we own two participating mortgages totaling approximately $29.9 million secured by multiple buildings in Manayunk, Pennsylvania. </w:t>
      </w:r>
      <w:r>
        <w:rPr>
          <w:rFonts w:ascii="Arial" w:cs="Arial" w:eastAsia="Arial" w:hAnsi="Arial"/>
          <w:sz w:val="18"/>
          <w:szCs w:val="18"/>
          <w:b w:val="1"/>
          <w:bCs w:val="1"/>
          <w:color w:val="auto"/>
        </w:rPr>
        <w:t>Leases, Lease Terms and Lease Expirations</w:t>
      </w:r>
    </w:p>
    <w:p>
      <w:pPr>
        <w:ind w:right="100"/>
        <w:spacing w:after="0" w:line="340" w:lineRule="auto"/>
        <w:rPr>
          <w:sz w:val="20"/>
          <w:szCs w:val="20"/>
          <w:color w:val="auto"/>
        </w:rPr>
      </w:pPr>
      <w:r>
        <w:rPr>
          <w:rFonts w:ascii="Arial" w:cs="Arial" w:eastAsia="Arial" w:hAnsi="Arial"/>
          <w:sz w:val="15"/>
          <w:szCs w:val="15"/>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2016, represented approximately 6.6% of total rental income.</w:t>
      </w:r>
    </w:p>
    <w:p>
      <w:pPr>
        <w:spacing w:after="0" w:line="5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sets forth the schedule of lease expirations for our commercial leases in place as of December 31, 2016 for each of the 10 years beginning with 2017 and after 2026 in the aggregate assuming that none of the tenants exercise future renewal options. Annualized base rents reflect in-place contractual rents as of December 31,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Leased</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Annualized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Square</w:t>
            </w: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Leased Square</w:t>
            </w: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Base Rent</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Annualized Base Rent</w:t>
            </w:r>
          </w:p>
        </w:tc>
        <w:tc>
          <w:tcPr>
            <w:tcW w:w="0" w:type="dxa"/>
            <w:vAlign w:val="bottom"/>
          </w:tcPr>
          <w:p>
            <w:pPr>
              <w:spacing w:after="0"/>
              <w:rPr>
                <w:sz w:val="1"/>
                <w:szCs w:val="1"/>
                <w:color w:val="auto"/>
              </w:rPr>
            </w:pPr>
          </w:p>
        </w:tc>
      </w:tr>
      <w:tr>
        <w:trPr>
          <w:trHeight w:val="148"/>
        </w:trPr>
        <w:tc>
          <w:tcPr>
            <w:tcW w:w="4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of Lease Expiration</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Footage</w:t>
            </w:r>
          </w:p>
        </w:tc>
        <w:tc>
          <w:tcPr>
            <w:tcW w:w="1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Footage</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Represented by</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Represented by Expiring</w:t>
            </w:r>
          </w:p>
        </w:tc>
        <w:tc>
          <w:tcPr>
            <w:tcW w:w="0" w:type="dxa"/>
            <w:vAlign w:val="bottom"/>
          </w:tcPr>
          <w:p>
            <w:pPr>
              <w:spacing w:after="0"/>
              <w:rPr>
                <w:sz w:val="1"/>
                <w:szCs w:val="1"/>
                <w:color w:val="auto"/>
              </w:rPr>
            </w:pPr>
          </w:p>
        </w:tc>
      </w:tr>
      <w:tr>
        <w:trPr>
          <w:trHeight w:val="192"/>
        </w:trPr>
        <w:tc>
          <w:tcPr>
            <w:tcW w:w="4600" w:type="dxa"/>
            <w:vAlign w:val="bottom"/>
            <w:gridSpan w:val="2"/>
            <w:vMerge w:val="continue"/>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Expiring</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Expiring</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Expiring Leases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49"/>
        </w:trPr>
        <w:tc>
          <w:tcPr>
            <w:tcW w:w="4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39,813,000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2,789,000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69,380,000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2,814,000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70,995,000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2,209,000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58,764,000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2,522,000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71,346,000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2,476,000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58,671,000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1,027,000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32,492,000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1,111,000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33,493,000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1,329,000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38,095,000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843,000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28,029,000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2,566,000</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65,336,000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6"/>
        </w:trPr>
        <w:tc>
          <w:tcPr>
            <w:tcW w:w="46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21,051,000</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566,414,000</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2016, we signed leases for a total of 1,688,000 square feet of retail space including 1,473,000 square feet of comparable space leases (leases for which there was a prior tenant) at an average rental increase of 13% on a cash basis and 26% on a straight-line basis. New leases for comparable spaces were signed for 543,000 square feet at an average rental increase of 24% on a cash basis and 40% on a straight-line basis. Renewals for comparable spaces were signed for 930,000 square feet at an average rental increase of 7% on a cash basis and 17% on a straight-line basis. Tenant improvements and incentives for comparable spaces were $66.47 per square foot for new leases and $10.28 per square foot for renewals in 2016.</w:t>
      </w:r>
    </w:p>
    <w:p>
      <w:pPr>
        <w:spacing w:after="0" w:line="4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2015, we signed leases for a total of 1,593,000 square feet of retail space including 1,405,000 square feet of comparable space leases (leases for which there was a prior tenant) at an average rental increase of 17% on a cash basis and 29% on a straight-line basis. New leases for comparable spaces were signed for 547,000 square feet at an average rental increase of 22% on a cash basis and 35% on a straight-line basis. Renewals for comparable spaces were signed for 859,000 square feet at an average rental increase of 14% on a cash basis and 24% on a straight-line basis. Tenant improvements and incentives for comparable spaces were $60.98 per square foot for new leases and $8.79 for renewal leases in 2015.</w:t>
      </w:r>
    </w:p>
    <w:p>
      <w:pPr>
        <w:spacing w:after="0" w:line="1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leases signed in 2016 generally become effective over the following two years though some may not become effective until 2019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Historically, we have executed comparable space leases for 1.2 to 1.5 million square feet of retail space each year and expect the volume for 2017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126" w:right="37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and Residential Properties</w:t>
      </w:r>
    </w:p>
    <w:p>
      <w:pPr>
        <w:spacing w:after="0" w:line="9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otherwise controlled and are consolidated as of December 31, 2016. Except as otherwise noted, we are the sole owner of our retail real estate projects. Principal tenants are the largest tenants in the project based on square feet leased or are tenants important to a project’s success due to their ability to attract retail customers.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Square Feet(1)</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 Square</w:t>
            </w:r>
          </w:p>
        </w:tc>
        <w:tc>
          <w:tcPr>
            <w:tcW w:w="11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760" w:type="dxa"/>
            <w:vAlign w:val="bottom"/>
            <w:gridSpan w:val="9"/>
            <w:vMerge w:val="continue"/>
          </w:tcPr>
          <w:p>
            <w:pPr>
              <w:spacing w:after="0"/>
              <w:rPr>
                <w:sz w:val="16"/>
                <w:szCs w:val="16"/>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Completed</w:t>
            </w: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Acquired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/Apartment Units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Foot(2)</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Leased(3)</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2"/>
                <w:shd w:val="clear" w:color="auto" w:fill="CCEEFF"/>
              </w:rPr>
              <w:t>California</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760" w:type="dxa"/>
            <w:vAlign w:val="bottom"/>
            <w:tcBorders>
              <w:top w:val="single" w:sz="8" w:color="CCEEFF"/>
            </w:tcBorders>
            <w:gridSpan w:val="9"/>
          </w:tcPr>
          <w:p>
            <w:pPr>
              <w:ind w:left="40"/>
              <w:spacing w:after="0" w:line="157" w:lineRule="exact"/>
              <w:rPr>
                <w:sz w:val="20"/>
                <w:szCs w:val="20"/>
                <w:color w:val="auto"/>
              </w:rPr>
            </w:pPr>
            <w:r>
              <w:rPr>
                <w:rFonts w:ascii="Arial" w:cs="Arial" w:eastAsia="Arial" w:hAnsi="Arial"/>
                <w:sz w:val="14"/>
                <w:szCs w:val="14"/>
                <w:color w:val="auto"/>
              </w:rPr>
              <w:t>150 Post Street</w:t>
            </w:r>
          </w:p>
        </w:tc>
        <w:tc>
          <w:tcPr>
            <w:tcW w:w="1040" w:type="dxa"/>
            <w:vAlign w:val="bottom"/>
            <w:tcBorders>
              <w:top w:val="single" w:sz="8" w:color="CCEEFF"/>
            </w:tcBorders>
            <w:gridSpan w:val="2"/>
          </w:tcPr>
          <w:p>
            <w:pPr>
              <w:jc w:val="center"/>
              <w:spacing w:after="0" w:line="157" w:lineRule="exact"/>
              <w:rPr>
                <w:sz w:val="20"/>
                <w:szCs w:val="20"/>
                <w:color w:val="auto"/>
              </w:rPr>
            </w:pPr>
            <w:r>
              <w:rPr>
                <w:rFonts w:ascii="Arial" w:cs="Arial" w:eastAsia="Arial" w:hAnsi="Arial"/>
                <w:sz w:val="14"/>
                <w:szCs w:val="14"/>
                <w:color w:val="auto"/>
                <w:w w:val="91"/>
              </w:rPr>
              <w:t>1908, 1965</w:t>
            </w:r>
          </w:p>
        </w:tc>
        <w:tc>
          <w:tcPr>
            <w:tcW w:w="12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gridSpan w:val="2"/>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tcBorders>
              <w:top w:val="single" w:sz="8" w:color="CCEEFF"/>
            </w:tcBorders>
          </w:tcPr>
          <w:p>
            <w:pPr>
              <w:spacing w:after="0"/>
              <w:rPr>
                <w:sz w:val="13"/>
                <w:szCs w:val="13"/>
                <w:color w:val="auto"/>
              </w:rPr>
            </w:pPr>
          </w:p>
        </w:tc>
        <w:tc>
          <w:tcPr>
            <w:tcW w:w="1360" w:type="dxa"/>
            <w:vAlign w:val="bottom"/>
            <w:tcBorders>
              <w:top w:val="single" w:sz="8" w:color="CCEEFF"/>
            </w:tcBorders>
          </w:tcPr>
          <w:p>
            <w:pPr>
              <w:jc w:val="center"/>
              <w:spacing w:after="0" w:line="157" w:lineRule="exact"/>
              <w:rPr>
                <w:sz w:val="20"/>
                <w:szCs w:val="20"/>
                <w:color w:val="auto"/>
              </w:rPr>
            </w:pPr>
            <w:r>
              <w:rPr>
                <w:rFonts w:ascii="Arial" w:cs="Arial" w:eastAsia="Arial" w:hAnsi="Arial"/>
                <w:sz w:val="14"/>
                <w:szCs w:val="14"/>
                <w:color w:val="auto"/>
                <w:w w:val="94"/>
              </w:rPr>
              <w:t>105,000</w:t>
            </w:r>
          </w:p>
        </w:tc>
        <w:tc>
          <w:tcPr>
            <w:tcW w:w="10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jc w:val="center"/>
              <w:spacing w:after="0" w:line="157" w:lineRule="exact"/>
              <w:rPr>
                <w:sz w:val="20"/>
                <w:szCs w:val="20"/>
                <w:color w:val="auto"/>
              </w:rPr>
            </w:pPr>
            <w:r>
              <w:rPr>
                <w:rFonts w:ascii="Arial" w:cs="Arial" w:eastAsia="Arial" w:hAnsi="Arial"/>
                <w:sz w:val="14"/>
                <w:szCs w:val="14"/>
                <w:color w:val="auto"/>
                <w:w w:val="93"/>
              </w:rPr>
              <w:t>$44.41</w:t>
            </w:r>
          </w:p>
        </w:tc>
        <w:tc>
          <w:tcPr>
            <w:tcW w:w="10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jc w:val="center"/>
              <w:spacing w:after="0" w:line="157" w:lineRule="exact"/>
              <w:rPr>
                <w:sz w:val="20"/>
                <w:szCs w:val="20"/>
                <w:color w:val="auto"/>
              </w:rPr>
            </w:pPr>
            <w:r>
              <w:rPr>
                <w:rFonts w:ascii="Arial" w:cs="Arial" w:eastAsia="Arial" w:hAnsi="Arial"/>
                <w:sz w:val="14"/>
                <w:szCs w:val="14"/>
                <w:color w:val="auto"/>
                <w:w w:val="92"/>
              </w:rPr>
              <w:t>81%</w:t>
            </w:r>
          </w:p>
        </w:tc>
        <w:tc>
          <w:tcPr>
            <w:tcW w:w="100" w:type="dxa"/>
            <w:vAlign w:val="bottom"/>
            <w:tcBorders>
              <w:top w:val="single" w:sz="8" w:color="CCEEFF"/>
            </w:tcBorders>
          </w:tcPr>
          <w:p>
            <w:pPr>
              <w:spacing w:after="0"/>
              <w:rPr>
                <w:sz w:val="13"/>
                <w:szCs w:val="13"/>
                <w:color w:val="auto"/>
              </w:rPr>
            </w:pPr>
          </w:p>
        </w:tc>
        <w:tc>
          <w:tcPr>
            <w:tcW w:w="2620" w:type="dxa"/>
            <w:vAlign w:val="bottom"/>
            <w:tcBorders>
              <w:top w:val="single" w:sz="8" w:color="CCEEFF"/>
            </w:tcBorders>
            <w:gridSpan w:val="4"/>
          </w:tcPr>
          <w:p>
            <w:pPr>
              <w:ind w:left="40"/>
              <w:spacing w:after="0" w:line="157" w:lineRule="exact"/>
              <w:rPr>
                <w:sz w:val="20"/>
                <w:szCs w:val="20"/>
                <w:color w:val="auto"/>
              </w:rPr>
            </w:pPr>
            <w:r>
              <w:rPr>
                <w:rFonts w:ascii="Arial" w:cs="Arial" w:eastAsia="Arial" w:hAnsi="Arial"/>
                <w:sz w:val="14"/>
                <w:szCs w:val="14"/>
                <w:color w:val="auto"/>
              </w:rPr>
              <w:t>Shreve &amp; Co.</w:t>
            </w:r>
          </w:p>
        </w:tc>
        <w:tc>
          <w:tcPr>
            <w:tcW w:w="0" w:type="dxa"/>
            <w:vAlign w:val="bottom"/>
          </w:tcPr>
          <w:p>
            <w:pPr>
              <w:spacing w:after="0"/>
              <w:rPr>
                <w:sz w:val="1"/>
                <w:szCs w:val="1"/>
                <w:color w:val="auto"/>
              </w:rPr>
            </w:pPr>
          </w:p>
        </w:tc>
      </w:tr>
      <w:tr>
        <w:trPr>
          <w:trHeight w:val="188"/>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San Francisco, CA 94108</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93"/>
                <w:shd w:val="clear" w:color="auto" w:fill="CCEEFF"/>
              </w:rPr>
              <w:t>Colorado Blvd</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5"/>
                <w:shd w:val="clear" w:color="auto" w:fill="CCEEFF"/>
              </w:rPr>
              <w:t>1905-1988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0"/>
                <w:shd w:val="clear" w:color="auto" w:fill="CCEEFF"/>
              </w:rPr>
              <w:t>1996/1998</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69,000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$44.18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Pottery Barn</w:t>
            </w: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Pasadena, CA</w:t>
            </w:r>
          </w:p>
        </w:tc>
        <w:tc>
          <w:tcPr>
            <w:tcW w:w="1760" w:type="dxa"/>
            <w:vAlign w:val="bottom"/>
            <w:tcBorders>
              <w:bottom w:val="single" w:sz="8" w:color="CCEEFF"/>
            </w:tcBorders>
            <w:gridSpan w:val="3"/>
            <w:shd w:val="clear" w:color="auto" w:fill="CCEEFF"/>
          </w:tcPr>
          <w:p>
            <w:pPr>
              <w:jc w:val="right"/>
              <w:ind w:right="1168"/>
              <w:spacing w:after="0"/>
              <w:rPr>
                <w:sz w:val="20"/>
                <w:szCs w:val="20"/>
                <w:color w:val="auto"/>
              </w:rPr>
            </w:pPr>
            <w:r>
              <w:rPr>
                <w:rFonts w:ascii="Arial" w:cs="Arial" w:eastAsia="Arial" w:hAnsi="Arial"/>
                <w:sz w:val="14"/>
                <w:szCs w:val="14"/>
                <w:color w:val="auto"/>
                <w:w w:val="89"/>
                <w:shd w:val="clear" w:color="auto" w:fill="CCEEFF"/>
              </w:rPr>
              <w:t>91103(4)</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Banana Republic</w:t>
            </w: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Crow Canyon Commons</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1"/>
              </w:rPr>
              <w:t>1980, 1998,</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0"/>
              </w:rPr>
              <w:t>2005/2007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241,000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$27.37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91%</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Sprouts</w:t>
            </w:r>
          </w:p>
        </w:tc>
        <w:tc>
          <w:tcPr>
            <w:tcW w:w="0" w:type="dxa"/>
            <w:vAlign w:val="bottom"/>
          </w:tcPr>
          <w:p>
            <w:pPr>
              <w:spacing w:after="0"/>
              <w:rPr>
                <w:sz w:val="1"/>
                <w:szCs w:val="1"/>
                <w:color w:val="auto"/>
              </w:rPr>
            </w:pPr>
          </w:p>
        </w:tc>
      </w:tr>
      <w:tr>
        <w:trPr>
          <w:trHeight w:val="148"/>
        </w:trPr>
        <w:tc>
          <w:tcPr>
            <w:tcW w:w="276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San Ramon, CA 94583</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Orchard Supply Hardware</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940" w:type="dxa"/>
            <w:vAlign w:val="bottom"/>
            <w:gridSpan w:val="5"/>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East Bay Bridge</w:t>
            </w:r>
          </w:p>
        </w:tc>
        <w:tc>
          <w:tcPr>
            <w:tcW w:w="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shd w:val="clear" w:color="auto" w:fill="CCEEFF"/>
              </w:rPr>
              <w:t>1994-2001,</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2012</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439,000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$18.17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Home Depot</w:t>
            </w: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94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Emeryville &amp;</w:t>
            </w:r>
          </w:p>
        </w:tc>
        <w:tc>
          <w:tcPr>
            <w:tcW w:w="1660" w:type="dxa"/>
            <w:vAlign w:val="bottom"/>
            <w:gridSpan w:val="2"/>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1"/>
                <w:shd w:val="clear" w:color="auto" w:fill="CCEEFF"/>
              </w:rPr>
              <w:t>Oakland, CA 94608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right="128"/>
              <w:spacing w:after="0" w:line="149" w:lineRule="exact"/>
              <w:rPr>
                <w:sz w:val="20"/>
                <w:szCs w:val="20"/>
                <w:color w:val="auto"/>
              </w:rPr>
            </w:pPr>
            <w:r>
              <w:rPr>
                <w:rFonts w:ascii="Arial" w:cs="Arial" w:eastAsia="Arial" w:hAnsi="Arial"/>
                <w:sz w:val="14"/>
                <w:szCs w:val="14"/>
                <w:color w:val="auto"/>
                <w:w w:val="91"/>
                <w:shd w:val="clear" w:color="auto" w:fill="CCEEFF"/>
              </w:rPr>
              <w:t>2011, 2012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7"/>
                <w:shd w:val="clear" w:color="auto" w:fill="CCEEFF"/>
              </w:rPr>
              <w:t>Michaels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87"/>
                <w:shd w:val="clear" w:color="auto" w:fill="CCEEFF"/>
              </w:rPr>
              <w:t>Pak-N-Save</w:t>
            </w: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Target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2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Ashley Furniture</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Ulta</w:t>
            </w:r>
          </w:p>
        </w:tc>
        <w:tc>
          <w:tcPr>
            <w:tcW w:w="340" w:type="dxa"/>
            <w:vAlign w:val="bottom"/>
            <w:tcBorders>
              <w:bottom w:val="single" w:sz="8" w:color="CCEEFF"/>
            </w:tcBorders>
            <w:gridSpan w:val="2"/>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Escondido Promenade</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1987</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0"/>
              </w:rPr>
              <w:t>1996/2010</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298,000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$24.59</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276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Escondido, CA 92029(5)</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98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88"/>
                <w:shd w:val="clear" w:color="auto" w:fill="CCEEFF"/>
              </w:rPr>
              <w:t>Hermosa Avenue</w:t>
            </w: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1922</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23,000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$42.27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Hermosa Beach,</w:t>
            </w:r>
          </w:p>
        </w:tc>
        <w:tc>
          <w:tcPr>
            <w:tcW w:w="162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w w:val="93"/>
                <w:shd w:val="clear" w:color="auto" w:fill="CCEEFF"/>
              </w:rPr>
              <w:t>CA 90254</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Hollywood Blvd</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1"/>
              </w:rPr>
              <w:t>1929, 1991</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1999</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180,000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$33.98</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91%</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8"/>
        </w:trPr>
        <w:tc>
          <w:tcPr>
            <w:tcW w:w="276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Hollywood, CA 90028</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La La Land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Kings Court</w:t>
            </w:r>
          </w:p>
        </w:tc>
        <w:tc>
          <w:tcPr>
            <w:tcW w:w="60" w:type="dxa"/>
            <w:vAlign w:val="bottom"/>
            <w:shd w:val="clear" w:color="auto" w:fill="CCEEFF"/>
          </w:tcPr>
          <w:p>
            <w:pPr>
              <w:spacing w:after="0"/>
              <w:rPr>
                <w:sz w:val="14"/>
                <w:szCs w:val="14"/>
                <w:color w:val="auto"/>
              </w:rPr>
            </w:pPr>
          </w:p>
        </w:tc>
        <w:tc>
          <w:tcPr>
            <w:tcW w:w="1840" w:type="dxa"/>
            <w:vAlign w:val="bottom"/>
            <w:gridSpan w:val="4"/>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1960</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1998</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79,000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$32.03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Lunardi's Supermarket</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Los Gatos,</w:t>
            </w:r>
          </w:p>
        </w:tc>
        <w:tc>
          <w:tcPr>
            <w:tcW w:w="1900" w:type="dxa"/>
            <w:vAlign w:val="bottom"/>
            <w:tcBorders>
              <w:bottom w:val="single" w:sz="8" w:color="CCEEFF"/>
            </w:tcBorders>
            <w:gridSpan w:val="5"/>
            <w:shd w:val="clear" w:color="auto" w:fill="CCEEFF"/>
          </w:tcPr>
          <w:p>
            <w:pPr>
              <w:jc w:val="right"/>
              <w:ind w:right="948"/>
              <w:spacing w:after="0"/>
              <w:rPr>
                <w:sz w:val="20"/>
                <w:szCs w:val="20"/>
                <w:color w:val="auto"/>
              </w:rPr>
            </w:pPr>
            <w:r>
              <w:rPr>
                <w:rFonts w:ascii="Arial" w:cs="Arial" w:eastAsia="Arial" w:hAnsi="Arial"/>
                <w:sz w:val="14"/>
                <w:szCs w:val="14"/>
                <w:color w:val="auto"/>
                <w:w w:val="89"/>
                <w:shd w:val="clear" w:color="auto" w:fill="CCEEFF"/>
              </w:rPr>
              <w:t>CA 95032(4)(6)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CVS</w:t>
            </w:r>
          </w:p>
        </w:tc>
        <w:tc>
          <w:tcPr>
            <w:tcW w:w="340" w:type="dxa"/>
            <w:vAlign w:val="bottom"/>
            <w:tcBorders>
              <w:bottom w:val="single" w:sz="8" w:color="CCEEFF"/>
            </w:tcBorders>
            <w:gridSpan w:val="2"/>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Old Town Center</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1"/>
              </w:rPr>
              <w:t>1962, 1998</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98,000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$41.51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48"/>
        </w:trPr>
        <w:tc>
          <w:tcPr>
            <w:tcW w:w="276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Los Gatos, CA 95030</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7"/>
            <w:shd w:val="clear" w:color="auto" w:fill="CCEEFF"/>
          </w:tcPr>
          <w:p>
            <w:pPr>
              <w:spacing w:after="0"/>
              <w:rPr>
                <w:sz w:val="20"/>
                <w:szCs w:val="20"/>
                <w:color w:val="auto"/>
              </w:rPr>
            </w:pPr>
            <w:r>
              <w:rPr>
                <w:rFonts w:ascii="Arial" w:cs="Arial" w:eastAsia="Arial" w:hAnsi="Arial"/>
                <w:sz w:val="14"/>
                <w:szCs w:val="14"/>
                <w:color w:val="auto"/>
                <w:shd w:val="clear" w:color="auto" w:fill="CCEEFF"/>
              </w:rPr>
              <w:t>Plaza El Segundo / The Point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2006-2007, 2016</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2011/2013</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494,000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$43.26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H&amp;M</w:t>
            </w:r>
          </w:p>
        </w:tc>
        <w:tc>
          <w:tcPr>
            <w:tcW w:w="340" w:type="dxa"/>
            <w:vAlign w:val="bottom"/>
            <w:gridSpan w:val="2"/>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El Segundo, CA 90245(5)(8)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Anthropologie</w:t>
            </w: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shd w:val="clear" w:color="auto" w:fill="CCEEFF"/>
              </w:rPr>
              <w:t>Best Buy</w:t>
            </w:r>
          </w:p>
        </w:tc>
        <w:tc>
          <w:tcPr>
            <w:tcW w:w="340" w:type="dxa"/>
            <w:vAlign w:val="bottom"/>
            <w:gridSpan w:val="2"/>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shd w:val="clear" w:color="auto" w:fill="CCEEFF"/>
              </w:rPr>
              <w:t>HomeGoods</w:t>
            </w: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Whole Foods</w:t>
            </w: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4"/>
                <w:shd w:val="clear" w:color="auto" w:fill="CCEEFF"/>
              </w:rPr>
              <w:t>Dick's Sporting</w:t>
            </w:r>
          </w:p>
        </w:tc>
        <w:tc>
          <w:tcPr>
            <w:tcW w:w="1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Goods</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w w:val="89"/>
                <w:shd w:val="clear" w:color="auto" w:fill="CCEEFF"/>
              </w:rPr>
              <w:t>Container Store</w:t>
            </w:r>
          </w:p>
        </w:tc>
        <w:tc>
          <w:tcPr>
            <w:tcW w:w="1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San Antonio Center</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1"/>
              </w:rPr>
              <w:t>1958,</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376,000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$13.36</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48"/>
        </w:trPr>
        <w:tc>
          <w:tcPr>
            <w:tcW w:w="276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Mountain View, CA 94040(4)(5)(6)</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1964-1965,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Walmart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1974-1975,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1995-1997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24 Hour Fitness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Jo-Ann Stores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87"/>
                <w:shd w:val="clear" w:color="auto" w:fill="CCEEFF"/>
              </w:rPr>
              <w:t>Santana Row</w:t>
            </w:r>
          </w:p>
        </w:tc>
        <w:tc>
          <w:tcPr>
            <w:tcW w:w="1840" w:type="dxa"/>
            <w:vAlign w:val="bottom"/>
            <w:gridSpan w:val="4"/>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2002, 2009,</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888,000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shd w:val="clear" w:color="auto" w:fill="CCEEFF"/>
              </w:rPr>
              <w:t>49.81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2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H&amp;M</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86"/>
                <w:shd w:val="clear" w:color="auto" w:fill="CCEEFF"/>
              </w:rPr>
              <w:t>San Jose, CA</w:t>
            </w:r>
          </w:p>
        </w:tc>
        <w:tc>
          <w:tcPr>
            <w:tcW w:w="1840" w:type="dxa"/>
            <w:vAlign w:val="bottom"/>
            <w:gridSpan w:val="4"/>
            <w:shd w:val="clear" w:color="auto" w:fill="CCEEFF"/>
          </w:tcPr>
          <w:p>
            <w:pPr>
              <w:jc w:val="right"/>
              <w:ind w:right="1208"/>
              <w:spacing w:after="0" w:line="149" w:lineRule="exact"/>
              <w:rPr>
                <w:sz w:val="20"/>
                <w:szCs w:val="20"/>
                <w:color w:val="auto"/>
              </w:rPr>
            </w:pPr>
            <w:r>
              <w:rPr>
                <w:rFonts w:ascii="Arial" w:cs="Arial" w:eastAsia="Arial" w:hAnsi="Arial"/>
                <w:sz w:val="14"/>
                <w:szCs w:val="14"/>
                <w:color w:val="auto"/>
                <w:w w:val="96"/>
                <w:shd w:val="clear" w:color="auto" w:fill="CCEEFF"/>
              </w:rPr>
              <w:t>95128(4)</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Crate &amp; Barrel</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CineArts Theatre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Splunk, Inc.</w:t>
            </w: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Santana Row Residential</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2003-2006,</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0"/>
              </w:rPr>
              <w:t>1997/2012</w:t>
            </w:r>
          </w:p>
        </w:tc>
        <w:tc>
          <w:tcPr>
            <w:tcW w:w="120" w:type="dxa"/>
            <w:vAlign w:val="bottom"/>
          </w:tcPr>
          <w:p>
            <w:pPr>
              <w:spacing w:after="0"/>
              <w:rPr>
                <w:sz w:val="13"/>
                <w:szCs w:val="13"/>
                <w:color w:val="auto"/>
              </w:rPr>
            </w:pPr>
          </w:p>
        </w:tc>
        <w:tc>
          <w:tcPr>
            <w:tcW w:w="146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w w:val="91"/>
              </w:rPr>
              <w:t>662 units</w:t>
            </w:r>
          </w:p>
        </w:tc>
        <w:tc>
          <w:tcPr>
            <w:tcW w:w="124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N/A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San Jose, CA 95128</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1"/>
              </w:rPr>
              <w:t>2011, 2014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7"/>
            <w:shd w:val="clear" w:color="auto" w:fill="CCEEFF"/>
          </w:tcPr>
          <w:p>
            <w:pPr>
              <w:spacing w:after="0"/>
              <w:rPr>
                <w:sz w:val="20"/>
                <w:szCs w:val="20"/>
                <w:color w:val="auto"/>
              </w:rPr>
            </w:pPr>
            <w:r>
              <w:rPr>
                <w:rFonts w:ascii="Arial" w:cs="Arial" w:eastAsia="Arial" w:hAnsi="Arial"/>
                <w:sz w:val="14"/>
                <w:szCs w:val="14"/>
                <w:color w:val="auto"/>
                <w:shd w:val="clear" w:color="auto" w:fill="CCEEFF"/>
              </w:rPr>
              <w:t>Third Street Promenade</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1888-2000</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1996-2000</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209,000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$76.01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4"/>
                <w:szCs w:val="14"/>
                <w:color w:val="auto"/>
              </w:rPr>
            </w:pPr>
          </w:p>
        </w:tc>
        <w:tc>
          <w:tcPr>
            <w:tcW w:w="2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Abercrombie &amp; Fitch</w:t>
            </w: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2600" w:type="dxa"/>
            <w:vAlign w:val="bottom"/>
            <w:gridSpan w:val="7"/>
            <w:shd w:val="clear" w:color="auto" w:fill="CCEEFF"/>
          </w:tcPr>
          <w:p>
            <w:pPr>
              <w:spacing w:after="0"/>
              <w:rPr>
                <w:sz w:val="20"/>
                <w:szCs w:val="20"/>
                <w:color w:val="auto"/>
              </w:rPr>
            </w:pPr>
            <w:r>
              <w:rPr>
                <w:rFonts w:ascii="Arial" w:cs="Arial" w:eastAsia="Arial" w:hAnsi="Arial"/>
                <w:sz w:val="14"/>
                <w:szCs w:val="14"/>
                <w:color w:val="auto"/>
                <w:shd w:val="clear" w:color="auto" w:fill="CCEEFF"/>
              </w:rPr>
              <w:t>Santa Monica, CA 90401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J. Crew</w:t>
            </w:r>
          </w:p>
        </w:tc>
        <w:tc>
          <w:tcPr>
            <w:tcW w:w="2020" w:type="dxa"/>
            <w:vAlign w:val="bottom"/>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3"/>
                <w:shd w:val="clear" w:color="auto" w:fill="CCEEFF"/>
              </w:rPr>
              <w:t>Old Navy</w:t>
            </w:r>
          </w:p>
        </w:tc>
        <w:tc>
          <w:tcPr>
            <w:tcW w:w="2020" w:type="dxa"/>
            <w:vAlign w:val="bottom"/>
            <w:gridSpan w:val="3"/>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Banana</w:t>
            </w:r>
          </w:p>
        </w:tc>
        <w:tc>
          <w:tcPr>
            <w:tcW w:w="2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shd w:val="clear" w:color="auto" w:fill="CCEEFF"/>
              </w:rPr>
              <w:t>Republic</w:t>
            </w: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Westgate Center</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5"/>
              </w:rPr>
              <w:t>1960-1966</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638,000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$17.96</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Nike Factory</w:t>
            </w:r>
          </w:p>
        </w:tc>
        <w:tc>
          <w:tcPr>
            <w:tcW w:w="0" w:type="dxa"/>
            <w:vAlign w:val="bottom"/>
          </w:tcPr>
          <w:p>
            <w:pPr>
              <w:spacing w:after="0"/>
              <w:rPr>
                <w:sz w:val="1"/>
                <w:szCs w:val="1"/>
                <w:color w:val="auto"/>
              </w:rPr>
            </w:pPr>
          </w:p>
        </w:tc>
      </w:tr>
      <w:tr>
        <w:trPr>
          <w:trHeight w:val="148"/>
        </w:trPr>
        <w:tc>
          <w:tcPr>
            <w:tcW w:w="276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San Jose, CA 95129</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Walmart Neighborhood Market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bl>
    <w:p>
      <w:pPr>
        <w:ind w:left="8840"/>
        <w:spacing w:after="0" w:line="221" w:lineRule="auto"/>
        <w:rPr>
          <w:sz w:val="20"/>
          <w:szCs w:val="20"/>
          <w:color w:val="auto"/>
        </w:rPr>
      </w:pPr>
      <w:r>
        <w:rPr>
          <w:rFonts w:ascii="Arial" w:cs="Arial" w:eastAsia="Arial" w:hAnsi="Arial"/>
          <w:sz w:val="14"/>
          <w:szCs w:val="14"/>
          <w:color w:val="auto"/>
        </w:rPr>
        <w:t>Michaels</w:t>
      </w:r>
    </w:p>
    <w:p>
      <w:pPr>
        <w:ind w:left="8840"/>
        <w:spacing w:after="0" w:line="221" w:lineRule="auto"/>
        <w:rPr>
          <w:sz w:val="20"/>
          <w:szCs w:val="20"/>
          <w:color w:val="auto"/>
        </w:rPr>
      </w:pPr>
      <w:r>
        <w:rPr>
          <w:rFonts w:ascii="Arial" w:cs="Arial" w:eastAsia="Arial" w:hAnsi="Arial"/>
          <w:sz w:val="14"/>
          <w:szCs w:val="14"/>
          <w:color w:val="auto"/>
        </w:rPr>
        <w:t>Nordstrom Rack</w:t>
      </w:r>
    </w:p>
    <w:p>
      <w:pPr>
        <w:ind w:left="8840"/>
        <w:spacing w:after="0" w:line="221" w:lineRule="auto"/>
        <w:rPr>
          <w:sz w:val="20"/>
          <w:szCs w:val="20"/>
          <w:color w:val="auto"/>
        </w:rPr>
      </w:pPr>
      <w:r>
        <w:rPr>
          <w:rFonts w:ascii="Arial" w:cs="Arial" w:eastAsia="Arial" w:hAnsi="Arial"/>
          <w:sz w:val="14"/>
          <w:szCs w:val="14"/>
          <w:color w:val="auto"/>
        </w:rPr>
        <w:t>J. Crew</w:t>
      </w:r>
    </w:p>
    <w:p>
      <w:pPr>
        <w:ind w:left="8840"/>
        <w:spacing w:after="0"/>
        <w:rPr>
          <w:sz w:val="20"/>
          <w:szCs w:val="20"/>
          <w:color w:val="auto"/>
        </w:rPr>
      </w:pPr>
      <w:r>
        <w:rPr>
          <w:rFonts w:ascii="Arial" w:cs="Arial" w:eastAsia="Arial" w:hAnsi="Arial"/>
          <w:sz w:val="14"/>
          <w:szCs w:val="14"/>
          <w:color w:val="auto"/>
        </w:rPr>
        <w:t>Gap Factory Store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Square Feet(1)</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 Square</w:t>
            </w:r>
          </w:p>
        </w:tc>
        <w:tc>
          <w:tcPr>
            <w:tcW w:w="11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760" w:type="dxa"/>
            <w:vAlign w:val="bottom"/>
            <w:gridSpan w:val="9"/>
            <w:vMerge w:val="continue"/>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Completed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Acquired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/Apartment Units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Foot(2)</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Leased(3)</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w w:val="88"/>
                <w:shd w:val="clear" w:color="auto" w:fill="CCEEFF"/>
              </w:rPr>
              <w:t>Connecticut</w:t>
            </w: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56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Bristol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266,000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$13.36</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8"/>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Bristol, CT 06010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w w:val="96"/>
                <w:shd w:val="clear" w:color="auto" w:fill="CCEEFF"/>
              </w:rPr>
              <w:t>Darien</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1920-2009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2013</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95,000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$28.42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4"/>
                <w:szCs w:val="14"/>
                <w:color w:val="auto"/>
              </w:rPr>
            </w:pPr>
          </w:p>
        </w:tc>
        <w:tc>
          <w:tcPr>
            <w:tcW w:w="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Stop &amp; Shop</w:t>
            </w: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8"/>
                <w:shd w:val="clear" w:color="auto" w:fill="CCEEFF"/>
              </w:rPr>
              <w:t>Darien,</w:t>
            </w:r>
          </w:p>
        </w:tc>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CT 06820</w:t>
            </w: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8"/>
                <w:shd w:val="clear" w:color="auto" w:fill="CCEEFF"/>
              </w:rPr>
              <w:t>Equinox</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Greenwich Avenue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36,000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$70.15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88"/>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Greenwich Avenue, CT 06830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b w:val="1"/>
                <w:bCs w:val="1"/>
                <w:color w:val="auto"/>
                <w:w w:val="93"/>
                <w:shd w:val="clear" w:color="auto" w:fill="CCEEFF"/>
              </w:rPr>
              <w:t>District of Columbia</w:t>
            </w:r>
          </w:p>
        </w:tc>
        <w:tc>
          <w:tcPr>
            <w:tcW w:w="1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Friendship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2001</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119,000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$29.01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8"/>
        </w:trPr>
        <w:tc>
          <w:tcPr>
            <w:tcW w:w="276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Washington, DC 20015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Maggiano's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260" w:type="dxa"/>
            <w:vAlign w:val="bottom"/>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Sam's Park &amp; Shop</w:t>
            </w: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1930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49,000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$45.16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Petco</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4"/>
                <w:szCs w:val="14"/>
                <w:color w:val="auto"/>
                <w:shd w:val="clear" w:color="auto" w:fill="CCEEFF"/>
              </w:rPr>
              <w:t>Washington, DC 20008</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gridSpan w:val="9"/>
          </w:tcPr>
          <w:p>
            <w:pPr>
              <w:ind w:left="40"/>
              <w:spacing w:after="0"/>
              <w:rPr>
                <w:sz w:val="20"/>
                <w:szCs w:val="20"/>
                <w:color w:val="auto"/>
              </w:rPr>
            </w:pPr>
            <w:r>
              <w:rPr>
                <w:rFonts w:ascii="Arial" w:cs="Arial" w:eastAsia="Arial" w:hAnsi="Arial"/>
                <w:sz w:val="14"/>
                <w:szCs w:val="14"/>
                <w:b w:val="1"/>
                <w:bCs w:val="1"/>
                <w:color w:val="auto"/>
              </w:rPr>
              <w:t>Florida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6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w w:val="90"/>
                <w:shd w:val="clear" w:color="auto" w:fill="CCEEFF"/>
              </w:rPr>
              <w:t>CocoWalk</w:t>
            </w:r>
          </w:p>
        </w:tc>
        <w:tc>
          <w:tcPr>
            <w:tcW w:w="240" w:type="dxa"/>
            <w:vAlign w:val="bottom"/>
            <w:gridSpan w:val="2"/>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1990/1994,</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2015/2016</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222,000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$36.24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78%</w:t>
            </w:r>
          </w:p>
        </w:tc>
        <w:tc>
          <w:tcPr>
            <w:tcW w:w="100" w:type="dxa"/>
            <w:vAlign w:val="bottom"/>
            <w:shd w:val="clear" w:color="auto" w:fill="CCEEFF"/>
          </w:tcPr>
          <w:p>
            <w:pPr>
              <w:spacing w:after="0"/>
              <w:rPr>
                <w:sz w:val="13"/>
                <w:szCs w:val="13"/>
                <w:color w:val="auto"/>
              </w:rPr>
            </w:pPr>
          </w:p>
        </w:tc>
        <w:tc>
          <w:tcPr>
            <w:tcW w:w="2620" w:type="dxa"/>
            <w:vAlign w:val="bottom"/>
            <w:gridSpan w:val="6"/>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Cinepolis Theaters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Coconut</w:t>
            </w:r>
          </w:p>
        </w:tc>
        <w:tc>
          <w:tcPr>
            <w:tcW w:w="2000" w:type="dxa"/>
            <w:vAlign w:val="bottom"/>
            <w:gridSpan w:val="4"/>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w w:val="88"/>
                <w:shd w:val="clear" w:color="auto" w:fill="CCEEFF"/>
              </w:rPr>
              <w:t>Grove, FL 33133(5)(11)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1922-1973</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Gap</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Youfit Health Club</w:t>
            </w: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Del Mar Village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1982, 1994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2008/2014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196,000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$16.11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91%</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Winn Dixie</w:t>
            </w:r>
          </w:p>
        </w:tc>
        <w:tc>
          <w:tcPr>
            <w:tcW w:w="0" w:type="dxa"/>
            <w:vAlign w:val="bottom"/>
          </w:tcPr>
          <w:p>
            <w:pPr>
              <w:spacing w:after="0"/>
              <w:rPr>
                <w:sz w:val="1"/>
                <w:szCs w:val="1"/>
                <w:color w:val="auto"/>
              </w:rPr>
            </w:pPr>
          </w:p>
        </w:tc>
      </w:tr>
      <w:tr>
        <w:trPr>
          <w:trHeight w:val="188"/>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Boca Raton, FL 33433</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&amp; 2007</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7"/>
            <w:shd w:val="clear" w:color="auto" w:fill="CCEEFF"/>
          </w:tcPr>
          <w:p>
            <w:pPr>
              <w:spacing w:after="0"/>
              <w:rPr>
                <w:sz w:val="20"/>
                <w:szCs w:val="20"/>
                <w:color w:val="auto"/>
              </w:rPr>
            </w:pPr>
            <w:r>
              <w:rPr>
                <w:rFonts w:ascii="Arial" w:cs="Arial" w:eastAsia="Arial" w:hAnsi="Arial"/>
                <w:sz w:val="14"/>
                <w:szCs w:val="14"/>
                <w:color w:val="auto"/>
                <w:shd w:val="clear" w:color="auto" w:fill="CCEEFF"/>
              </w:rPr>
              <w:t>The Shops at Sunset Place</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523,000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$21.43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84%</w:t>
            </w:r>
          </w:p>
        </w:tc>
        <w:tc>
          <w:tcPr>
            <w:tcW w:w="100" w:type="dxa"/>
            <w:vAlign w:val="bottom"/>
            <w:shd w:val="clear" w:color="auto" w:fill="CCEEFF"/>
          </w:tcPr>
          <w:p>
            <w:pPr>
              <w:spacing w:after="0"/>
              <w:rPr>
                <w:sz w:val="14"/>
                <w:szCs w:val="14"/>
                <w:color w:val="auto"/>
              </w:rPr>
            </w:pPr>
          </w:p>
        </w:tc>
        <w:tc>
          <w:tcPr>
            <w:tcW w:w="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7"/>
                <w:shd w:val="clear" w:color="auto" w:fill="CCEEFF"/>
              </w:rPr>
              <w:t>AMC Theaters</w:t>
            </w: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South Miami, FL 33143(5)(8)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L.A. Fitness</w:t>
            </w:r>
          </w:p>
        </w:tc>
        <w:tc>
          <w:tcPr>
            <w:tcW w:w="1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Barnes &amp; Noble</w:t>
            </w: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89"/>
                <w:shd w:val="clear" w:color="auto" w:fill="CCEEFF"/>
              </w:rPr>
              <w:t>GameTime</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86"/>
                <w:shd w:val="clear" w:color="auto" w:fill="CCEEFF"/>
              </w:rPr>
              <w:t>Restoration</w:t>
            </w:r>
          </w:p>
        </w:tc>
        <w:tc>
          <w:tcPr>
            <w:tcW w:w="2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Hardware Outlet</w:t>
            </w: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Tower Shops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2011/2014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414,000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$21.80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8"/>
        </w:trPr>
        <w:tc>
          <w:tcPr>
            <w:tcW w:w="276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Davie, FL 33324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0"/>
                <w:shd w:val="clear" w:color="auto" w:fill="CCEEFF"/>
              </w:rPr>
              <w:t>Illinois</w:t>
            </w:r>
          </w:p>
        </w:tc>
        <w:tc>
          <w:tcPr>
            <w:tcW w:w="180" w:type="dxa"/>
            <w:vAlign w:val="bottom"/>
            <w:tcBorders>
              <w:bottom w:val="single" w:sz="8" w:color="CCEEFF"/>
            </w:tcBorders>
            <w:gridSpan w:val="2"/>
            <w:shd w:val="clear" w:color="auto" w:fill="CCEEFF"/>
          </w:tcPr>
          <w:p>
            <w:pPr>
              <w:spacing w:after="0"/>
              <w:rPr>
                <w:sz w:val="14"/>
                <w:szCs w:val="14"/>
                <w:color w:val="auto"/>
              </w:rPr>
            </w:pPr>
          </w:p>
        </w:tc>
        <w:tc>
          <w:tcPr>
            <w:tcW w:w="240" w:type="dxa"/>
            <w:vAlign w:val="bottom"/>
            <w:tcBorders>
              <w:bottom w:val="single" w:sz="8" w:color="CCEEFF"/>
            </w:tcBorders>
            <w:gridSpan w:val="2"/>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Crossroads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168,000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$22.14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88%</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Binny's</w:t>
            </w:r>
          </w:p>
        </w:tc>
        <w:tc>
          <w:tcPr>
            <w:tcW w:w="0" w:type="dxa"/>
            <w:vAlign w:val="bottom"/>
          </w:tcPr>
          <w:p>
            <w:pPr>
              <w:spacing w:after="0"/>
              <w:rPr>
                <w:sz w:val="1"/>
                <w:szCs w:val="1"/>
                <w:color w:val="auto"/>
              </w:rPr>
            </w:pPr>
          </w:p>
        </w:tc>
      </w:tr>
      <w:tr>
        <w:trPr>
          <w:trHeight w:val="148"/>
        </w:trPr>
        <w:tc>
          <w:tcPr>
            <w:tcW w:w="276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Highland Park, IL 60035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Guitar Center</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40" w:type="dxa"/>
            <w:vAlign w:val="bottom"/>
            <w:gridSpan w:val="5"/>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Finley Square</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316,000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$12.67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262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Bed, Bath &amp; 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Downers Grove, IL 60515</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9"/>
                <w:shd w:val="clear" w:color="auto" w:fill="CCEEFF"/>
              </w:rPr>
              <w:t>Petsmart</w:t>
            </w:r>
          </w:p>
        </w:tc>
        <w:tc>
          <w:tcPr>
            <w:tcW w:w="14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5"/>
                <w:shd w:val="clear" w:color="auto" w:fill="CCEEFF"/>
              </w:rPr>
              <w:t>Buy Buy</w:t>
            </w:r>
          </w:p>
        </w:tc>
        <w:tc>
          <w:tcPr>
            <w:tcW w:w="38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Baby</w:t>
            </w:r>
          </w:p>
        </w:tc>
        <w:tc>
          <w:tcPr>
            <w:tcW w:w="1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Michaels</w:t>
            </w: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Garden Market</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140,000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$12.85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Mariano's Fresh Market</w:t>
            </w:r>
          </w:p>
        </w:tc>
        <w:tc>
          <w:tcPr>
            <w:tcW w:w="0" w:type="dxa"/>
            <w:vAlign w:val="bottom"/>
          </w:tcPr>
          <w:p>
            <w:pPr>
              <w:spacing w:after="0"/>
              <w:rPr>
                <w:sz w:val="1"/>
                <w:szCs w:val="1"/>
                <w:color w:val="auto"/>
              </w:rPr>
            </w:pPr>
          </w:p>
        </w:tc>
      </w:tr>
      <w:tr>
        <w:trPr>
          <w:trHeight w:val="188"/>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Western Springs, IL 60558</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7"/>
            <w:shd w:val="clear" w:color="auto" w:fill="CCEEFF"/>
          </w:tcPr>
          <w:p>
            <w:pPr>
              <w:spacing w:after="0"/>
              <w:rPr>
                <w:sz w:val="20"/>
                <w:szCs w:val="20"/>
                <w:color w:val="auto"/>
              </w:rPr>
            </w:pPr>
            <w:r>
              <w:rPr>
                <w:rFonts w:ascii="Arial" w:cs="Arial" w:eastAsia="Arial" w:hAnsi="Arial"/>
                <w:sz w:val="14"/>
                <w:szCs w:val="14"/>
                <w:color w:val="auto"/>
                <w:shd w:val="clear" w:color="auto" w:fill="CCEEFF"/>
              </w:rPr>
              <w:t>North Lake Commons</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1994</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129,000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$11.55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85%</w:t>
            </w: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88"/>
                <w:shd w:val="clear" w:color="auto" w:fill="CCEEFF"/>
              </w:rPr>
              <w:t>Jewel Osco</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4"/>
                <w:szCs w:val="14"/>
                <w:color w:val="auto"/>
                <w:shd w:val="clear" w:color="auto" w:fill="CCEEFF"/>
              </w:rPr>
              <w:t>Lake Zurich, IL 60047</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gridSpan w:val="9"/>
          </w:tcPr>
          <w:p>
            <w:pPr>
              <w:ind w:left="40"/>
              <w:spacing w:after="0"/>
              <w:rPr>
                <w:sz w:val="20"/>
                <w:szCs w:val="20"/>
                <w:color w:val="auto"/>
              </w:rPr>
            </w:pPr>
            <w:r>
              <w:rPr>
                <w:rFonts w:ascii="Arial" w:cs="Arial" w:eastAsia="Arial" w:hAnsi="Arial"/>
                <w:sz w:val="14"/>
                <w:szCs w:val="14"/>
                <w:b w:val="1"/>
                <w:bCs w:val="1"/>
                <w:color w:val="auto"/>
              </w:rPr>
              <w:t>Maryland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840" w:type="dxa"/>
            <w:vAlign w:val="bottom"/>
            <w:gridSpan w:val="5"/>
            <w:shd w:val="clear" w:color="auto" w:fill="CCEEFF"/>
          </w:tcPr>
          <w:p>
            <w:pPr>
              <w:spacing w:after="0" w:line="157" w:lineRule="exact"/>
              <w:rPr>
                <w:sz w:val="20"/>
                <w:szCs w:val="20"/>
                <w:color w:val="auto"/>
              </w:rPr>
            </w:pPr>
            <w:r>
              <w:rPr>
                <w:rFonts w:ascii="Arial" w:cs="Arial" w:eastAsia="Arial" w:hAnsi="Arial"/>
                <w:sz w:val="14"/>
                <w:szCs w:val="14"/>
                <w:color w:val="auto"/>
                <w:w w:val="90"/>
                <w:shd w:val="clear" w:color="auto" w:fill="CCEEFF"/>
              </w:rPr>
              <w:t>Bethesda Row</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1945-1991</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1993-2006/</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534,000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$49.20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3"/>
                <w:szCs w:val="13"/>
                <w:color w:val="auto"/>
              </w:rPr>
            </w:pPr>
          </w:p>
        </w:tc>
        <w:tc>
          <w:tcPr>
            <w:tcW w:w="106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w w:val="98"/>
                <w:shd w:val="clear" w:color="auto" w:fill="CCEEFF"/>
              </w:rPr>
              <w:t>Apple Computer</w:t>
            </w: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840" w:type="dxa"/>
            <w:vAlign w:val="bottom"/>
            <w:gridSpan w:val="5"/>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Bethesda, MD</w:t>
            </w:r>
          </w:p>
        </w:tc>
        <w:tc>
          <w:tcPr>
            <w:tcW w:w="1760" w:type="dxa"/>
            <w:vAlign w:val="bottom"/>
            <w:gridSpan w:val="2"/>
            <w:shd w:val="clear" w:color="auto" w:fill="CCEEFF"/>
          </w:tcPr>
          <w:p>
            <w:pPr>
              <w:jc w:val="right"/>
              <w:ind w:right="1220"/>
              <w:spacing w:after="0"/>
              <w:rPr>
                <w:sz w:val="20"/>
                <w:szCs w:val="20"/>
                <w:color w:val="auto"/>
              </w:rPr>
            </w:pPr>
            <w:r>
              <w:rPr>
                <w:rFonts w:ascii="Arial" w:cs="Arial" w:eastAsia="Arial" w:hAnsi="Arial"/>
                <w:sz w:val="14"/>
                <w:szCs w:val="14"/>
                <w:color w:val="auto"/>
                <w:w w:val="92"/>
                <w:shd w:val="clear" w:color="auto" w:fill="CCEEFF"/>
              </w:rPr>
              <w:t>20814(4)</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2001, 2008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2008/2010</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Barnes &amp; Noble</w:t>
            </w: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shd w:val="clear" w:color="auto" w:fill="CCEEFF"/>
              </w:rPr>
              <w:t>Equinox</w:t>
            </w:r>
          </w:p>
        </w:tc>
        <w:tc>
          <w:tcPr>
            <w:tcW w:w="380" w:type="dxa"/>
            <w:vAlign w:val="bottom"/>
            <w:gridSpan w:val="3"/>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89"/>
                <w:shd w:val="clear" w:color="auto" w:fill="CCEEFF"/>
              </w:rPr>
              <w:t>Giant Food</w:t>
            </w:r>
          </w:p>
        </w:tc>
        <w:tc>
          <w:tcPr>
            <w:tcW w:w="26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99"/>
                <w:shd w:val="clear" w:color="auto" w:fill="CCEEFF"/>
              </w:rPr>
              <w:t>Landmark</w:t>
            </w:r>
          </w:p>
        </w:tc>
        <w:tc>
          <w:tcPr>
            <w:tcW w:w="1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shd w:val="clear" w:color="auto" w:fill="CCEEFF"/>
              </w:rPr>
              <w:t>Theather</w:t>
            </w: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Bethesda Row Residential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46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w w:val="91"/>
              </w:rPr>
              <w:t>180 units</w:t>
            </w:r>
          </w:p>
        </w:tc>
        <w:tc>
          <w:tcPr>
            <w:tcW w:w="124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N/A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Bethesda, MD 20814</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26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96"/>
                <w:shd w:val="clear" w:color="auto" w:fill="CCEEFF"/>
              </w:rPr>
              <w:t>Congressional Plaza</w:t>
            </w: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1965</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1965</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325,000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$40.09</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4"/>
                <w:szCs w:val="14"/>
                <w:color w:val="auto"/>
              </w:rPr>
            </w:pPr>
          </w:p>
        </w:tc>
        <w:tc>
          <w:tcPr>
            <w:tcW w:w="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Buy Buy Baby</w:t>
            </w: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Rockville, MD 20852(5)</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89"/>
                <w:shd w:val="clear" w:color="auto" w:fill="CCEEFF"/>
              </w:rPr>
              <w:t>Last Call Studio</w:t>
            </w:r>
          </w:p>
        </w:tc>
        <w:tc>
          <w:tcPr>
            <w:tcW w:w="16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shd w:val="clear" w:color="auto" w:fill="CCEEFF"/>
              </w:rPr>
              <w:t>by Neiman Marcus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89"/>
                <w:shd w:val="clear" w:color="auto" w:fill="CCEEFF"/>
              </w:rPr>
              <w:t>Container Store</w:t>
            </w:r>
          </w:p>
        </w:tc>
        <w:tc>
          <w:tcPr>
            <w:tcW w:w="1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The Fresh Market</w:t>
            </w: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w w:val="87"/>
                <w:shd w:val="clear" w:color="auto" w:fill="CCEEFF"/>
              </w:rPr>
              <w:t>Saks Fifth Avenue</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shd w:val="clear" w:color="auto" w:fill="CCEEFF"/>
              </w:rPr>
              <w:t>Off 5th</w:t>
            </w:r>
          </w:p>
        </w:tc>
        <w:tc>
          <w:tcPr>
            <w:tcW w:w="0" w:type="dxa"/>
            <w:vAlign w:val="bottom"/>
          </w:tcPr>
          <w:p>
            <w:pPr>
              <w:spacing w:after="0"/>
              <w:rPr>
                <w:sz w:val="1"/>
                <w:szCs w:val="1"/>
                <w:color w:val="auto"/>
              </w:rPr>
            </w:pPr>
          </w:p>
        </w:tc>
      </w:tr>
      <w:tr>
        <w:trPr>
          <w:trHeight w:val="155"/>
        </w:trPr>
        <w:tc>
          <w:tcPr>
            <w:tcW w:w="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Ulta</w:t>
            </w:r>
          </w:p>
        </w:tc>
        <w:tc>
          <w:tcPr>
            <w:tcW w:w="2060" w:type="dxa"/>
            <w:vAlign w:val="bottom"/>
            <w:tcBorders>
              <w:bottom w:val="single" w:sz="8" w:color="CCEEFF"/>
            </w:tcBorders>
            <w:gridSpan w:val="5"/>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Congressional Plaza Residential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2003, 2016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1965</w:t>
            </w:r>
          </w:p>
        </w:tc>
        <w:tc>
          <w:tcPr>
            <w:tcW w:w="120" w:type="dxa"/>
            <w:vAlign w:val="bottom"/>
          </w:tcPr>
          <w:p>
            <w:pPr>
              <w:spacing w:after="0"/>
              <w:rPr>
                <w:sz w:val="13"/>
                <w:szCs w:val="13"/>
                <w:color w:val="auto"/>
              </w:rPr>
            </w:pPr>
          </w:p>
        </w:tc>
        <w:tc>
          <w:tcPr>
            <w:tcW w:w="146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w w:val="91"/>
              </w:rPr>
              <w:t>194 units</w:t>
            </w:r>
          </w:p>
        </w:tc>
        <w:tc>
          <w:tcPr>
            <w:tcW w:w="124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N/A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Rockville, MD 20852(5)</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260" w:type="dxa"/>
            <w:vAlign w:val="bottom"/>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Courthouse Center</w:t>
            </w:r>
          </w:p>
        </w:tc>
        <w:tc>
          <w:tcPr>
            <w:tcW w:w="1460" w:type="dxa"/>
            <w:vAlign w:val="bottom"/>
            <w:gridSpan w:val="2"/>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1975</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35,000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$23.31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w w:val="96"/>
                <w:shd w:val="clear" w:color="auto" w:fill="CCEEFF"/>
              </w:rPr>
              <w:t>Rockville, MD 20852</w:t>
            </w:r>
          </w:p>
        </w:tc>
        <w:tc>
          <w:tcPr>
            <w:tcW w:w="1460" w:type="dxa"/>
            <w:vAlign w:val="bottom"/>
            <w:tcBorders>
              <w:bottom w:val="single" w:sz="8" w:color="CCEEFF"/>
            </w:tcBorders>
            <w:gridSpan w:val="2"/>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Federal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248,000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$35.30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48"/>
        </w:trPr>
        <w:tc>
          <w:tcPr>
            <w:tcW w:w="276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Rockville, MD 20852</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Square Feet(1)</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 Square</w:t>
            </w:r>
          </w:p>
        </w:tc>
        <w:tc>
          <w:tcPr>
            <w:tcW w:w="11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gridSpan w:val="3"/>
            <w:vMerge w:val="restart"/>
          </w:tcPr>
          <w:p>
            <w:pPr>
              <w:jc w:val="right"/>
              <w:ind w:right="648"/>
              <w:spacing w:after="0"/>
              <w:rPr>
                <w:sz w:val="20"/>
                <w:szCs w:val="20"/>
                <w:color w:val="auto"/>
              </w:rPr>
            </w:pPr>
            <w:r>
              <w:rPr>
                <w:rFonts w:ascii="Arial" w:cs="Arial" w:eastAsia="Arial" w:hAnsi="Arial"/>
                <w:sz w:val="14"/>
                <w:szCs w:val="14"/>
                <w:b w:val="1"/>
                <w:bCs w:val="1"/>
                <w:color w:val="auto"/>
                <w:w w:val="92"/>
              </w:rPr>
              <w:t>Principal Tenant(s)</w:t>
            </w:r>
          </w:p>
        </w:tc>
        <w:tc>
          <w:tcPr>
            <w:tcW w:w="0" w:type="dxa"/>
            <w:vAlign w:val="bottom"/>
          </w:tcPr>
          <w:p>
            <w:pPr>
              <w:spacing w:after="0"/>
              <w:rPr>
                <w:sz w:val="1"/>
                <w:szCs w:val="1"/>
                <w:color w:val="auto"/>
              </w:rPr>
            </w:pPr>
          </w:p>
        </w:tc>
      </w:tr>
      <w:tr>
        <w:trPr>
          <w:trHeight w:val="192"/>
        </w:trPr>
        <w:tc>
          <w:tcPr>
            <w:tcW w:w="2760" w:type="dxa"/>
            <w:vAlign w:val="bottom"/>
            <w:gridSpan w:val="8"/>
            <w:vMerge w:val="continue"/>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Completed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Acquired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/Apartment Units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Foot(2)</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Leased(3)</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Borders>
              <w:top w:val="single" w:sz="8" w:color="auto"/>
            </w:tcBorders>
            <w:shd w:val="clear" w:color="auto" w:fill="CCEEFF"/>
          </w:tcPr>
          <w:p>
            <w:pPr>
              <w:spacing w:after="0"/>
              <w:rPr>
                <w:sz w:val="13"/>
                <w:szCs w:val="13"/>
                <w:color w:val="auto"/>
              </w:rPr>
            </w:pPr>
          </w:p>
        </w:tc>
        <w:tc>
          <w:tcPr>
            <w:tcW w:w="2600" w:type="dxa"/>
            <w:vAlign w:val="bottom"/>
            <w:tcBorders>
              <w:top w:val="single" w:sz="8" w:color="auto"/>
            </w:tcBorders>
            <w:gridSpan w:val="6"/>
            <w:shd w:val="clear" w:color="auto" w:fill="CCEEFF"/>
          </w:tcPr>
          <w:p>
            <w:pPr>
              <w:spacing w:after="0" w:line="156" w:lineRule="exact"/>
              <w:rPr>
                <w:sz w:val="20"/>
                <w:szCs w:val="20"/>
                <w:color w:val="auto"/>
              </w:rPr>
            </w:pPr>
            <w:r>
              <w:rPr>
                <w:rFonts w:ascii="Arial" w:cs="Arial" w:eastAsia="Arial" w:hAnsi="Arial"/>
                <w:sz w:val="14"/>
                <w:szCs w:val="14"/>
                <w:color w:val="auto"/>
                <w:shd w:val="clear" w:color="auto" w:fill="CCEEFF"/>
              </w:rPr>
              <w:t>Free State Shopping Center</w:t>
            </w: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1970</w:t>
            </w:r>
          </w:p>
        </w:tc>
        <w:tc>
          <w:tcPr>
            <w:tcW w:w="1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2007</w:t>
            </w:r>
          </w:p>
        </w:tc>
        <w:tc>
          <w:tcPr>
            <w:tcW w:w="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4"/>
                <w:szCs w:val="14"/>
                <w:color w:val="auto"/>
                <w:w w:val="94"/>
              </w:rPr>
              <w:t>265,000</w:t>
            </w: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4"/>
                <w:szCs w:val="14"/>
                <w:color w:val="auto"/>
                <w:w w:val="93"/>
              </w:rPr>
              <w:t>$18.51</w:t>
            </w: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4"/>
                <w:szCs w:val="14"/>
                <w:color w:val="auto"/>
                <w:w w:val="92"/>
              </w:rPr>
              <w:t>90%</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gridSpan w:val="4"/>
            <w:shd w:val="clear" w:color="auto" w:fill="CCEEFF"/>
          </w:tcPr>
          <w:p>
            <w:pPr>
              <w:ind w:left="40"/>
              <w:spacing w:after="0" w:line="156" w:lineRule="exact"/>
              <w:rPr>
                <w:sz w:val="20"/>
                <w:szCs w:val="20"/>
                <w:color w:val="auto"/>
              </w:rPr>
            </w:pPr>
            <w:r>
              <w:rPr>
                <w:rFonts w:ascii="Arial" w:cs="Arial" w:eastAsia="Arial" w:hAnsi="Arial"/>
                <w:sz w:val="14"/>
                <w:szCs w:val="14"/>
                <w:color w:val="auto"/>
                <w:w w:val="89"/>
                <w:shd w:val="clear" w:color="auto" w:fill="CCEEFF"/>
              </w:rPr>
              <w:t>Giant Food</w:t>
            </w:r>
          </w:p>
        </w:tc>
        <w:tc>
          <w:tcPr>
            <w:tcW w:w="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Bowie, MD 20715(12)</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TJ Maxx</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8"/>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Ross Dress For Less</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Office Depot</w:t>
            </w:r>
          </w:p>
        </w:tc>
        <w:tc>
          <w:tcPr>
            <w:tcW w:w="4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Gaithersburg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207,000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$27.51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6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276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Gaithersburg, MD 20878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Ashley Furniture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8"/>
          </w:tcPr>
          <w:p>
            <w:pPr>
              <w:ind w:left="40"/>
              <w:spacing w:after="0"/>
              <w:rPr>
                <w:sz w:val="20"/>
                <w:szCs w:val="20"/>
                <w:color w:val="auto"/>
              </w:rPr>
            </w:pPr>
            <w:r>
              <w:rPr>
                <w:rFonts w:ascii="Arial" w:cs="Arial" w:eastAsia="Arial" w:hAnsi="Arial"/>
                <w:sz w:val="14"/>
                <w:szCs w:val="14"/>
                <w:color w:val="auto"/>
              </w:rPr>
              <w:t>HomeStore</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92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Governor Plaza</w:t>
            </w: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1985</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243,000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$19.56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Aldi</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Glen Burnie, MD 21961</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Dick's Sporting Goods</w:t>
            </w: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Laurel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1986</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389,000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$21.71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86%</w:t>
            </w:r>
          </w:p>
        </w:tc>
        <w:tc>
          <w:tcPr>
            <w:tcW w:w="100" w:type="dxa"/>
            <w:vAlign w:val="bottom"/>
          </w:tcPr>
          <w:p>
            <w:pPr>
              <w:spacing w:after="0"/>
              <w:rPr>
                <w:sz w:val="13"/>
                <w:szCs w:val="13"/>
                <w:color w:val="auto"/>
              </w:rPr>
            </w:pPr>
          </w:p>
        </w:tc>
        <w:tc>
          <w:tcPr>
            <w:tcW w:w="26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48"/>
        </w:trPr>
        <w:tc>
          <w:tcPr>
            <w:tcW w:w="276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Laurel, MD 20707</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8"/>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100" w:type="dxa"/>
            <w:vAlign w:val="bottom"/>
            <w:gridSpan w:val="5"/>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Montrose Crossing</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1960-1979,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2011/2013</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364,000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$25.74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92%</w:t>
            </w:r>
          </w:p>
        </w:tc>
        <w:tc>
          <w:tcPr>
            <w:tcW w:w="100" w:type="dxa"/>
            <w:vAlign w:val="bottom"/>
            <w:shd w:val="clear" w:color="auto" w:fill="CCEEFF"/>
          </w:tcPr>
          <w:p>
            <w:pPr>
              <w:spacing w:after="0"/>
              <w:rPr>
                <w:sz w:val="14"/>
                <w:szCs w:val="14"/>
                <w:color w:val="auto"/>
              </w:rPr>
            </w:pPr>
          </w:p>
        </w:tc>
        <w:tc>
          <w:tcPr>
            <w:tcW w:w="7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w w:val="93"/>
                <w:shd w:val="clear" w:color="auto" w:fill="CCEEFF"/>
              </w:rPr>
              <w:t>A.C. Moore</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Rockville, MD 20852(5)(8)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1996, 2011</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89"/>
                <w:shd w:val="clear" w:color="auto" w:fill="CCEEFF"/>
              </w:rPr>
              <w:t>Giant Food</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Barnes &amp;</w:t>
            </w:r>
          </w:p>
        </w:tc>
        <w:tc>
          <w:tcPr>
            <w:tcW w:w="1940" w:type="dxa"/>
            <w:vAlign w:val="bottom"/>
            <w:gridSpan w:val="4"/>
            <w:shd w:val="clear" w:color="auto" w:fill="CCEEFF"/>
          </w:tcPr>
          <w:p>
            <w:pPr>
              <w:jc w:val="right"/>
              <w:ind w:right="1588"/>
              <w:spacing w:after="0" w:line="149" w:lineRule="exact"/>
              <w:rPr>
                <w:sz w:val="20"/>
                <w:szCs w:val="20"/>
                <w:color w:val="auto"/>
              </w:rPr>
            </w:pPr>
            <w:r>
              <w:rPr>
                <w:rFonts w:ascii="Arial" w:cs="Arial" w:eastAsia="Arial" w:hAnsi="Arial"/>
                <w:sz w:val="14"/>
                <w:szCs w:val="14"/>
                <w:color w:val="auto"/>
                <w:w w:val="70"/>
                <w:shd w:val="clear" w:color="auto" w:fill="CCEEFF"/>
              </w:rPr>
              <w:t>Noble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Marshalls</w:t>
            </w:r>
          </w:p>
        </w:tc>
        <w:tc>
          <w:tcPr>
            <w:tcW w:w="20" w:type="dxa"/>
            <w:vAlign w:val="bottom"/>
            <w:shd w:val="clear" w:color="auto" w:fill="CCEEFF"/>
          </w:tcPr>
          <w:p>
            <w:pPr>
              <w:spacing w:after="0"/>
              <w:rPr>
                <w:sz w:val="12"/>
                <w:szCs w:val="12"/>
                <w:color w:val="auto"/>
              </w:rPr>
            </w:pPr>
          </w:p>
        </w:tc>
        <w:tc>
          <w:tcPr>
            <w:tcW w:w="280" w:type="dxa"/>
            <w:vAlign w:val="bottom"/>
            <w:gridSpan w:val="3"/>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84"/>
                <w:shd w:val="clear" w:color="auto" w:fill="CCEEFF"/>
              </w:rPr>
              <w:t>Value City</w:t>
            </w:r>
          </w:p>
        </w:tc>
        <w:tc>
          <w:tcPr>
            <w:tcW w:w="2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gridSpan w:val="5"/>
            <w:shd w:val="clear" w:color="auto" w:fill="CCEEFF"/>
          </w:tcPr>
          <w:p>
            <w:pPr>
              <w:jc w:val="right"/>
              <w:ind w:right="1328"/>
              <w:spacing w:after="0"/>
              <w:rPr>
                <w:sz w:val="20"/>
                <w:szCs w:val="20"/>
                <w:color w:val="auto"/>
              </w:rPr>
            </w:pPr>
            <w:r>
              <w:rPr>
                <w:rFonts w:ascii="Arial" w:cs="Arial" w:eastAsia="Arial" w:hAnsi="Arial"/>
                <w:sz w:val="14"/>
                <w:szCs w:val="14"/>
                <w:color w:val="auto"/>
                <w:shd w:val="clear" w:color="auto" w:fill="CCEEFF"/>
              </w:rPr>
              <w:t>Furniture</w:t>
            </w: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Perring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395,000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$14.44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48"/>
        </w:trPr>
        <w:tc>
          <w:tcPr>
            <w:tcW w:w="276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Baltimore, MD 21134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8"/>
          </w:tcPr>
          <w:p>
            <w:pPr>
              <w:ind w:left="40"/>
              <w:spacing w:after="0"/>
              <w:rPr>
                <w:sz w:val="20"/>
                <w:szCs w:val="20"/>
                <w:color w:val="auto"/>
              </w:rPr>
            </w:pPr>
            <w:r>
              <w:rPr>
                <w:rFonts w:ascii="Arial" w:cs="Arial" w:eastAsia="Arial" w:hAnsi="Arial"/>
                <w:sz w:val="14"/>
                <w:szCs w:val="14"/>
                <w:color w:val="auto"/>
              </w:rPr>
              <w:t>Jo-Ann Stores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Pike &amp; Rose</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1963, 2014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1982/2007/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251,000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$43.63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90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iPic Theater</w:t>
            </w:r>
          </w:p>
        </w:tc>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North Bethesda, MD 20852(10)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2012</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w w:val="95"/>
                <w:shd w:val="clear" w:color="auto" w:fill="CCEEFF"/>
              </w:rPr>
              <w:t>Gap/Gap Kids</w:t>
            </w: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w w:val="92"/>
                <w:shd w:val="clear" w:color="auto" w:fill="CCEEFF"/>
              </w:rPr>
              <w:t>Sport &amp; Health</w:t>
            </w: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shd w:val="clear" w:color="auto" w:fill="CCEEFF"/>
              </w:rPr>
              <w:t>Nike</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gridSpan w:val="3"/>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81"/>
                <w:shd w:val="clear" w:color="auto" w:fill="CCEEFF"/>
              </w:rPr>
              <w:t>Bank</w:t>
            </w:r>
          </w:p>
        </w:tc>
        <w:tc>
          <w:tcPr>
            <w:tcW w:w="2300" w:type="dxa"/>
            <w:vAlign w:val="bottom"/>
            <w:tcBorders>
              <w:bottom w:val="single" w:sz="8" w:color="CCEEFF"/>
            </w:tcBorders>
            <w:gridSpan w:val="7"/>
            <w:shd w:val="clear" w:color="auto" w:fill="CCEEFF"/>
          </w:tcPr>
          <w:p>
            <w:pPr>
              <w:jc w:val="right"/>
              <w:ind w:right="1528"/>
              <w:spacing w:after="0"/>
              <w:rPr>
                <w:sz w:val="20"/>
                <w:szCs w:val="20"/>
                <w:color w:val="auto"/>
              </w:rPr>
            </w:pPr>
            <w:r>
              <w:rPr>
                <w:rFonts w:ascii="Arial" w:cs="Arial" w:eastAsia="Arial" w:hAnsi="Arial"/>
                <w:sz w:val="14"/>
                <w:szCs w:val="14"/>
                <w:color w:val="auto"/>
                <w:shd w:val="clear" w:color="auto" w:fill="CCEEFF"/>
              </w:rPr>
              <w:t>of America</w:t>
            </w: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Pike &amp; Rose Residential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2014, 2016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1982/2007</w:t>
            </w:r>
          </w:p>
        </w:tc>
        <w:tc>
          <w:tcPr>
            <w:tcW w:w="120" w:type="dxa"/>
            <w:vAlign w:val="bottom"/>
          </w:tcPr>
          <w:p>
            <w:pPr>
              <w:spacing w:after="0"/>
              <w:rPr>
                <w:sz w:val="13"/>
                <w:szCs w:val="13"/>
                <w:color w:val="auto"/>
              </w:rPr>
            </w:pPr>
          </w:p>
        </w:tc>
        <w:tc>
          <w:tcPr>
            <w:tcW w:w="146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w w:val="91"/>
              </w:rPr>
              <w:t>493 units</w:t>
            </w:r>
          </w:p>
        </w:tc>
        <w:tc>
          <w:tcPr>
            <w:tcW w:w="124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N/A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8"/>
          </w:tcPr>
          <w:p>
            <w:pPr>
              <w:ind w:left="40"/>
              <w:spacing w:after="0"/>
              <w:rPr>
                <w:sz w:val="20"/>
                <w:szCs w:val="20"/>
                <w:color w:val="auto"/>
              </w:rPr>
            </w:pPr>
            <w:r>
              <w:rPr>
                <w:rFonts w:ascii="Arial" w:cs="Arial" w:eastAsia="Arial" w:hAnsi="Arial"/>
                <w:sz w:val="14"/>
                <w:szCs w:val="14"/>
                <w:color w:val="auto"/>
              </w:rPr>
              <w:t>North Bethesda, MD 20852(10)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100" w:type="dxa"/>
            <w:vAlign w:val="bottom"/>
            <w:gridSpan w:val="5"/>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Plaza Del Mercado</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$30.91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CVS</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gridSpan w:val="3"/>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color w:val="auto"/>
                <w:w w:val="99"/>
                <w:shd w:val="clear" w:color="auto" w:fill="CCEEFF"/>
              </w:rPr>
              <w:t>Silver Spring, MD</w:t>
            </w:r>
          </w:p>
        </w:tc>
        <w:tc>
          <w:tcPr>
            <w:tcW w:w="1500" w:type="dxa"/>
            <w:vAlign w:val="bottom"/>
            <w:tcBorders>
              <w:bottom w:val="single" w:sz="8" w:color="CCEEFF"/>
            </w:tcBorders>
            <w:shd w:val="clear" w:color="auto" w:fill="CCEEFF"/>
          </w:tcPr>
          <w:p>
            <w:pPr>
              <w:jc w:val="right"/>
              <w:ind w:right="828"/>
              <w:spacing w:after="0"/>
              <w:rPr>
                <w:sz w:val="20"/>
                <w:szCs w:val="20"/>
                <w:color w:val="auto"/>
              </w:rPr>
            </w:pPr>
            <w:r>
              <w:rPr>
                <w:rFonts w:ascii="Arial" w:cs="Arial" w:eastAsia="Arial" w:hAnsi="Arial"/>
                <w:sz w:val="14"/>
                <w:szCs w:val="14"/>
                <w:color w:val="auto"/>
                <w:w w:val="90"/>
                <w:shd w:val="clear" w:color="auto" w:fill="CCEEFF"/>
              </w:rPr>
              <w:t>20906(12)</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Aldi</w:t>
            </w:r>
          </w:p>
        </w:tc>
        <w:tc>
          <w:tcPr>
            <w:tcW w:w="2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3"/>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Quince Orchard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267,000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$23.37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26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48"/>
        </w:trPr>
        <w:tc>
          <w:tcPr>
            <w:tcW w:w="276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Gaithersburg, MD 20877(4)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8"/>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Rockville Town Square</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2006-2007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2006/2007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187,000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$27.46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CVS</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gridSpan w:val="3"/>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Rockville, MD 20852(4)(7)</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71"/>
                <w:shd w:val="clear" w:color="auto" w:fill="CCEEFF"/>
              </w:rPr>
              <w:t>Gold's</w:t>
            </w:r>
          </w:p>
        </w:tc>
        <w:tc>
          <w:tcPr>
            <w:tcW w:w="4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w w:val="87"/>
                <w:shd w:val="clear" w:color="auto" w:fill="CCEEFF"/>
              </w:rPr>
              <w:t>Gym</w:t>
            </w: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Rollingwood Apartments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1971</w:t>
            </w:r>
          </w:p>
        </w:tc>
        <w:tc>
          <w:tcPr>
            <w:tcW w:w="120" w:type="dxa"/>
            <w:vAlign w:val="bottom"/>
          </w:tcPr>
          <w:p>
            <w:pPr>
              <w:spacing w:after="0"/>
              <w:rPr>
                <w:sz w:val="13"/>
                <w:szCs w:val="13"/>
                <w:color w:val="auto"/>
              </w:rPr>
            </w:pPr>
          </w:p>
        </w:tc>
        <w:tc>
          <w:tcPr>
            <w:tcW w:w="146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w w:val="91"/>
              </w:rPr>
              <w:t>282 units</w:t>
            </w:r>
          </w:p>
        </w:tc>
        <w:tc>
          <w:tcPr>
            <w:tcW w:w="124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N/A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Silver Spring, MD 20910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60" w:type="dxa"/>
            <w:vAlign w:val="bottom"/>
            <w:gridSpan w:val="8"/>
          </w:tcPr>
          <w:p>
            <w:pPr>
              <w:ind w:left="40"/>
              <w:spacing w:after="0"/>
              <w:rPr>
                <w:sz w:val="20"/>
                <w:szCs w:val="20"/>
                <w:color w:val="auto"/>
              </w:rPr>
            </w:pPr>
            <w:r>
              <w:rPr>
                <w:rFonts w:ascii="Arial" w:cs="Arial" w:eastAsia="Arial" w:hAnsi="Arial"/>
                <w:sz w:val="14"/>
                <w:szCs w:val="14"/>
                <w:color w:val="auto"/>
              </w:rPr>
              <w:t>9 three-story buildings(8)</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THE AVENUE at White Marsh</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311,000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$24.27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90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AMC Loews</w:t>
            </w:r>
          </w:p>
        </w:tc>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Baltimore, MD 21236(6)(8)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3"/>
                <w:shd w:val="clear" w:color="auto" w:fill="CCEEFF"/>
              </w:rPr>
              <w:t>Old Navy</w:t>
            </w:r>
          </w:p>
        </w:tc>
        <w:tc>
          <w:tcPr>
            <w:tcW w:w="20" w:type="dxa"/>
            <w:vAlign w:val="bottom"/>
            <w:shd w:val="clear" w:color="auto" w:fill="CCEEFF"/>
          </w:tcPr>
          <w:p>
            <w:pPr>
              <w:spacing w:after="0"/>
              <w:rPr>
                <w:sz w:val="12"/>
                <w:szCs w:val="12"/>
                <w:color w:val="auto"/>
              </w:rPr>
            </w:pPr>
          </w:p>
        </w:tc>
        <w:tc>
          <w:tcPr>
            <w:tcW w:w="280" w:type="dxa"/>
            <w:vAlign w:val="bottom"/>
            <w:gridSpan w:val="3"/>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3"/>
                <w:shd w:val="clear" w:color="auto" w:fill="CCEEFF"/>
              </w:rPr>
              <w:t>Barnes &amp;</w:t>
            </w:r>
          </w:p>
        </w:tc>
        <w:tc>
          <w:tcPr>
            <w:tcW w:w="2020" w:type="dxa"/>
            <w:vAlign w:val="bottom"/>
            <w:gridSpan w:val="6"/>
            <w:shd w:val="clear" w:color="auto" w:fill="CCEEFF"/>
          </w:tcPr>
          <w:p>
            <w:pPr>
              <w:jc w:val="right"/>
              <w:ind w:right="1588"/>
              <w:spacing w:after="0"/>
              <w:rPr>
                <w:sz w:val="20"/>
                <w:szCs w:val="20"/>
                <w:color w:val="auto"/>
              </w:rPr>
            </w:pPr>
            <w:r>
              <w:rPr>
                <w:rFonts w:ascii="Arial" w:cs="Arial" w:eastAsia="Arial" w:hAnsi="Arial"/>
                <w:sz w:val="14"/>
                <w:szCs w:val="14"/>
                <w:color w:val="auto"/>
                <w:w w:val="92"/>
                <w:shd w:val="clear" w:color="auto" w:fill="CCEEFF"/>
              </w:rPr>
              <w:t>Noble</w:t>
            </w:r>
          </w:p>
        </w:tc>
        <w:tc>
          <w:tcPr>
            <w:tcW w:w="0" w:type="dxa"/>
            <w:vAlign w:val="bottom"/>
          </w:tcPr>
          <w:p>
            <w:pPr>
              <w:spacing w:after="0"/>
              <w:rPr>
                <w:sz w:val="1"/>
                <w:szCs w:val="1"/>
                <w:color w:val="auto"/>
              </w:rPr>
            </w:pPr>
          </w:p>
        </w:tc>
      </w:tr>
      <w:tr>
        <w:trPr>
          <w:trHeight w:val="130"/>
        </w:trPr>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5"/>
            <w:shd w:val="clear" w:color="auto" w:fill="CCEEFF"/>
          </w:tcPr>
          <w:p>
            <w:pPr>
              <w:ind w:left="40"/>
              <w:spacing w:after="0" w:line="130" w:lineRule="exact"/>
              <w:rPr>
                <w:sz w:val="20"/>
                <w:szCs w:val="20"/>
                <w:color w:val="auto"/>
              </w:rPr>
            </w:pPr>
            <w:r>
              <w:rPr>
                <w:rFonts w:ascii="Arial" w:cs="Arial" w:eastAsia="Arial" w:hAnsi="Arial"/>
                <w:sz w:val="14"/>
                <w:szCs w:val="14"/>
                <w:color w:val="auto"/>
                <w:w w:val="93"/>
                <w:shd w:val="clear" w:color="auto" w:fill="CCEEFF"/>
              </w:rPr>
              <w:t>A.C. Moore</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Ulta</w:t>
            </w:r>
          </w:p>
        </w:tc>
        <w:tc>
          <w:tcPr>
            <w:tcW w:w="2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The Shoppes at Nottingham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2005-2006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32,000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$49.25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8"/>
          </w:tcPr>
          <w:p>
            <w:pPr>
              <w:ind w:left="40"/>
              <w:spacing w:after="0"/>
              <w:rPr>
                <w:sz w:val="20"/>
                <w:szCs w:val="20"/>
                <w:color w:val="auto"/>
              </w:rPr>
            </w:pPr>
            <w:r>
              <w:rPr>
                <w:rFonts w:ascii="Arial" w:cs="Arial" w:eastAsia="Arial" w:hAnsi="Arial"/>
                <w:sz w:val="14"/>
                <w:szCs w:val="14"/>
                <w:color w:val="auto"/>
              </w:rPr>
              <w:t>Baltimore, MD 21236</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White Marsh Other</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1985</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73,000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$31.49</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Baltimore, MD 21236</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White Marsh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80,000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$22.06</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3"/>
                <w:szCs w:val="13"/>
                <w:color w:val="auto"/>
              </w:rPr>
            </w:pPr>
          </w:p>
        </w:tc>
        <w:tc>
          <w:tcPr>
            <w:tcW w:w="26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2760" w:type="dxa"/>
            <w:vAlign w:val="bottom"/>
            <w:gridSpan w:val="8"/>
          </w:tcPr>
          <w:p>
            <w:pPr>
              <w:ind w:left="40"/>
              <w:spacing w:after="0"/>
              <w:rPr>
                <w:sz w:val="20"/>
                <w:szCs w:val="20"/>
                <w:color w:val="auto"/>
              </w:rPr>
            </w:pPr>
            <w:r>
              <w:rPr>
                <w:rFonts w:ascii="Arial" w:cs="Arial" w:eastAsia="Arial" w:hAnsi="Arial"/>
                <w:sz w:val="14"/>
                <w:szCs w:val="14"/>
                <w:color w:val="auto"/>
              </w:rPr>
              <w:t>Baltimore, MD 21236</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4"/>
                <w:szCs w:val="14"/>
                <w:color w:val="auto"/>
                <w:w w:val="95"/>
                <w:shd w:val="clear" w:color="auto" w:fill="CCEEFF"/>
              </w:rPr>
              <w:t>Wildwood</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1969</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83,000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$97.30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CVS</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gridSpan w:val="3"/>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Bethesda,</w:t>
            </w:r>
          </w:p>
        </w:tc>
        <w:tc>
          <w:tcPr>
            <w:tcW w:w="20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color w:val="auto"/>
                <w:shd w:val="clear" w:color="auto" w:fill="CCEEFF"/>
              </w:rPr>
              <w:t>MD 20814</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w w:val="89"/>
                <w:shd w:val="clear" w:color="auto" w:fill="CCEEFF"/>
              </w:rPr>
              <w:t>Balducci's</w:t>
            </w:r>
          </w:p>
        </w:tc>
        <w:tc>
          <w:tcPr>
            <w:tcW w:w="280" w:type="dxa"/>
            <w:vAlign w:val="bottom"/>
            <w:tcBorders>
              <w:bottom w:val="single" w:sz="8" w:color="CCEEFF"/>
            </w:tcBorders>
            <w:gridSpan w:val="3"/>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gridSpan w:val="8"/>
          </w:tcPr>
          <w:p>
            <w:pPr>
              <w:ind w:left="40"/>
              <w:spacing w:after="0"/>
              <w:rPr>
                <w:sz w:val="20"/>
                <w:szCs w:val="20"/>
                <w:color w:val="auto"/>
              </w:rPr>
            </w:pPr>
            <w:r>
              <w:rPr>
                <w:rFonts w:ascii="Arial" w:cs="Arial" w:eastAsia="Arial" w:hAnsi="Arial"/>
                <w:sz w:val="14"/>
                <w:szCs w:val="14"/>
                <w:b w:val="1"/>
                <w:bCs w:val="1"/>
                <w:color w:val="auto"/>
              </w:rPr>
              <w:t>Massachusetts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920" w:type="dxa"/>
            <w:vAlign w:val="bottom"/>
            <w:gridSpan w:val="4"/>
            <w:shd w:val="clear" w:color="auto" w:fill="CCEEFF"/>
          </w:tcPr>
          <w:p>
            <w:pPr>
              <w:spacing w:after="0" w:line="157" w:lineRule="exact"/>
              <w:rPr>
                <w:sz w:val="20"/>
                <w:szCs w:val="20"/>
                <w:color w:val="auto"/>
              </w:rPr>
            </w:pPr>
            <w:r>
              <w:rPr>
                <w:rFonts w:ascii="Arial" w:cs="Arial" w:eastAsia="Arial" w:hAnsi="Arial"/>
                <w:sz w:val="14"/>
                <w:szCs w:val="14"/>
                <w:color w:val="auto"/>
                <w:w w:val="93"/>
                <w:shd w:val="clear" w:color="auto" w:fill="CCEEFF"/>
              </w:rPr>
              <w:t>Assembly Row/</w:t>
            </w:r>
          </w:p>
        </w:tc>
        <w:tc>
          <w:tcPr>
            <w:tcW w:w="1680" w:type="dxa"/>
            <w:vAlign w:val="bottom"/>
            <w:gridSpan w:val="2"/>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2005, 2014</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2005-2011/</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761,000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$23.45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3"/>
                <w:szCs w:val="13"/>
                <w:color w:val="auto"/>
              </w:rPr>
            </w:pPr>
          </w:p>
        </w:tc>
        <w:tc>
          <w:tcPr>
            <w:tcW w:w="900" w:type="dxa"/>
            <w:vAlign w:val="bottom"/>
            <w:gridSpan w:val="6"/>
            <w:shd w:val="clear" w:color="auto" w:fill="CCEEFF"/>
          </w:tcPr>
          <w:p>
            <w:pPr>
              <w:ind w:left="40"/>
              <w:spacing w:after="0" w:line="157" w:lineRule="exact"/>
              <w:rPr>
                <w:sz w:val="20"/>
                <w:szCs w:val="20"/>
                <w:color w:val="auto"/>
              </w:rPr>
            </w:pPr>
            <w:r>
              <w:rPr>
                <w:rFonts w:ascii="Arial" w:cs="Arial" w:eastAsia="Arial" w:hAnsi="Arial"/>
                <w:sz w:val="14"/>
                <w:szCs w:val="14"/>
                <w:color w:val="auto"/>
                <w:w w:val="93"/>
                <w:shd w:val="clear" w:color="auto" w:fill="CCEEFF"/>
              </w:rPr>
              <w:t>AMC Theaters</w:t>
            </w:r>
          </w:p>
        </w:tc>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9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w w:val="81"/>
                <w:shd w:val="clear" w:color="auto" w:fill="CCEEFF"/>
              </w:rPr>
              <w:t>Assembly Square</w:t>
            </w:r>
          </w:p>
        </w:tc>
        <w:tc>
          <w:tcPr>
            <w:tcW w:w="1680" w:type="dxa"/>
            <w:vAlign w:val="bottom"/>
            <w:gridSpan w:val="2"/>
            <w:shd w:val="clear" w:color="auto" w:fill="CCEEFF"/>
          </w:tcPr>
          <w:p>
            <w:pPr>
              <w:jc w:val="center"/>
              <w:ind w:right="648"/>
              <w:spacing w:after="0" w:line="149" w:lineRule="exact"/>
              <w:rPr>
                <w:sz w:val="20"/>
                <w:szCs w:val="20"/>
                <w:color w:val="auto"/>
              </w:rPr>
            </w:pPr>
            <w:r>
              <w:rPr>
                <w:rFonts w:ascii="Arial" w:cs="Arial" w:eastAsia="Arial" w:hAnsi="Arial"/>
                <w:sz w:val="14"/>
                <w:szCs w:val="14"/>
                <w:color w:val="auto"/>
                <w:w w:val="94"/>
                <w:shd w:val="clear" w:color="auto" w:fill="CCEEFF"/>
              </w:rPr>
              <w:t>Marketplace</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LEGOLAND</w:t>
            </w:r>
          </w:p>
        </w:tc>
        <w:tc>
          <w:tcPr>
            <w:tcW w:w="1720" w:type="dxa"/>
            <w:vAlign w:val="bottom"/>
            <w:gridSpan w:val="2"/>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w w:val="87"/>
                <w:shd w:val="clear" w:color="auto" w:fill="CCEEFF"/>
              </w:rPr>
              <w:t>Discovery Center</w:t>
            </w: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2600" w:type="dxa"/>
            <w:vAlign w:val="bottom"/>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Somerville, MA 02145(10)</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Saks Fifth Avenue Off 5th</w:t>
            </w:r>
          </w:p>
        </w:tc>
        <w:tc>
          <w:tcPr>
            <w:tcW w:w="0" w:type="dxa"/>
            <w:vAlign w:val="bottom"/>
          </w:tcPr>
          <w:p>
            <w:pPr>
              <w:spacing w:after="0"/>
              <w:rPr>
                <w:sz w:val="1"/>
                <w:szCs w:val="1"/>
                <w:color w:val="auto"/>
              </w:rPr>
            </w:pPr>
          </w:p>
        </w:tc>
      </w:tr>
      <w:tr>
        <w:trPr>
          <w:trHeight w:val="130"/>
        </w:trPr>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6"/>
            <w:shd w:val="clear" w:color="auto" w:fill="CCEEFF"/>
          </w:tcPr>
          <w:p>
            <w:pPr>
              <w:ind w:left="40"/>
              <w:spacing w:after="0" w:line="130" w:lineRule="exact"/>
              <w:rPr>
                <w:sz w:val="20"/>
                <w:szCs w:val="20"/>
                <w:color w:val="auto"/>
              </w:rPr>
            </w:pPr>
            <w:r>
              <w:rPr>
                <w:rFonts w:ascii="Arial" w:cs="Arial" w:eastAsia="Arial" w:hAnsi="Arial"/>
                <w:sz w:val="14"/>
                <w:szCs w:val="14"/>
                <w:color w:val="auto"/>
                <w:shd w:val="clear" w:color="auto" w:fill="CCEEFF"/>
              </w:rPr>
              <w:t>Nike Factory</w:t>
            </w:r>
          </w:p>
        </w:tc>
        <w:tc>
          <w:tcPr>
            <w:tcW w:w="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J. Crew</w:t>
            </w:r>
          </w:p>
        </w:tc>
        <w:tc>
          <w:tcPr>
            <w:tcW w:w="300" w:type="dxa"/>
            <w:vAlign w:val="bottom"/>
            <w:gridSpan w:val="4"/>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8"/>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Legal on the Mystic</w:t>
            </w: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Bed, Bath &amp; Beyond</w:t>
            </w:r>
          </w:p>
        </w:tc>
        <w:tc>
          <w:tcPr>
            <w:tcW w:w="0" w:type="dxa"/>
            <w:vAlign w:val="bottom"/>
          </w:tcPr>
          <w:p>
            <w:pPr>
              <w:spacing w:after="0"/>
              <w:rPr>
                <w:sz w:val="1"/>
                <w:szCs w:val="1"/>
                <w:color w:val="auto"/>
              </w:rPr>
            </w:pPr>
          </w:p>
        </w:tc>
      </w:tr>
      <w:tr>
        <w:trPr>
          <w:trHeight w:val="155"/>
        </w:trPr>
        <w:tc>
          <w:tcPr>
            <w:tcW w:w="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TJ Maxx</w:t>
            </w:r>
          </w:p>
        </w:tc>
        <w:tc>
          <w:tcPr>
            <w:tcW w:w="340" w:type="dxa"/>
            <w:vAlign w:val="bottom"/>
            <w:tcBorders>
              <w:bottom w:val="single" w:sz="8" w:color="CCEEFF"/>
            </w:tcBorders>
            <w:gridSpan w:val="5"/>
            <w:shd w:val="clear" w:color="auto" w:fill="CCEEFF"/>
          </w:tcPr>
          <w:p>
            <w:pPr>
              <w:spacing w:after="0"/>
              <w:rPr>
                <w:sz w:val="13"/>
                <w:szCs w:val="13"/>
                <w:color w:val="auto"/>
              </w:rPr>
            </w:pPr>
          </w:p>
        </w:tc>
        <w:tc>
          <w:tcPr>
            <w:tcW w:w="16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Atlantic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123,000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$16.25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92%</w:t>
            </w:r>
          </w:p>
        </w:tc>
        <w:tc>
          <w:tcPr>
            <w:tcW w:w="100" w:type="dxa"/>
            <w:vAlign w:val="bottom"/>
          </w:tcPr>
          <w:p>
            <w:pPr>
              <w:spacing w:after="0"/>
              <w:rPr>
                <w:sz w:val="13"/>
                <w:szCs w:val="13"/>
                <w:color w:val="auto"/>
              </w:rPr>
            </w:pPr>
          </w:p>
        </w:tc>
        <w:tc>
          <w:tcPr>
            <w:tcW w:w="26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8"/>
        </w:trPr>
        <w:tc>
          <w:tcPr>
            <w:tcW w:w="2760" w:type="dxa"/>
            <w:vAlign w:val="bottom"/>
            <w:gridSpan w:val="8"/>
          </w:tcPr>
          <w:p>
            <w:pPr>
              <w:ind w:left="40"/>
              <w:spacing w:after="0"/>
              <w:rPr>
                <w:sz w:val="20"/>
                <w:szCs w:val="20"/>
                <w:color w:val="auto"/>
              </w:rPr>
            </w:pPr>
            <w:r>
              <w:rPr>
                <w:rFonts w:ascii="Arial" w:cs="Arial" w:eastAsia="Arial" w:hAnsi="Arial"/>
                <w:sz w:val="14"/>
                <w:szCs w:val="14"/>
                <w:color w:val="auto"/>
              </w:rPr>
              <w:t>North Reading, MA 01864(12)</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7"/>
                <w:shd w:val="clear" w:color="auto" w:fill="CCEEFF"/>
              </w:rPr>
              <w:t>Campus Plaza</w:t>
            </w:r>
          </w:p>
        </w:tc>
        <w:tc>
          <w:tcPr>
            <w:tcW w:w="1780" w:type="dxa"/>
            <w:vAlign w:val="bottom"/>
            <w:gridSpan w:val="4"/>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116,000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$15.26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94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Roche Brothers</w:t>
            </w: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Bridgewater,</w:t>
            </w:r>
          </w:p>
        </w:tc>
        <w:tc>
          <w:tcPr>
            <w:tcW w:w="1780" w:type="dxa"/>
            <w:vAlign w:val="bottom"/>
            <w:gridSpan w:val="4"/>
            <w:shd w:val="clear" w:color="auto" w:fill="CCEEFF"/>
          </w:tcPr>
          <w:p>
            <w:pPr>
              <w:spacing w:after="0"/>
              <w:rPr>
                <w:sz w:val="20"/>
                <w:szCs w:val="20"/>
                <w:color w:val="auto"/>
              </w:rPr>
            </w:pPr>
            <w:r>
              <w:rPr>
                <w:rFonts w:ascii="Arial" w:cs="Arial" w:eastAsia="Arial" w:hAnsi="Arial"/>
                <w:sz w:val="14"/>
                <w:szCs w:val="14"/>
                <w:color w:val="auto"/>
                <w:shd w:val="clear" w:color="auto" w:fill="CCEEFF"/>
              </w:rPr>
              <w:t>MA 02324(12)</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w w:val="91"/>
                <w:shd w:val="clear" w:color="auto" w:fill="CCEEFF"/>
              </w:rPr>
              <w:t>Burlington Coat</w:t>
            </w:r>
          </w:p>
        </w:tc>
        <w:tc>
          <w:tcPr>
            <w:tcW w:w="168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shd w:val="clear" w:color="auto" w:fill="CCEEFF"/>
              </w:rPr>
              <w:t>Factory</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Square Feet(1)</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gridSpan w:val="10"/>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 Square</w:t>
            </w:r>
          </w:p>
        </w:tc>
        <w:tc>
          <w:tcPr>
            <w:tcW w:w="11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gridSpan w:val="10"/>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60" w:type="dxa"/>
            <w:vAlign w:val="bottom"/>
            <w:gridSpan w:val="11"/>
          </w:tcPr>
          <w:p>
            <w:pPr>
              <w:ind w:left="40"/>
              <w:spacing w:after="0" w:line="156" w:lineRule="exact"/>
              <w:rPr>
                <w:sz w:val="20"/>
                <w:szCs w:val="20"/>
                <w:color w:val="auto"/>
              </w:rPr>
            </w:pPr>
            <w:r>
              <w:rPr>
                <w:rFonts w:ascii="Arial" w:cs="Arial" w:eastAsia="Arial" w:hAnsi="Arial"/>
                <w:sz w:val="14"/>
                <w:szCs w:val="14"/>
                <w:color w:val="auto"/>
              </w:rPr>
              <w:t>Chelsea Commons</w:t>
            </w: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93"/>
              </w:rPr>
              <w:t>1962-1969,</w:t>
            </w:r>
          </w:p>
        </w:tc>
        <w:tc>
          <w:tcPr>
            <w:tcW w:w="12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92"/>
              </w:rPr>
              <w:t>2006-2008</w:t>
            </w:r>
          </w:p>
        </w:tc>
        <w:tc>
          <w:tcPr>
            <w:tcW w:w="120" w:type="dxa"/>
            <w:vAlign w:val="bottom"/>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Arial" w:cs="Arial" w:eastAsia="Arial" w:hAnsi="Arial"/>
                <w:sz w:val="14"/>
                <w:szCs w:val="14"/>
                <w:color w:val="auto"/>
                <w:w w:val="94"/>
              </w:rPr>
              <w:t>222,000</w:t>
            </w:r>
          </w:p>
        </w:tc>
        <w:tc>
          <w:tcPr>
            <w:tcW w:w="10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4"/>
                <w:szCs w:val="14"/>
                <w:color w:val="auto"/>
                <w:w w:val="93"/>
              </w:rPr>
              <w:t>$12.01</w:t>
            </w:r>
          </w:p>
        </w:tc>
        <w:tc>
          <w:tcPr>
            <w:tcW w:w="10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3"/>
          </w:tcPr>
          <w:p>
            <w:pPr>
              <w:ind w:left="40"/>
              <w:spacing w:after="0" w:line="156" w:lineRule="exact"/>
              <w:rPr>
                <w:sz w:val="20"/>
                <w:szCs w:val="20"/>
                <w:color w:val="auto"/>
              </w:rPr>
            </w:pPr>
            <w:r>
              <w:rPr>
                <w:rFonts w:ascii="Arial" w:cs="Arial" w:eastAsia="Arial" w:hAnsi="Arial"/>
                <w:sz w:val="14"/>
                <w:szCs w:val="14"/>
                <w:color w:val="auto"/>
              </w:rPr>
              <w:t>Sav-A-Lot</w:t>
            </w:r>
          </w:p>
        </w:tc>
        <w:tc>
          <w:tcPr>
            <w:tcW w:w="0" w:type="dxa"/>
            <w:vAlign w:val="bottom"/>
          </w:tcPr>
          <w:p>
            <w:pPr>
              <w:spacing w:after="0"/>
              <w:rPr>
                <w:sz w:val="1"/>
                <w:szCs w:val="1"/>
                <w:color w:val="auto"/>
              </w:rPr>
            </w:pPr>
          </w:p>
        </w:tc>
      </w:tr>
      <w:tr>
        <w:trPr>
          <w:trHeight w:val="148"/>
        </w:trPr>
        <w:tc>
          <w:tcPr>
            <w:tcW w:w="2760" w:type="dxa"/>
            <w:vAlign w:val="bottom"/>
            <w:gridSpan w:val="11"/>
          </w:tcPr>
          <w:p>
            <w:pPr>
              <w:ind w:left="40"/>
              <w:spacing w:after="0" w:line="149" w:lineRule="exact"/>
              <w:rPr>
                <w:sz w:val="20"/>
                <w:szCs w:val="20"/>
                <w:color w:val="auto"/>
              </w:rPr>
            </w:pPr>
            <w:r>
              <w:rPr>
                <w:rFonts w:ascii="Arial" w:cs="Arial" w:eastAsia="Arial" w:hAnsi="Arial"/>
                <w:sz w:val="14"/>
                <w:szCs w:val="14"/>
                <w:color w:val="auto"/>
              </w:rPr>
              <w:t>Chelsea, MA 02150(8)</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9"/>
              </w:rPr>
              <w:t>2008</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3"/>
          </w:tcPr>
          <w:p>
            <w:pPr>
              <w:ind w:left="4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9"/>
            <w:shd w:val="clear" w:color="auto" w:fill="CCEEFF"/>
          </w:tcPr>
          <w:p>
            <w:pPr>
              <w:spacing w:after="0"/>
              <w:rPr>
                <w:sz w:val="20"/>
                <w:szCs w:val="20"/>
                <w:color w:val="auto"/>
              </w:rPr>
            </w:pPr>
            <w:r>
              <w:rPr>
                <w:rFonts w:ascii="Arial" w:cs="Arial" w:eastAsia="Arial" w:hAnsi="Arial"/>
                <w:sz w:val="14"/>
                <w:szCs w:val="14"/>
                <w:color w:val="auto"/>
                <w:shd w:val="clear" w:color="auto" w:fill="CCEEFF"/>
              </w:rPr>
              <w:t>Chelsea Commons Residential</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56 units</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4"/>
                <w:szCs w:val="14"/>
                <w:color w:val="auto"/>
                <w:shd w:val="clear" w:color="auto" w:fill="CCEEFF"/>
              </w:rPr>
              <w:t>Chelsea, MA 02150</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Dedham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1993/2016</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241,000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$16.50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62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Star Market</w:t>
            </w:r>
          </w:p>
        </w:tc>
        <w:tc>
          <w:tcPr>
            <w:tcW w:w="0" w:type="dxa"/>
            <w:vAlign w:val="bottom"/>
          </w:tcPr>
          <w:p>
            <w:pPr>
              <w:spacing w:after="0"/>
              <w:rPr>
                <w:sz w:val="1"/>
                <w:szCs w:val="1"/>
                <w:color w:val="auto"/>
              </w:rPr>
            </w:pPr>
          </w:p>
        </w:tc>
      </w:tr>
      <w:tr>
        <w:trPr>
          <w:trHeight w:val="188"/>
        </w:trPr>
        <w:tc>
          <w:tcPr>
            <w:tcW w:w="2760" w:type="dxa"/>
            <w:vAlign w:val="bottom"/>
            <w:gridSpan w:val="11"/>
          </w:tcPr>
          <w:p>
            <w:pPr>
              <w:ind w:left="40"/>
              <w:spacing w:after="0"/>
              <w:rPr>
                <w:sz w:val="20"/>
                <w:szCs w:val="20"/>
                <w:color w:val="auto"/>
              </w:rPr>
            </w:pPr>
            <w:r>
              <w:rPr>
                <w:rFonts w:ascii="Arial" w:cs="Arial" w:eastAsia="Arial" w:hAnsi="Arial"/>
                <w:sz w:val="14"/>
                <w:szCs w:val="14"/>
                <w:color w:val="auto"/>
              </w:rPr>
              <w:t>Dedham, MA 02026</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40" w:type="dxa"/>
            <w:vAlign w:val="bottom"/>
            <w:gridSpan w:val="7"/>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Linden Square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1960, 2008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2006</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223,000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$47.15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4"/>
                <w:szCs w:val="14"/>
                <w:color w:val="auto"/>
              </w:rPr>
            </w:pPr>
          </w:p>
        </w:tc>
        <w:tc>
          <w:tcPr>
            <w:tcW w:w="26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Roche Brothers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w w:val="92"/>
                <w:shd w:val="clear" w:color="auto" w:fill="CCEEFF"/>
              </w:rPr>
              <w:t>Wellesley, MA</w:t>
            </w:r>
          </w:p>
        </w:tc>
        <w:tc>
          <w:tcPr>
            <w:tcW w:w="1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02481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Supermarket</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CVS</w:t>
            </w:r>
          </w:p>
        </w:tc>
        <w:tc>
          <w:tcPr>
            <w:tcW w:w="1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North Dartmouth</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48,000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$15.31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8"/>
        </w:trPr>
        <w:tc>
          <w:tcPr>
            <w:tcW w:w="2760" w:type="dxa"/>
            <w:vAlign w:val="bottom"/>
            <w:gridSpan w:val="11"/>
          </w:tcPr>
          <w:p>
            <w:pPr>
              <w:ind w:left="40"/>
              <w:spacing w:after="0"/>
              <w:rPr>
                <w:sz w:val="20"/>
                <w:szCs w:val="20"/>
                <w:color w:val="auto"/>
              </w:rPr>
            </w:pPr>
            <w:r>
              <w:rPr>
                <w:rFonts w:ascii="Arial" w:cs="Arial" w:eastAsia="Arial" w:hAnsi="Arial"/>
                <w:sz w:val="14"/>
                <w:szCs w:val="14"/>
                <w:color w:val="auto"/>
              </w:rPr>
              <w:t>North Dartmouth, MA 02747</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080" w:type="dxa"/>
            <w:vAlign w:val="bottom"/>
            <w:gridSpan w:val="8"/>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Queen Anne Plaza</w:t>
            </w: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1994</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149,000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$17.72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6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HomeGoods</w:t>
            </w: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2600" w:type="dxa"/>
            <w:vAlign w:val="bottom"/>
            <w:gridSpan w:val="9"/>
            <w:shd w:val="clear" w:color="auto" w:fill="CCEEFF"/>
          </w:tcPr>
          <w:p>
            <w:pPr>
              <w:spacing w:after="0"/>
              <w:rPr>
                <w:sz w:val="20"/>
                <w:szCs w:val="20"/>
                <w:color w:val="auto"/>
              </w:rPr>
            </w:pPr>
            <w:r>
              <w:rPr>
                <w:rFonts w:ascii="Arial" w:cs="Arial" w:eastAsia="Arial" w:hAnsi="Arial"/>
                <w:sz w:val="14"/>
                <w:szCs w:val="14"/>
                <w:color w:val="auto"/>
                <w:shd w:val="clear" w:color="auto" w:fill="CCEEFF"/>
              </w:rPr>
              <w:t>Norwell, MA 02061</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TJ Maxx</w:t>
            </w: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20" w:type="dxa"/>
            <w:vAlign w:val="bottom"/>
            <w:tcBorders>
              <w:bottom w:val="single" w:sz="8" w:color="CCEEFF"/>
            </w:tcBorders>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Big Y Foods</w:t>
            </w: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Saugus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169,000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$12.22</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Super Stop &amp; Shop</w:t>
            </w:r>
          </w:p>
        </w:tc>
        <w:tc>
          <w:tcPr>
            <w:tcW w:w="0" w:type="dxa"/>
            <w:vAlign w:val="bottom"/>
          </w:tcPr>
          <w:p>
            <w:pPr>
              <w:spacing w:after="0"/>
              <w:rPr>
                <w:sz w:val="1"/>
                <w:szCs w:val="1"/>
                <w:color w:val="auto"/>
              </w:rPr>
            </w:pPr>
          </w:p>
        </w:tc>
      </w:tr>
      <w:tr>
        <w:trPr>
          <w:trHeight w:val="188"/>
        </w:trPr>
        <w:tc>
          <w:tcPr>
            <w:tcW w:w="2760" w:type="dxa"/>
            <w:vAlign w:val="bottom"/>
            <w:gridSpan w:val="11"/>
          </w:tcPr>
          <w:p>
            <w:pPr>
              <w:ind w:left="40"/>
              <w:spacing w:after="0"/>
              <w:rPr>
                <w:sz w:val="20"/>
                <w:szCs w:val="20"/>
                <w:color w:val="auto"/>
              </w:rPr>
            </w:pPr>
            <w:r>
              <w:rPr>
                <w:rFonts w:ascii="Arial" w:cs="Arial" w:eastAsia="Arial" w:hAnsi="Arial"/>
                <w:sz w:val="14"/>
                <w:szCs w:val="14"/>
                <w:color w:val="auto"/>
              </w:rPr>
              <w:t>Saugus, MA 01906</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3"/>
          </w:tcPr>
          <w:p>
            <w:pPr>
              <w:ind w:left="40"/>
              <w:spacing w:after="0"/>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2"/>
                <w:shd w:val="clear" w:color="auto" w:fill="CCEEFF"/>
              </w:rPr>
              <w:t>Michigan</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Gratiot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1973</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217,000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$12.04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2760" w:type="dxa"/>
            <w:vAlign w:val="bottom"/>
            <w:gridSpan w:val="11"/>
          </w:tcPr>
          <w:p>
            <w:pPr>
              <w:ind w:left="40"/>
              <w:spacing w:after="0" w:line="149" w:lineRule="exact"/>
              <w:rPr>
                <w:sz w:val="20"/>
                <w:szCs w:val="20"/>
                <w:color w:val="auto"/>
              </w:rPr>
            </w:pPr>
            <w:r>
              <w:rPr>
                <w:rFonts w:ascii="Arial" w:cs="Arial" w:eastAsia="Arial" w:hAnsi="Arial"/>
                <w:sz w:val="14"/>
                <w:szCs w:val="14"/>
                <w:color w:val="auto"/>
              </w:rPr>
              <w:t>Roseville, MI 48066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3"/>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4"/>
                <w:szCs w:val="14"/>
                <w:b w:val="1"/>
                <w:bCs w:val="1"/>
                <w:color w:val="auto"/>
                <w:w w:val="88"/>
                <w:shd w:val="clear" w:color="auto" w:fill="CCEEFF"/>
              </w:rPr>
              <w:t>New Jersey</w:t>
            </w:r>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Brick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422,000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$20.13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68%</w:t>
            </w:r>
          </w:p>
        </w:tc>
        <w:tc>
          <w:tcPr>
            <w:tcW w:w="100" w:type="dxa"/>
            <w:vAlign w:val="bottom"/>
          </w:tcPr>
          <w:p>
            <w:pPr>
              <w:spacing w:after="0"/>
              <w:rPr>
                <w:sz w:val="13"/>
                <w:szCs w:val="13"/>
                <w:color w:val="auto"/>
              </w:rPr>
            </w:pPr>
          </w:p>
        </w:tc>
        <w:tc>
          <w:tcPr>
            <w:tcW w:w="262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8"/>
        </w:trPr>
        <w:tc>
          <w:tcPr>
            <w:tcW w:w="2760" w:type="dxa"/>
            <w:vAlign w:val="bottom"/>
            <w:gridSpan w:val="11"/>
          </w:tcPr>
          <w:p>
            <w:pPr>
              <w:ind w:left="40"/>
              <w:spacing w:after="0" w:line="149" w:lineRule="exact"/>
              <w:rPr>
                <w:sz w:val="20"/>
                <w:szCs w:val="20"/>
                <w:color w:val="auto"/>
              </w:rPr>
            </w:pPr>
            <w:r>
              <w:rPr>
                <w:rFonts w:ascii="Arial" w:cs="Arial" w:eastAsia="Arial" w:hAnsi="Arial"/>
                <w:sz w:val="14"/>
                <w:szCs w:val="14"/>
                <w:color w:val="auto"/>
              </w:rPr>
              <w:t>Brick Township, NJ 08723(4)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AMC Lowes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3"/>
          </w:tcPr>
          <w:p>
            <w:pPr>
              <w:ind w:left="4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Brook 35</w:t>
            </w:r>
          </w:p>
        </w:tc>
        <w:tc>
          <w:tcPr>
            <w:tcW w:w="6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360" w:type="dxa"/>
            <w:vAlign w:val="bottom"/>
            <w:gridSpan w:val="2"/>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1986, 2004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2014</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$35.25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shd w:val="clear" w:color="auto" w:fill="CCEEFF"/>
              </w:rPr>
              <w:t>Ann Taylor</w:t>
            </w:r>
          </w:p>
        </w:tc>
        <w:tc>
          <w:tcPr>
            <w:tcW w:w="1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shd w:val="clear" w:color="auto" w:fill="CCEEFF"/>
              </w:rPr>
              <w:t>Sea Grit,</w:t>
            </w:r>
          </w:p>
        </w:tc>
        <w:tc>
          <w:tcPr>
            <w:tcW w:w="2060" w:type="dxa"/>
            <w:vAlign w:val="bottom"/>
            <w:gridSpan w:val="8"/>
            <w:shd w:val="clear" w:color="auto" w:fill="CCEEFF"/>
          </w:tcPr>
          <w:p>
            <w:pPr>
              <w:jc w:val="right"/>
              <w:ind w:right="928"/>
              <w:spacing w:after="0" w:line="149" w:lineRule="exact"/>
              <w:rPr>
                <w:sz w:val="20"/>
                <w:szCs w:val="20"/>
                <w:color w:val="auto"/>
              </w:rPr>
            </w:pPr>
            <w:r>
              <w:rPr>
                <w:rFonts w:ascii="Arial" w:cs="Arial" w:eastAsia="Arial" w:hAnsi="Arial"/>
                <w:sz w:val="14"/>
                <w:szCs w:val="14"/>
                <w:color w:val="auto"/>
                <w:w w:val="93"/>
                <w:shd w:val="clear" w:color="auto" w:fill="CCEEFF"/>
              </w:rPr>
              <w:t>NJ 08750(5)(6)(8)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Banana Republic</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Coach</w:t>
            </w:r>
          </w:p>
        </w:tc>
        <w:tc>
          <w:tcPr>
            <w:tcW w:w="1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Williams-Sonoma</w:t>
            </w: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Ellisburg</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1992</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268,000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$15.81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62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8"/>
        </w:trPr>
        <w:tc>
          <w:tcPr>
            <w:tcW w:w="2760" w:type="dxa"/>
            <w:vAlign w:val="bottom"/>
            <w:gridSpan w:val="11"/>
          </w:tcPr>
          <w:p>
            <w:pPr>
              <w:ind w:left="40"/>
              <w:spacing w:after="0" w:line="149" w:lineRule="exact"/>
              <w:rPr>
                <w:sz w:val="20"/>
                <w:szCs w:val="20"/>
                <w:color w:val="auto"/>
              </w:rPr>
            </w:pPr>
            <w:r>
              <w:rPr>
                <w:rFonts w:ascii="Arial" w:cs="Arial" w:eastAsia="Arial" w:hAnsi="Arial"/>
                <w:sz w:val="14"/>
                <w:szCs w:val="14"/>
                <w:color w:val="auto"/>
              </w:rPr>
              <w:t>Cherry Hill, NJ 08034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3"/>
          </w:tcPr>
          <w:p>
            <w:pPr>
              <w:ind w:left="40"/>
              <w:spacing w:after="0"/>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72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95"/>
                <w:shd w:val="clear" w:color="auto" w:fill="CCEEFF"/>
              </w:rPr>
              <w:t>Mercer Mall</w:t>
            </w:r>
          </w:p>
        </w:tc>
        <w:tc>
          <w:tcPr>
            <w:tcW w:w="360" w:type="dxa"/>
            <w:vAlign w:val="bottom"/>
            <w:gridSpan w:val="2"/>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1975</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2003</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530,000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$24.25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26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Raymour &amp; Flanigan</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7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w w:val="78"/>
                <w:shd w:val="clear" w:color="auto" w:fill="CCEEFF"/>
              </w:rPr>
              <w:t>Lawrenceville,</w:t>
            </w:r>
          </w:p>
        </w:tc>
        <w:tc>
          <w:tcPr>
            <w:tcW w:w="188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shd w:val="clear" w:color="auto" w:fill="CCEEFF"/>
              </w:rPr>
              <w:t>NJ 08648(4)(7)</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Bed, Bath &amp; Beyond</w:t>
            </w: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DSW</w:t>
            </w: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shd w:val="clear" w:color="auto" w:fill="CCEEFF"/>
              </w:rPr>
              <w:t>TJ Maxx</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7"/>
                <w:shd w:val="clear" w:color="auto" w:fill="CCEEFF"/>
              </w:rPr>
              <w:t>Shop Rite</w:t>
            </w:r>
          </w:p>
        </w:tc>
        <w:tc>
          <w:tcPr>
            <w:tcW w:w="1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shd w:val="clear" w:color="auto" w:fill="CCEEFF"/>
              </w:rPr>
              <w:t>Nordstrom</w:t>
            </w:r>
          </w:p>
        </w:tc>
        <w:tc>
          <w:tcPr>
            <w:tcW w:w="20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shd w:val="clear" w:color="auto" w:fill="CCEEFF"/>
              </w:rPr>
              <w:t>Rack</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REI</w:t>
            </w:r>
          </w:p>
        </w:tc>
        <w:tc>
          <w:tcPr>
            <w:tcW w:w="1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The Grove at Shrewsbury</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1988, 1993</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192,000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$44.77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Lululemon</w:t>
            </w:r>
          </w:p>
        </w:tc>
        <w:tc>
          <w:tcPr>
            <w:tcW w:w="0" w:type="dxa"/>
            <w:vAlign w:val="bottom"/>
          </w:tcPr>
          <w:p>
            <w:pPr>
              <w:spacing w:after="0"/>
              <w:rPr>
                <w:sz w:val="1"/>
                <w:szCs w:val="1"/>
                <w:color w:val="auto"/>
              </w:rPr>
            </w:pPr>
          </w:p>
        </w:tc>
      </w:tr>
      <w:tr>
        <w:trPr>
          <w:trHeight w:val="148"/>
        </w:trPr>
        <w:tc>
          <w:tcPr>
            <w:tcW w:w="2760" w:type="dxa"/>
            <w:vAlign w:val="bottom"/>
            <w:gridSpan w:val="11"/>
          </w:tcPr>
          <w:p>
            <w:pPr>
              <w:ind w:left="40"/>
              <w:spacing w:after="0" w:line="149" w:lineRule="exact"/>
              <w:rPr>
                <w:sz w:val="20"/>
                <w:szCs w:val="20"/>
                <w:color w:val="auto"/>
              </w:rPr>
            </w:pPr>
            <w:r>
              <w:rPr>
                <w:rFonts w:ascii="Arial" w:cs="Arial" w:eastAsia="Arial" w:hAnsi="Arial"/>
                <w:sz w:val="14"/>
                <w:szCs w:val="14"/>
                <w:color w:val="auto"/>
              </w:rPr>
              <w:t>Shrewsbury, NJ 07702(5)(6)(8)</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9"/>
              </w:rPr>
              <w:t>&amp; 2007</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Brooks Brothers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J. Crew</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3"/>
          </w:tcPr>
          <w:p>
            <w:pPr>
              <w:ind w:left="40"/>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Troy</w:t>
            </w:r>
          </w:p>
        </w:tc>
        <w:tc>
          <w:tcPr>
            <w:tcW w:w="6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4"/>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1980</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211,000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$28.57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67%</w:t>
            </w:r>
          </w:p>
        </w:tc>
        <w:tc>
          <w:tcPr>
            <w:tcW w:w="100" w:type="dxa"/>
            <w:vAlign w:val="bottom"/>
            <w:shd w:val="clear" w:color="auto" w:fill="CCEEFF"/>
          </w:tcPr>
          <w:p>
            <w:pPr>
              <w:spacing w:after="0"/>
              <w:rPr>
                <w:sz w:val="14"/>
                <w:szCs w:val="14"/>
                <w:color w:val="auto"/>
              </w:rPr>
            </w:pPr>
          </w:p>
        </w:tc>
        <w:tc>
          <w:tcPr>
            <w:tcW w:w="26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L.A. Fitness</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4"/>
                <w:szCs w:val="14"/>
                <w:color w:val="auto"/>
                <w:shd w:val="clear" w:color="auto" w:fill="CCEEFF"/>
              </w:rPr>
              <w:t>Parsippany-Troy, NJ 07054</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gridSpan w:val="11"/>
          </w:tcPr>
          <w:p>
            <w:pPr>
              <w:ind w:left="40"/>
              <w:spacing w:after="0"/>
              <w:rPr>
                <w:sz w:val="20"/>
                <w:szCs w:val="20"/>
                <w:color w:val="auto"/>
              </w:rPr>
            </w:pPr>
            <w:r>
              <w:rPr>
                <w:rFonts w:ascii="Arial" w:cs="Arial" w:eastAsia="Arial" w:hAnsi="Arial"/>
                <w:sz w:val="14"/>
                <w:szCs w:val="14"/>
                <w:b w:val="1"/>
                <w:bCs w:val="1"/>
                <w:color w:val="auto"/>
              </w:rPr>
              <w:t>New York</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1080" w:type="dxa"/>
            <w:vAlign w:val="bottom"/>
            <w:gridSpan w:val="8"/>
            <w:shd w:val="clear" w:color="auto" w:fill="CCEEFF"/>
          </w:tcPr>
          <w:p>
            <w:pPr>
              <w:spacing w:after="0" w:line="157" w:lineRule="exact"/>
              <w:rPr>
                <w:sz w:val="20"/>
                <w:szCs w:val="20"/>
                <w:color w:val="auto"/>
              </w:rPr>
            </w:pPr>
            <w:r>
              <w:rPr>
                <w:rFonts w:ascii="Arial" w:cs="Arial" w:eastAsia="Arial" w:hAnsi="Arial"/>
                <w:sz w:val="14"/>
                <w:szCs w:val="14"/>
                <w:color w:val="auto"/>
                <w:shd w:val="clear" w:color="auto" w:fill="CCEEFF"/>
              </w:rPr>
              <w:t>Fresh Meadows</w:t>
            </w: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1949</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404,000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$31.81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3"/>
                <w:szCs w:val="13"/>
                <w:color w:val="auto"/>
              </w:rPr>
            </w:pPr>
          </w:p>
        </w:tc>
        <w:tc>
          <w:tcPr>
            <w:tcW w:w="2620" w:type="dxa"/>
            <w:vAlign w:val="bottom"/>
            <w:gridSpan w:val="3"/>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Island of Gold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Queens, NY 11365</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Modell's</w:t>
            </w:r>
          </w:p>
        </w:tc>
        <w:tc>
          <w:tcPr>
            <w:tcW w:w="1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AMC Loews</w:t>
            </w:r>
          </w:p>
        </w:tc>
        <w:tc>
          <w:tcPr>
            <w:tcW w:w="0" w:type="dxa"/>
            <w:vAlign w:val="bottom"/>
          </w:tcPr>
          <w:p>
            <w:pPr>
              <w:spacing w:after="0"/>
              <w:rPr>
                <w:sz w:val="1"/>
                <w:szCs w:val="1"/>
                <w:color w:val="auto"/>
              </w:rPr>
            </w:pPr>
          </w:p>
        </w:tc>
      </w:tr>
      <w:tr>
        <w:trPr>
          <w:trHeight w:val="130"/>
        </w:trPr>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shd w:val="clear" w:color="auto" w:fill="CCEEFF"/>
              </w:rPr>
              <w:t>Kohl's</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7"/>
                <w:shd w:val="clear" w:color="auto" w:fill="CCEEFF"/>
              </w:rPr>
              <w:t>Michaels</w:t>
            </w:r>
          </w:p>
        </w:tc>
        <w:tc>
          <w:tcPr>
            <w:tcW w:w="1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Greenlawn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1975, 2004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106,000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$17.63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62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Greenlawn Farms</w:t>
            </w:r>
          </w:p>
        </w:tc>
        <w:tc>
          <w:tcPr>
            <w:tcW w:w="0" w:type="dxa"/>
            <w:vAlign w:val="bottom"/>
          </w:tcPr>
          <w:p>
            <w:pPr>
              <w:spacing w:after="0"/>
              <w:rPr>
                <w:sz w:val="1"/>
                <w:szCs w:val="1"/>
                <w:color w:val="auto"/>
              </w:rPr>
            </w:pPr>
          </w:p>
        </w:tc>
      </w:tr>
      <w:tr>
        <w:trPr>
          <w:trHeight w:val="188"/>
        </w:trPr>
        <w:tc>
          <w:tcPr>
            <w:tcW w:w="2760" w:type="dxa"/>
            <w:vAlign w:val="bottom"/>
            <w:gridSpan w:val="11"/>
          </w:tcPr>
          <w:p>
            <w:pPr>
              <w:ind w:left="40"/>
              <w:spacing w:after="0"/>
              <w:rPr>
                <w:sz w:val="20"/>
                <w:szCs w:val="20"/>
                <w:color w:val="auto"/>
              </w:rPr>
            </w:pPr>
            <w:r>
              <w:rPr>
                <w:rFonts w:ascii="Arial" w:cs="Arial" w:eastAsia="Arial" w:hAnsi="Arial"/>
                <w:sz w:val="14"/>
                <w:szCs w:val="14"/>
                <w:color w:val="auto"/>
              </w:rPr>
              <w:t>Greenlawn, NY 11743 (12)</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3"/>
          </w:tcPr>
          <w:p>
            <w:pPr>
              <w:ind w:left="40"/>
              <w:spacing w:after="0"/>
              <w:rPr>
                <w:sz w:val="20"/>
                <w:szCs w:val="20"/>
                <w:color w:val="auto"/>
              </w:rPr>
            </w:pPr>
            <w:r>
              <w:rPr>
                <w:rFonts w:ascii="Arial" w:cs="Arial" w:eastAsia="Arial" w:hAnsi="Arial"/>
                <w:sz w:val="14"/>
                <w:szCs w:val="14"/>
                <w:color w:val="auto"/>
              </w:rPr>
              <w:t>Tuesday Morning</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68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Hauppauge</w:t>
            </w:r>
          </w:p>
        </w:tc>
        <w:tc>
          <w:tcPr>
            <w:tcW w:w="400" w:type="dxa"/>
            <w:vAlign w:val="bottom"/>
            <w:gridSpan w:val="4"/>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1998</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134,000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$28.80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4"/>
                <w:szCs w:val="14"/>
                <w:color w:val="auto"/>
                <w:w w:val="87"/>
                <w:shd w:val="clear" w:color="auto" w:fill="CCEEFF"/>
              </w:rPr>
              <w:t>Shop Rite</w:t>
            </w: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w w:val="86"/>
                <w:shd w:val="clear" w:color="auto" w:fill="CCEEFF"/>
              </w:rPr>
              <w:t>Hauppauge,</w:t>
            </w:r>
          </w:p>
        </w:tc>
        <w:tc>
          <w:tcPr>
            <w:tcW w:w="1920" w:type="dxa"/>
            <w:vAlign w:val="bottom"/>
            <w:tcBorders>
              <w:bottom w:val="single" w:sz="8" w:color="CCEEFF"/>
            </w:tcBorders>
            <w:gridSpan w:val="5"/>
            <w:shd w:val="clear" w:color="auto" w:fill="CCEEFF"/>
          </w:tcPr>
          <w:p>
            <w:pPr>
              <w:jc w:val="right"/>
              <w:ind w:right="1208"/>
              <w:spacing w:after="0"/>
              <w:rPr>
                <w:sz w:val="20"/>
                <w:szCs w:val="20"/>
                <w:color w:val="auto"/>
              </w:rPr>
            </w:pPr>
            <w:r>
              <w:rPr>
                <w:rFonts w:ascii="Arial" w:cs="Arial" w:eastAsia="Arial" w:hAnsi="Arial"/>
                <w:sz w:val="14"/>
                <w:szCs w:val="14"/>
                <w:color w:val="auto"/>
                <w:w w:val="99"/>
                <w:shd w:val="clear" w:color="auto" w:fill="CCEEFF"/>
              </w:rPr>
              <w:t>NY 11788</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93"/>
                <w:shd w:val="clear" w:color="auto" w:fill="CCEEFF"/>
              </w:rPr>
              <w:t>A.C. Moore</w:t>
            </w:r>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Huntington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1962</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1"/>
              </w:rPr>
              <w:t>1988/2007/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279,000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$25.74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62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8"/>
        </w:trPr>
        <w:tc>
          <w:tcPr>
            <w:tcW w:w="2760" w:type="dxa"/>
            <w:vAlign w:val="bottom"/>
            <w:gridSpan w:val="11"/>
          </w:tcPr>
          <w:p>
            <w:pPr>
              <w:ind w:left="40"/>
              <w:spacing w:after="0" w:line="149" w:lineRule="exact"/>
              <w:rPr>
                <w:sz w:val="20"/>
                <w:szCs w:val="20"/>
                <w:color w:val="auto"/>
              </w:rPr>
            </w:pPr>
            <w:r>
              <w:rPr>
                <w:rFonts w:ascii="Arial" w:cs="Arial" w:eastAsia="Arial" w:hAnsi="Arial"/>
                <w:sz w:val="14"/>
                <w:szCs w:val="14"/>
                <w:color w:val="auto"/>
              </w:rPr>
              <w:t>Huntington, NY 11746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3"/>
          </w:tcPr>
          <w:p>
            <w:pPr>
              <w:ind w:left="4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080" w:type="dxa"/>
            <w:vAlign w:val="bottom"/>
            <w:gridSpan w:val="8"/>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Huntington Square</w:t>
            </w: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1980, 2007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2010</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74,000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$27.69</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93%</w:t>
            </w:r>
          </w:p>
        </w:tc>
        <w:tc>
          <w:tcPr>
            <w:tcW w:w="100" w:type="dxa"/>
            <w:vAlign w:val="bottom"/>
            <w:shd w:val="clear" w:color="auto" w:fill="CCEEFF"/>
          </w:tcPr>
          <w:p>
            <w:pPr>
              <w:spacing w:after="0"/>
              <w:rPr>
                <w:sz w:val="14"/>
                <w:szCs w:val="14"/>
                <w:color w:val="auto"/>
              </w:rPr>
            </w:pPr>
          </w:p>
        </w:tc>
        <w:tc>
          <w:tcPr>
            <w:tcW w:w="26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Barnes &amp; Noble</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East Northport, NY</w:t>
            </w:r>
          </w:p>
        </w:tc>
        <w:tc>
          <w:tcPr>
            <w:tcW w:w="1520" w:type="dxa"/>
            <w:vAlign w:val="bottom"/>
            <w:tcBorders>
              <w:bottom w:val="single" w:sz="8" w:color="CCEEFF"/>
            </w:tcBorders>
            <w:shd w:val="clear" w:color="auto" w:fill="CCEEFF"/>
          </w:tcPr>
          <w:p>
            <w:pPr>
              <w:jc w:val="right"/>
              <w:ind w:right="848"/>
              <w:spacing w:after="0"/>
              <w:rPr>
                <w:sz w:val="20"/>
                <w:szCs w:val="20"/>
                <w:color w:val="auto"/>
              </w:rPr>
            </w:pPr>
            <w:r>
              <w:rPr>
                <w:rFonts w:ascii="Arial" w:cs="Arial" w:eastAsia="Arial" w:hAnsi="Arial"/>
                <w:sz w:val="14"/>
                <w:szCs w:val="14"/>
                <w:color w:val="auto"/>
                <w:shd w:val="clear" w:color="auto" w:fill="CCEEFF"/>
              </w:rPr>
              <w:t>11731(4)</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Melville Mall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251,000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$26.58</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262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48"/>
        </w:trPr>
        <w:tc>
          <w:tcPr>
            <w:tcW w:w="2760" w:type="dxa"/>
            <w:vAlign w:val="bottom"/>
            <w:gridSpan w:val="11"/>
          </w:tcPr>
          <w:p>
            <w:pPr>
              <w:ind w:left="40"/>
              <w:spacing w:after="0" w:line="149" w:lineRule="exact"/>
              <w:rPr>
                <w:sz w:val="20"/>
                <w:szCs w:val="20"/>
                <w:color w:val="auto"/>
              </w:rPr>
            </w:pPr>
            <w:r>
              <w:rPr>
                <w:rFonts w:ascii="Arial" w:cs="Arial" w:eastAsia="Arial" w:hAnsi="Arial"/>
                <w:sz w:val="14"/>
                <w:szCs w:val="14"/>
                <w:color w:val="auto"/>
              </w:rPr>
              <w:t>Huntington, NY 11747(4)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Macy's Backstage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3"/>
          </w:tcPr>
          <w:p>
            <w:pPr>
              <w:ind w:left="40"/>
              <w:spacing w:after="0"/>
              <w:rPr>
                <w:sz w:val="20"/>
                <w:szCs w:val="20"/>
                <w:color w:val="auto"/>
              </w:rPr>
            </w:pPr>
            <w:r>
              <w:rPr>
                <w:rFonts w:ascii="Arial" w:cs="Arial" w:eastAsia="Arial" w:hAnsi="Arial"/>
                <w:sz w:val="14"/>
                <w:szCs w:val="14"/>
                <w:color w:val="auto"/>
              </w:rPr>
              <w:t>Field &amp; Stream</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Square Feet(1)</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gridSpan w:val="11"/>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 Square</w:t>
            </w:r>
          </w:p>
        </w:tc>
        <w:tc>
          <w:tcPr>
            <w:tcW w:w="11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760" w:type="dxa"/>
            <w:vAlign w:val="bottom"/>
            <w:gridSpan w:val="11"/>
            <w:vMerge w:val="continue"/>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Completed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Acquired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/Apartment Units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Foot(2)</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Leased(3)</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gridSpan w:val="8"/>
            <w:shd w:val="clear" w:color="auto" w:fill="CCEEFF"/>
          </w:tcPr>
          <w:p>
            <w:pPr>
              <w:spacing w:after="0"/>
              <w:rPr>
                <w:sz w:val="20"/>
                <w:szCs w:val="20"/>
                <w:color w:val="auto"/>
              </w:rPr>
            </w:pPr>
            <w:r>
              <w:rPr>
                <w:rFonts w:ascii="Arial" w:cs="Arial" w:eastAsia="Arial" w:hAnsi="Arial"/>
                <w:sz w:val="14"/>
                <w:szCs w:val="14"/>
                <w:b w:val="1"/>
                <w:bCs w:val="1"/>
                <w:color w:val="auto"/>
                <w:w w:val="94"/>
                <w:shd w:val="clear" w:color="auto" w:fill="CCEEFF"/>
              </w:rPr>
              <w:t>North Carolina</w:t>
            </w:r>
          </w:p>
        </w:tc>
        <w:tc>
          <w:tcPr>
            <w:tcW w:w="16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76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Eastgate Crossing</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1986</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153,000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$24.25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48"/>
        </w:trPr>
        <w:tc>
          <w:tcPr>
            <w:tcW w:w="2760" w:type="dxa"/>
            <w:vAlign w:val="bottom"/>
            <w:gridSpan w:val="11"/>
          </w:tcPr>
          <w:p>
            <w:pPr>
              <w:ind w:left="40"/>
              <w:spacing w:after="0" w:line="149" w:lineRule="exact"/>
              <w:rPr>
                <w:sz w:val="20"/>
                <w:szCs w:val="20"/>
                <w:color w:val="auto"/>
              </w:rPr>
            </w:pPr>
            <w:r>
              <w:rPr>
                <w:rFonts w:ascii="Arial" w:cs="Arial" w:eastAsia="Arial" w:hAnsi="Arial"/>
                <w:sz w:val="14"/>
                <w:szCs w:val="14"/>
                <w:color w:val="auto"/>
              </w:rPr>
              <w:t>Chapel Hill, NC 27514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w w:val="87"/>
                <w:shd w:val="clear" w:color="auto" w:fill="CCEEFF"/>
              </w:rPr>
              <w:t>Pennsylvania</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Andorra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1953</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1988</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265,000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$15.55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93%</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8"/>
        </w:trPr>
        <w:tc>
          <w:tcPr>
            <w:tcW w:w="2760" w:type="dxa"/>
            <w:vAlign w:val="bottom"/>
            <w:gridSpan w:val="11"/>
          </w:tcPr>
          <w:p>
            <w:pPr>
              <w:ind w:left="40"/>
              <w:spacing w:after="0" w:line="149" w:lineRule="exact"/>
              <w:rPr>
                <w:sz w:val="20"/>
                <w:szCs w:val="20"/>
                <w:color w:val="auto"/>
              </w:rPr>
            </w:pPr>
            <w:r>
              <w:rPr>
                <w:rFonts w:ascii="Arial" w:cs="Arial" w:eastAsia="Arial" w:hAnsi="Arial"/>
                <w:sz w:val="14"/>
                <w:szCs w:val="14"/>
                <w:color w:val="auto"/>
              </w:rPr>
              <w:t>Philadelphia, PA 19128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0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95"/>
                <w:shd w:val="clear" w:color="auto" w:fill="CCEEFF"/>
              </w:rPr>
              <w:t>Bala Cynwyd</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1955</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295,000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$24.47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62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Acme Markets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w w:val="91"/>
                <w:shd w:val="clear" w:color="auto" w:fill="CCEEFF"/>
              </w:rPr>
              <w:t>Bala Cynwyd,</w:t>
            </w:r>
          </w:p>
        </w:tc>
        <w:tc>
          <w:tcPr>
            <w:tcW w:w="40" w:type="dxa"/>
            <w:vAlign w:val="bottom"/>
            <w:shd w:val="clear" w:color="auto" w:fill="CCEEFF"/>
          </w:tcPr>
          <w:p>
            <w:pPr>
              <w:spacing w:after="0"/>
              <w:rPr>
                <w:sz w:val="12"/>
                <w:szCs w:val="12"/>
                <w:color w:val="auto"/>
              </w:rPr>
            </w:pPr>
          </w:p>
        </w:tc>
        <w:tc>
          <w:tcPr>
            <w:tcW w:w="1760" w:type="dxa"/>
            <w:vAlign w:val="bottom"/>
            <w:gridSpan w:val="4"/>
            <w:shd w:val="clear" w:color="auto" w:fill="CCEEFF"/>
          </w:tcPr>
          <w:p>
            <w:pPr>
              <w:jc w:val="right"/>
              <w:ind w:right="1180"/>
              <w:spacing w:after="0" w:line="149" w:lineRule="exact"/>
              <w:rPr>
                <w:sz w:val="20"/>
                <w:szCs w:val="20"/>
                <w:color w:val="auto"/>
              </w:rPr>
            </w:pPr>
            <w:r>
              <w:rPr>
                <w:rFonts w:ascii="Arial" w:cs="Arial" w:eastAsia="Arial" w:hAnsi="Arial"/>
                <w:sz w:val="14"/>
                <w:szCs w:val="14"/>
                <w:color w:val="auto"/>
                <w:w w:val="90"/>
                <w:shd w:val="clear" w:color="auto" w:fill="CCEEFF"/>
              </w:rPr>
              <w:t>PA 19004</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w w:val="95"/>
                <w:shd w:val="clear" w:color="auto" w:fill="CCEEFF"/>
              </w:rPr>
              <w:t>Lord &amp; Taylor</w:t>
            </w: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Michaels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w w:val="94"/>
                <w:shd w:val="clear" w:color="auto" w:fill="CCEEFF"/>
              </w:rPr>
              <w:t>L.A. Fitness</w:t>
            </w:r>
          </w:p>
        </w:tc>
        <w:tc>
          <w:tcPr>
            <w:tcW w:w="1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Flourtown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156,000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$21.57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2760" w:type="dxa"/>
            <w:vAlign w:val="bottom"/>
            <w:gridSpan w:val="11"/>
          </w:tcPr>
          <w:p>
            <w:pPr>
              <w:ind w:left="40"/>
              <w:spacing w:after="0"/>
              <w:rPr>
                <w:sz w:val="20"/>
                <w:szCs w:val="20"/>
                <w:color w:val="auto"/>
              </w:rPr>
            </w:pPr>
            <w:r>
              <w:rPr>
                <w:rFonts w:ascii="Arial" w:cs="Arial" w:eastAsia="Arial" w:hAnsi="Arial"/>
                <w:sz w:val="14"/>
                <w:szCs w:val="14"/>
                <w:color w:val="auto"/>
              </w:rPr>
              <w:t>Flourtown, PA 19031</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Movie Tavern</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Lancaster</w:t>
            </w:r>
          </w:p>
        </w:tc>
        <w:tc>
          <w:tcPr>
            <w:tcW w:w="1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1980</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127,000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$17.82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89"/>
                <w:shd w:val="clear" w:color="auto" w:fill="CCEEFF"/>
              </w:rPr>
              <w:t>Giant Food</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88"/>
                <w:shd w:val="clear" w:color="auto" w:fill="CCEEFF"/>
              </w:rPr>
              <w:t>Lancaster,</w:t>
            </w:r>
          </w:p>
        </w:tc>
        <w:tc>
          <w:tcPr>
            <w:tcW w:w="2000" w:type="dxa"/>
            <w:vAlign w:val="bottom"/>
            <w:tcBorders>
              <w:bottom w:val="single" w:sz="8" w:color="CCEEFF"/>
            </w:tcBorders>
            <w:gridSpan w:val="7"/>
            <w:shd w:val="clear" w:color="auto" w:fill="CCEEFF"/>
          </w:tcPr>
          <w:p>
            <w:pPr>
              <w:jc w:val="right"/>
              <w:ind w:right="1080"/>
              <w:spacing w:after="0"/>
              <w:rPr>
                <w:sz w:val="20"/>
                <w:szCs w:val="20"/>
                <w:color w:val="auto"/>
              </w:rPr>
            </w:pPr>
            <w:r>
              <w:rPr>
                <w:rFonts w:ascii="Arial" w:cs="Arial" w:eastAsia="Arial" w:hAnsi="Arial"/>
                <w:sz w:val="14"/>
                <w:szCs w:val="14"/>
                <w:color w:val="auto"/>
                <w:w w:val="93"/>
                <w:shd w:val="clear" w:color="auto" w:fill="CCEEFF"/>
              </w:rPr>
              <w:t>PA 17601(4)(7)</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Michaels</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Langhorne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219,000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$16.79</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8"/>
        </w:trPr>
        <w:tc>
          <w:tcPr>
            <w:tcW w:w="2760" w:type="dxa"/>
            <w:vAlign w:val="bottom"/>
            <w:gridSpan w:val="11"/>
          </w:tcPr>
          <w:p>
            <w:pPr>
              <w:ind w:left="40"/>
              <w:spacing w:after="0"/>
              <w:rPr>
                <w:sz w:val="20"/>
                <w:szCs w:val="20"/>
                <w:color w:val="auto"/>
              </w:rPr>
            </w:pPr>
            <w:r>
              <w:rPr>
                <w:rFonts w:ascii="Arial" w:cs="Arial" w:eastAsia="Arial" w:hAnsi="Arial"/>
                <w:sz w:val="14"/>
                <w:szCs w:val="14"/>
                <w:color w:val="auto"/>
              </w:rPr>
              <w:t>Levittown, PA 19056</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Redner's Warehouse Market</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6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89"/>
                <w:shd w:val="clear" w:color="auto" w:fill="CCEEFF"/>
              </w:rPr>
              <w:t>Lawrence Park</w:t>
            </w:r>
          </w:p>
        </w:tc>
        <w:tc>
          <w:tcPr>
            <w:tcW w:w="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1980</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364,000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$20.58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4"/>
                <w:szCs w:val="14"/>
                <w:color w:val="auto"/>
              </w:rPr>
            </w:pPr>
          </w:p>
        </w:tc>
        <w:tc>
          <w:tcPr>
            <w:tcW w:w="262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Acme Markets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6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Broomall, PA</w:t>
            </w:r>
          </w:p>
        </w:tc>
        <w:tc>
          <w:tcPr>
            <w:tcW w:w="1740" w:type="dxa"/>
            <w:vAlign w:val="bottom"/>
            <w:gridSpan w:val="3"/>
            <w:shd w:val="clear" w:color="auto" w:fill="CCEEFF"/>
          </w:tcPr>
          <w:p>
            <w:pPr>
              <w:jc w:val="right"/>
              <w:ind w:right="1420"/>
              <w:spacing w:after="0" w:line="149" w:lineRule="exact"/>
              <w:rPr>
                <w:sz w:val="20"/>
                <w:szCs w:val="20"/>
                <w:color w:val="auto"/>
              </w:rPr>
            </w:pPr>
            <w:r>
              <w:rPr>
                <w:rFonts w:ascii="Arial" w:cs="Arial" w:eastAsia="Arial" w:hAnsi="Arial"/>
                <w:sz w:val="14"/>
                <w:szCs w:val="14"/>
                <w:color w:val="auto"/>
                <w:w w:val="76"/>
                <w:shd w:val="clear" w:color="auto" w:fill="CCEEFF"/>
              </w:rPr>
              <w:t>19008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TJ Maxx</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89"/>
                <w:shd w:val="clear" w:color="auto" w:fill="CCEEFF"/>
              </w:rPr>
              <w:t>HomeGoods</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w w:val="99"/>
                <w:shd w:val="clear" w:color="auto" w:fill="CCEEFF"/>
              </w:rPr>
              <w:t>Brightwood</w:t>
            </w:r>
          </w:p>
        </w:tc>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Career Institute</w:t>
            </w: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Northeast</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1983</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288,000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$12.57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87%</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148"/>
        </w:trPr>
        <w:tc>
          <w:tcPr>
            <w:tcW w:w="2760" w:type="dxa"/>
            <w:vAlign w:val="bottom"/>
            <w:gridSpan w:val="11"/>
          </w:tcPr>
          <w:p>
            <w:pPr>
              <w:ind w:left="40"/>
              <w:spacing w:after="0" w:line="149" w:lineRule="exact"/>
              <w:rPr>
                <w:sz w:val="20"/>
                <w:szCs w:val="20"/>
                <w:color w:val="auto"/>
              </w:rPr>
            </w:pPr>
            <w:r>
              <w:rPr>
                <w:rFonts w:ascii="Arial" w:cs="Arial" w:eastAsia="Arial" w:hAnsi="Arial"/>
                <w:sz w:val="14"/>
                <w:szCs w:val="14"/>
                <w:color w:val="auto"/>
              </w:rPr>
              <w:t>Philadelphia, PA 19114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Home Gallery</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9"/>
            <w:shd w:val="clear" w:color="auto" w:fill="CCEEFF"/>
          </w:tcPr>
          <w:p>
            <w:pPr>
              <w:spacing w:after="0"/>
              <w:rPr>
                <w:sz w:val="20"/>
                <w:szCs w:val="20"/>
                <w:color w:val="auto"/>
              </w:rPr>
            </w:pPr>
            <w:r>
              <w:rPr>
                <w:rFonts w:ascii="Arial" w:cs="Arial" w:eastAsia="Arial" w:hAnsi="Arial"/>
                <w:sz w:val="14"/>
                <w:szCs w:val="14"/>
                <w:color w:val="auto"/>
                <w:shd w:val="clear" w:color="auto" w:fill="CCEEFF"/>
              </w:rPr>
              <w:t>Town Center of New Britain</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2006</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124,000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$9.86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89"/>
                <w:shd w:val="clear" w:color="auto" w:fill="CCEEFF"/>
              </w:rPr>
              <w:t>Giant Food</w:t>
            </w:r>
          </w:p>
        </w:tc>
        <w:tc>
          <w:tcPr>
            <w:tcW w:w="180" w:type="dxa"/>
            <w:vAlign w:val="bottom"/>
            <w:gridSpan w:val="2"/>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4"/>
                <w:szCs w:val="14"/>
                <w:color w:val="auto"/>
                <w:shd w:val="clear" w:color="auto" w:fill="CCEEFF"/>
              </w:rPr>
              <w:t>New Britain, PA 18901</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Rite Aid</w:t>
            </w: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Willow Grove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1953</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211,000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$19.09</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Home Goods</w:t>
            </w:r>
          </w:p>
        </w:tc>
        <w:tc>
          <w:tcPr>
            <w:tcW w:w="0" w:type="dxa"/>
            <w:vAlign w:val="bottom"/>
          </w:tcPr>
          <w:p>
            <w:pPr>
              <w:spacing w:after="0"/>
              <w:rPr>
                <w:sz w:val="1"/>
                <w:szCs w:val="1"/>
                <w:color w:val="auto"/>
              </w:rPr>
            </w:pPr>
          </w:p>
        </w:tc>
      </w:tr>
      <w:tr>
        <w:trPr>
          <w:trHeight w:val="148"/>
        </w:trPr>
        <w:tc>
          <w:tcPr>
            <w:tcW w:w="2760" w:type="dxa"/>
            <w:vAlign w:val="bottom"/>
            <w:gridSpan w:val="11"/>
          </w:tcPr>
          <w:p>
            <w:pPr>
              <w:ind w:left="40"/>
              <w:spacing w:after="0" w:line="149" w:lineRule="exact"/>
              <w:rPr>
                <w:sz w:val="20"/>
                <w:szCs w:val="20"/>
                <w:color w:val="auto"/>
              </w:rPr>
            </w:pPr>
            <w:r>
              <w:rPr>
                <w:rFonts w:ascii="Arial" w:cs="Arial" w:eastAsia="Arial" w:hAnsi="Arial"/>
                <w:sz w:val="14"/>
                <w:szCs w:val="14"/>
                <w:color w:val="auto"/>
              </w:rPr>
              <w:t>Willow Grove, PA 19090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72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Wynnewood</w:t>
            </w:r>
          </w:p>
        </w:tc>
        <w:tc>
          <w:tcPr>
            <w:tcW w:w="120" w:type="dxa"/>
            <w:vAlign w:val="bottom"/>
            <w:gridSpan w:val="2"/>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1948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1996</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251,000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$27.48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shd w:val="clear" w:color="auto" w:fill="CCEEFF"/>
              </w:rPr>
              <w:t>DSW</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72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86"/>
                <w:shd w:val="clear" w:color="auto" w:fill="CCEEFF"/>
              </w:rPr>
              <w:t>Wynnewood,</w:t>
            </w:r>
          </w:p>
        </w:tc>
        <w:tc>
          <w:tcPr>
            <w:tcW w:w="1880" w:type="dxa"/>
            <w:vAlign w:val="bottom"/>
            <w:gridSpan w:val="6"/>
            <w:shd w:val="clear" w:color="auto" w:fill="CCEEFF"/>
          </w:tcPr>
          <w:p>
            <w:pPr>
              <w:jc w:val="right"/>
              <w:ind w:right="1240"/>
              <w:spacing w:after="0"/>
              <w:rPr>
                <w:sz w:val="20"/>
                <w:szCs w:val="20"/>
                <w:color w:val="auto"/>
              </w:rPr>
            </w:pPr>
            <w:r>
              <w:rPr>
                <w:rFonts w:ascii="Arial" w:cs="Arial" w:eastAsia="Arial" w:hAnsi="Arial"/>
                <w:sz w:val="14"/>
                <w:szCs w:val="14"/>
                <w:color w:val="auto"/>
                <w:shd w:val="clear" w:color="auto" w:fill="CCEEFF"/>
              </w:rPr>
              <w:t>PA 19096</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Bed,</w:t>
            </w:r>
          </w:p>
        </w:tc>
        <w:tc>
          <w:tcPr>
            <w:tcW w:w="2260" w:type="dxa"/>
            <w:vAlign w:val="bottom"/>
            <w:gridSpan w:val="5"/>
            <w:shd w:val="clear" w:color="auto" w:fill="CCEEFF"/>
          </w:tcPr>
          <w:p>
            <w:pPr>
              <w:spacing w:after="0"/>
              <w:rPr>
                <w:sz w:val="20"/>
                <w:szCs w:val="20"/>
                <w:color w:val="auto"/>
              </w:rPr>
            </w:pPr>
            <w:r>
              <w:rPr>
                <w:rFonts w:ascii="Arial" w:cs="Arial" w:eastAsia="Arial" w:hAnsi="Arial"/>
                <w:sz w:val="14"/>
                <w:szCs w:val="14"/>
                <w:color w:val="auto"/>
                <w:shd w:val="clear" w:color="auto" w:fill="CCEEFF"/>
              </w:rPr>
              <w:t>Bath &amp; Beyond</w:t>
            </w:r>
          </w:p>
        </w:tc>
        <w:tc>
          <w:tcPr>
            <w:tcW w:w="0" w:type="dxa"/>
            <w:vAlign w:val="bottom"/>
          </w:tcPr>
          <w:p>
            <w:pPr>
              <w:spacing w:after="0"/>
              <w:rPr>
                <w:sz w:val="1"/>
                <w:szCs w:val="1"/>
                <w:color w:val="auto"/>
              </w:rPr>
            </w:pPr>
          </w:p>
        </w:tc>
      </w:tr>
      <w:tr>
        <w:trPr>
          <w:trHeight w:val="130"/>
        </w:trPr>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w w:val="89"/>
                <w:shd w:val="clear" w:color="auto" w:fill="CCEEFF"/>
              </w:rPr>
              <w:t>Giant Food</w:t>
            </w:r>
          </w:p>
        </w:tc>
        <w:tc>
          <w:tcPr>
            <w:tcW w:w="180" w:type="dxa"/>
            <w:vAlign w:val="bottom"/>
            <w:gridSpan w:val="2"/>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Old Navy</w:t>
            </w: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gridSpan w:val="11"/>
          </w:tcPr>
          <w:p>
            <w:pPr>
              <w:ind w:left="40"/>
              <w:spacing w:after="0"/>
              <w:rPr>
                <w:sz w:val="20"/>
                <w:szCs w:val="20"/>
                <w:color w:val="auto"/>
              </w:rPr>
            </w:pPr>
            <w:r>
              <w:rPr>
                <w:rFonts w:ascii="Arial" w:cs="Arial" w:eastAsia="Arial" w:hAnsi="Arial"/>
                <w:sz w:val="14"/>
                <w:szCs w:val="14"/>
                <w:b w:val="1"/>
                <w:bCs w:val="1"/>
                <w:color w:val="auto"/>
              </w:rPr>
              <w:t>Virginia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w w:val="87"/>
                <w:shd w:val="clear" w:color="auto" w:fill="CCEEFF"/>
              </w:rPr>
              <w:t>29th Place</w:t>
            </w:r>
          </w:p>
        </w:tc>
        <w:tc>
          <w:tcPr>
            <w:tcW w:w="240" w:type="dxa"/>
            <w:vAlign w:val="bottom"/>
            <w:gridSpan w:val="3"/>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720" w:type="dxa"/>
            <w:vAlign w:val="bottom"/>
            <w:gridSpan w:val="2"/>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1975-2001</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169,000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$17.80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3"/>
                <w:szCs w:val="13"/>
                <w:color w:val="auto"/>
              </w:rPr>
            </w:pPr>
          </w:p>
        </w:tc>
        <w:tc>
          <w:tcPr>
            <w:tcW w:w="76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w w:val="89"/>
                <w:shd w:val="clear" w:color="auto" w:fill="CCEEFF"/>
              </w:rPr>
              <w:t>HomeGoods</w:t>
            </w: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Charlottesville, VA 22091(8)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1"/>
                <w:shd w:val="clear" w:color="auto" w:fill="CCEEFF"/>
              </w:rPr>
              <w:t>DSW</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shd w:val="clear" w:color="auto" w:fill="CCEEFF"/>
              </w:rPr>
              <w:t>Stein</w:t>
            </w:r>
          </w:p>
        </w:tc>
        <w:tc>
          <w:tcPr>
            <w:tcW w:w="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Mart</w:t>
            </w:r>
          </w:p>
        </w:tc>
        <w:tc>
          <w:tcPr>
            <w:tcW w:w="180" w:type="dxa"/>
            <w:vAlign w:val="bottom"/>
            <w:gridSpan w:val="2"/>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81"/>
                <w:shd w:val="clear" w:color="auto" w:fill="CCEEFF"/>
              </w:rPr>
              <w:t>Staples</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Barcoft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1963, 1972,</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1"/>
              </w:rPr>
              <w:t>2006/2007/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115,000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$24.52</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90%</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88"/>
        </w:trPr>
        <w:tc>
          <w:tcPr>
            <w:tcW w:w="2760" w:type="dxa"/>
            <w:vAlign w:val="bottom"/>
            <w:gridSpan w:val="11"/>
          </w:tcPr>
          <w:p>
            <w:pPr>
              <w:ind w:left="40"/>
              <w:spacing w:after="0"/>
              <w:rPr>
                <w:sz w:val="20"/>
                <w:szCs w:val="20"/>
                <w:color w:val="auto"/>
              </w:rPr>
            </w:pPr>
            <w:r>
              <w:rPr>
                <w:rFonts w:ascii="Arial" w:cs="Arial" w:eastAsia="Arial" w:hAnsi="Arial"/>
                <w:sz w:val="14"/>
                <w:szCs w:val="14"/>
                <w:color w:val="auto"/>
              </w:rPr>
              <w:t>Falls Church, VA 22041(12)</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1990, &amp; 2000</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Bank of America</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40" w:type="dxa"/>
            <w:vAlign w:val="bottom"/>
            <w:gridSpan w:val="5"/>
            <w:shd w:val="clear" w:color="auto" w:fill="CCEEFF"/>
          </w:tcPr>
          <w:p>
            <w:pPr>
              <w:spacing w:after="0"/>
              <w:rPr>
                <w:sz w:val="20"/>
                <w:szCs w:val="20"/>
                <w:color w:val="auto"/>
              </w:rPr>
            </w:pPr>
            <w:r>
              <w:rPr>
                <w:rFonts w:ascii="Arial" w:cs="Arial" w:eastAsia="Arial" w:hAnsi="Arial"/>
                <w:sz w:val="14"/>
                <w:szCs w:val="14"/>
                <w:color w:val="auto"/>
                <w:w w:val="88"/>
                <w:shd w:val="clear" w:color="auto" w:fill="CCEEFF"/>
              </w:rPr>
              <w:t>Barracks Road</w:t>
            </w:r>
          </w:p>
        </w:tc>
        <w:tc>
          <w:tcPr>
            <w:tcW w:w="40" w:type="dxa"/>
            <w:vAlign w:val="bottom"/>
            <w:gridSpan w:val="2"/>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1985</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498,000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$26.36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8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w w:val="92"/>
                <w:shd w:val="clear" w:color="auto" w:fill="CCEEFF"/>
              </w:rPr>
              <w:t>Anthropologie</w:t>
            </w: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w w:val="89"/>
                <w:shd w:val="clear" w:color="auto" w:fill="CCEEFF"/>
              </w:rPr>
              <w:t>Charlottesville,</w:t>
            </w:r>
          </w:p>
        </w:tc>
        <w:tc>
          <w:tcPr>
            <w:tcW w:w="40" w:type="dxa"/>
            <w:vAlign w:val="bottom"/>
            <w:gridSpan w:val="2"/>
            <w:shd w:val="clear" w:color="auto" w:fill="CCEEFF"/>
          </w:tcPr>
          <w:p>
            <w:pPr>
              <w:spacing w:after="0"/>
              <w:rPr>
                <w:sz w:val="12"/>
                <w:szCs w:val="12"/>
                <w:color w:val="auto"/>
              </w:rPr>
            </w:pPr>
          </w:p>
        </w:tc>
        <w:tc>
          <w:tcPr>
            <w:tcW w:w="1720" w:type="dxa"/>
            <w:vAlign w:val="bottom"/>
            <w:gridSpan w:val="2"/>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w w:val="97"/>
                <w:shd w:val="clear" w:color="auto" w:fill="CCEEFF"/>
              </w:rPr>
              <w:t>VA 22905</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Bed, Bath &amp;</w:t>
            </w: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w w:val="97"/>
                <w:shd w:val="clear" w:color="auto" w:fill="CCEEFF"/>
              </w:rPr>
              <w:t>Harris Teeter</w:t>
            </w: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Kroger</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85"/>
                <w:shd w:val="clear" w:color="auto" w:fill="CCEEFF"/>
              </w:rPr>
              <w:t>Barnes</w:t>
            </w:r>
          </w:p>
        </w:tc>
        <w:tc>
          <w:tcPr>
            <w:tcW w:w="2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&amp; Noble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Old Navy</w:t>
            </w:r>
          </w:p>
        </w:tc>
        <w:tc>
          <w:tcPr>
            <w:tcW w:w="180" w:type="dxa"/>
            <w:vAlign w:val="bottom"/>
            <w:gridSpan w:val="2"/>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shd w:val="clear" w:color="auto" w:fill="CCEEFF"/>
              </w:rPr>
              <w:t>Michaels</w:t>
            </w:r>
          </w:p>
        </w:tc>
        <w:tc>
          <w:tcPr>
            <w:tcW w:w="180" w:type="dxa"/>
            <w:vAlign w:val="bottom"/>
            <w:gridSpan w:val="2"/>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Ulta</w:t>
            </w:r>
          </w:p>
        </w:tc>
        <w:tc>
          <w:tcPr>
            <w:tcW w:w="320" w:type="dxa"/>
            <w:vAlign w:val="bottom"/>
            <w:gridSpan w:val="2"/>
            <w:shd w:val="clear" w:color="auto" w:fill="CCEEFF"/>
          </w:tcPr>
          <w:p>
            <w:pPr>
              <w:spacing w:after="0"/>
              <w:rPr>
                <w:sz w:val="12"/>
                <w:szCs w:val="12"/>
                <w:color w:val="auto"/>
              </w:rPr>
            </w:pPr>
          </w:p>
        </w:tc>
        <w:tc>
          <w:tcPr>
            <w:tcW w:w="180" w:type="dxa"/>
            <w:vAlign w:val="bottom"/>
            <w:gridSpan w:val="2"/>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Nike</w:t>
            </w:r>
          </w:p>
        </w:tc>
        <w:tc>
          <w:tcPr>
            <w:tcW w:w="32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Falls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1960-1962</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1967/1972</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144,000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$34.88</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8"/>
        </w:trPr>
        <w:tc>
          <w:tcPr>
            <w:tcW w:w="2760" w:type="dxa"/>
            <w:vAlign w:val="bottom"/>
            <w:gridSpan w:val="11"/>
          </w:tcPr>
          <w:p>
            <w:pPr>
              <w:ind w:left="40"/>
              <w:spacing w:after="0" w:line="149" w:lineRule="exact"/>
              <w:rPr>
                <w:sz w:val="20"/>
                <w:szCs w:val="20"/>
                <w:color w:val="auto"/>
              </w:rPr>
            </w:pPr>
            <w:r>
              <w:rPr>
                <w:rFonts w:ascii="Arial" w:cs="Arial" w:eastAsia="Arial" w:hAnsi="Arial"/>
                <w:sz w:val="14"/>
                <w:szCs w:val="14"/>
                <w:color w:val="auto"/>
              </w:rPr>
              <w:t>Falls Church, VA 22046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9"/>
            <w:shd w:val="clear" w:color="auto" w:fill="CCEEFF"/>
          </w:tcPr>
          <w:p>
            <w:pPr>
              <w:spacing w:after="0"/>
              <w:rPr>
                <w:sz w:val="20"/>
                <w:szCs w:val="20"/>
                <w:color w:val="auto"/>
              </w:rPr>
            </w:pPr>
            <w:r>
              <w:rPr>
                <w:rFonts w:ascii="Arial" w:cs="Arial" w:eastAsia="Arial" w:hAnsi="Arial"/>
                <w:sz w:val="14"/>
                <w:szCs w:val="14"/>
                <w:color w:val="auto"/>
                <w:shd w:val="clear" w:color="auto" w:fill="CCEEFF"/>
              </w:rPr>
              <w:t>Graham Park Plaza</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1983</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260,000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$27.24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91%</w:t>
            </w: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7"/>
                <w:shd w:val="clear" w:color="auto" w:fill="CCEEFF"/>
              </w:rPr>
              <w:t>Stein Mart</w:t>
            </w:r>
          </w:p>
        </w:tc>
        <w:tc>
          <w:tcPr>
            <w:tcW w:w="180" w:type="dxa"/>
            <w:vAlign w:val="bottom"/>
            <w:gridSpan w:val="2"/>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Fairfax, VA 22042</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89"/>
                <w:shd w:val="clear" w:color="auto" w:fill="CCEEFF"/>
              </w:rPr>
              <w:t>Giant Food</w:t>
            </w:r>
          </w:p>
        </w:tc>
        <w:tc>
          <w:tcPr>
            <w:tcW w:w="180" w:type="dxa"/>
            <w:vAlign w:val="bottom"/>
            <w:gridSpan w:val="2"/>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w w:val="83"/>
                <w:shd w:val="clear" w:color="auto" w:fill="CCEEFF"/>
              </w:rPr>
              <w:t>L.A. Fitness</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11"/>
          </w:tcPr>
          <w:p>
            <w:pPr>
              <w:ind w:left="40"/>
              <w:spacing w:after="0" w:line="157" w:lineRule="exact"/>
              <w:rPr>
                <w:sz w:val="20"/>
                <w:szCs w:val="20"/>
                <w:color w:val="auto"/>
              </w:rPr>
            </w:pPr>
            <w:r>
              <w:rPr>
                <w:rFonts w:ascii="Arial" w:cs="Arial" w:eastAsia="Arial" w:hAnsi="Arial"/>
                <w:sz w:val="14"/>
                <w:szCs w:val="14"/>
                <w:color w:val="auto"/>
              </w:rPr>
              <w:t>Idylwood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1991</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73,000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$46.61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62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88"/>
        </w:trPr>
        <w:tc>
          <w:tcPr>
            <w:tcW w:w="2760" w:type="dxa"/>
            <w:vAlign w:val="bottom"/>
            <w:gridSpan w:val="11"/>
          </w:tcPr>
          <w:p>
            <w:pPr>
              <w:ind w:left="40"/>
              <w:spacing w:after="0"/>
              <w:rPr>
                <w:sz w:val="20"/>
                <w:szCs w:val="20"/>
                <w:color w:val="auto"/>
              </w:rPr>
            </w:pPr>
            <w:r>
              <w:rPr>
                <w:rFonts w:ascii="Arial" w:cs="Arial" w:eastAsia="Arial" w:hAnsi="Arial"/>
                <w:sz w:val="14"/>
                <w:szCs w:val="14"/>
                <w:color w:val="auto"/>
              </w:rPr>
              <w:t>Falls Church, VA 22030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80" w:type="dxa"/>
            <w:vAlign w:val="bottom"/>
            <w:gridSpan w:val="7"/>
            <w:shd w:val="clear" w:color="auto" w:fill="CCEEFF"/>
          </w:tcPr>
          <w:p>
            <w:pPr>
              <w:spacing w:after="0"/>
              <w:rPr>
                <w:sz w:val="20"/>
                <w:szCs w:val="20"/>
                <w:color w:val="auto"/>
              </w:rPr>
            </w:pPr>
            <w:r>
              <w:rPr>
                <w:rFonts w:ascii="Arial" w:cs="Arial" w:eastAsia="Arial" w:hAnsi="Arial"/>
                <w:sz w:val="14"/>
                <w:szCs w:val="14"/>
                <w:color w:val="auto"/>
                <w:w w:val="88"/>
                <w:shd w:val="clear" w:color="auto" w:fill="CCEEFF"/>
              </w:rPr>
              <w:t>Leesburg Plaza</w:t>
            </w:r>
          </w:p>
        </w:tc>
        <w:tc>
          <w:tcPr>
            <w:tcW w:w="1840" w:type="dxa"/>
            <w:vAlign w:val="bottom"/>
            <w:gridSpan w:val="3"/>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1998</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236,000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$23.09</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92%</w:t>
            </w: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89"/>
                <w:shd w:val="clear" w:color="auto" w:fill="CCEEFF"/>
              </w:rPr>
              <w:t>Giant Food</w:t>
            </w:r>
          </w:p>
        </w:tc>
        <w:tc>
          <w:tcPr>
            <w:tcW w:w="180" w:type="dxa"/>
            <w:vAlign w:val="bottom"/>
            <w:gridSpan w:val="2"/>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880" w:type="dxa"/>
            <w:vAlign w:val="bottom"/>
            <w:gridSpan w:val="7"/>
            <w:shd w:val="clear" w:color="auto" w:fill="CCEEFF"/>
          </w:tcPr>
          <w:p>
            <w:pPr>
              <w:spacing w:after="0"/>
              <w:rPr>
                <w:sz w:val="20"/>
                <w:szCs w:val="20"/>
                <w:color w:val="auto"/>
              </w:rPr>
            </w:pPr>
            <w:r>
              <w:rPr>
                <w:rFonts w:ascii="Arial" w:cs="Arial" w:eastAsia="Arial" w:hAnsi="Arial"/>
                <w:sz w:val="14"/>
                <w:szCs w:val="14"/>
                <w:color w:val="auto"/>
                <w:shd w:val="clear" w:color="auto" w:fill="CCEEFF"/>
              </w:rPr>
              <w:t>Leesburg, VA</w:t>
            </w:r>
          </w:p>
        </w:tc>
        <w:tc>
          <w:tcPr>
            <w:tcW w:w="1720" w:type="dxa"/>
            <w:vAlign w:val="bottom"/>
            <w:gridSpan w:val="2"/>
            <w:shd w:val="clear" w:color="auto" w:fill="CCEEFF"/>
          </w:tcPr>
          <w:p>
            <w:pPr>
              <w:jc w:val="right"/>
              <w:ind w:right="1420"/>
              <w:spacing w:after="0"/>
              <w:rPr>
                <w:sz w:val="20"/>
                <w:szCs w:val="20"/>
                <w:color w:val="auto"/>
              </w:rPr>
            </w:pPr>
            <w:r>
              <w:rPr>
                <w:rFonts w:ascii="Arial" w:cs="Arial" w:eastAsia="Arial" w:hAnsi="Arial"/>
                <w:sz w:val="14"/>
                <w:szCs w:val="14"/>
                <w:color w:val="auto"/>
                <w:w w:val="71"/>
                <w:shd w:val="clear" w:color="auto" w:fill="CCEEFF"/>
              </w:rPr>
              <w:t>20176</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w w:val="91"/>
                <w:shd w:val="clear" w:color="auto" w:fill="CCEEFF"/>
              </w:rPr>
              <w:t>Pier 1 Imports</w:t>
            </w: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5"/>
            <w:shd w:val="clear" w:color="auto" w:fill="CCEEFF"/>
          </w:tcPr>
          <w:p>
            <w:pPr>
              <w:ind w:left="40"/>
              <w:spacing w:after="0" w:line="130" w:lineRule="exact"/>
              <w:rPr>
                <w:sz w:val="20"/>
                <w:szCs w:val="20"/>
                <w:color w:val="auto"/>
              </w:rPr>
            </w:pPr>
            <w:r>
              <w:rPr>
                <w:rFonts w:ascii="Arial" w:cs="Arial" w:eastAsia="Arial" w:hAnsi="Arial"/>
                <w:sz w:val="14"/>
                <w:szCs w:val="14"/>
                <w:color w:val="auto"/>
                <w:shd w:val="clear" w:color="auto" w:fill="CCEEFF"/>
              </w:rPr>
              <w:t>Office Depot</w:t>
            </w: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Petsmart</w:t>
            </w:r>
          </w:p>
        </w:tc>
        <w:tc>
          <w:tcPr>
            <w:tcW w:w="180" w:type="dxa"/>
            <w:vAlign w:val="bottom"/>
            <w:gridSpan w:val="2"/>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Square Feet(1)</w:t>
            </w:r>
          </w:p>
        </w:tc>
        <w:tc>
          <w:tcPr>
            <w:tcW w:w="10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 Square</w:t>
            </w:r>
          </w:p>
        </w:tc>
        <w:tc>
          <w:tcPr>
            <w:tcW w:w="11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60" w:type="dxa"/>
            <w:vAlign w:val="bottom"/>
            <w:gridSpan w:val="4"/>
          </w:tcPr>
          <w:p>
            <w:pPr>
              <w:ind w:left="40"/>
              <w:spacing w:after="0" w:line="156" w:lineRule="exact"/>
              <w:rPr>
                <w:sz w:val="20"/>
                <w:szCs w:val="20"/>
                <w:color w:val="auto"/>
              </w:rPr>
            </w:pPr>
            <w:r>
              <w:rPr>
                <w:rFonts w:ascii="Arial" w:cs="Arial" w:eastAsia="Arial" w:hAnsi="Arial"/>
                <w:sz w:val="14"/>
                <w:szCs w:val="14"/>
                <w:color w:val="auto"/>
              </w:rPr>
              <w:t>Mount Vernon/South Valley/</w:t>
            </w: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91"/>
              </w:rPr>
              <w:t>1966,</w:t>
            </w:r>
          </w:p>
        </w:tc>
        <w:tc>
          <w:tcPr>
            <w:tcW w:w="12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90"/>
              </w:rPr>
              <w:t>2003/2006</w:t>
            </w:r>
          </w:p>
        </w:tc>
        <w:tc>
          <w:tcPr>
            <w:tcW w:w="120" w:type="dxa"/>
            <w:vAlign w:val="bottom"/>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Arial" w:cs="Arial" w:eastAsia="Arial" w:hAnsi="Arial"/>
                <w:sz w:val="14"/>
                <w:szCs w:val="14"/>
                <w:color w:val="auto"/>
                <w:w w:val="94"/>
              </w:rPr>
              <w:t>569,000</w:t>
            </w:r>
          </w:p>
        </w:tc>
        <w:tc>
          <w:tcPr>
            <w:tcW w:w="1240" w:type="dxa"/>
            <w:vAlign w:val="bottom"/>
            <w:gridSpan w:val="2"/>
          </w:tcPr>
          <w:p>
            <w:pPr>
              <w:jc w:val="center"/>
              <w:ind w:left="48"/>
              <w:spacing w:after="0" w:line="156" w:lineRule="exact"/>
              <w:rPr>
                <w:sz w:val="20"/>
                <w:szCs w:val="20"/>
                <w:color w:val="auto"/>
              </w:rPr>
            </w:pPr>
            <w:r>
              <w:rPr>
                <w:rFonts w:ascii="Arial" w:cs="Arial" w:eastAsia="Arial" w:hAnsi="Arial"/>
                <w:sz w:val="14"/>
                <w:szCs w:val="14"/>
                <w:color w:val="auto"/>
                <w:w w:val="93"/>
              </w:rPr>
              <w:t>$17.76</w:t>
            </w:r>
          </w:p>
        </w:tc>
        <w:tc>
          <w:tcPr>
            <w:tcW w:w="10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620" w:type="dxa"/>
            <w:vAlign w:val="bottom"/>
            <w:gridSpan w:val="4"/>
          </w:tcPr>
          <w:p>
            <w:pPr>
              <w:ind w:left="40"/>
              <w:spacing w:after="0" w:line="156"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48"/>
        </w:trPr>
        <w:tc>
          <w:tcPr>
            <w:tcW w:w="276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7770 Richmond Hwy</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0"/>
              </w:rPr>
              <w:t>1972,1987</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276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Alexandria, VA 22306(4)(6)</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9"/>
              </w:rPr>
              <w:t>&amp; 2001</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63"/>
        </w:trPr>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shd w:val="clear" w:color="auto" w:fill="CCEEFF"/>
              </w:rPr>
              <w:t>Old Keene Mill</w:t>
            </w: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1976</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$38.98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Whole Foods</w:t>
            </w:r>
          </w:p>
        </w:tc>
        <w:tc>
          <w:tcPr>
            <w:tcW w:w="0" w:type="dxa"/>
            <w:vAlign w:val="bottom"/>
          </w:tcPr>
          <w:p>
            <w:pPr>
              <w:spacing w:after="0"/>
              <w:rPr>
                <w:sz w:val="1"/>
                <w:szCs w:val="1"/>
                <w:color w:val="auto"/>
              </w:rPr>
            </w:pPr>
          </w:p>
        </w:tc>
      </w:tr>
      <w:tr>
        <w:trPr>
          <w:trHeight w:val="174"/>
        </w:trPr>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94"/>
                <w:shd w:val="clear" w:color="auto" w:fill="CCEEFF"/>
              </w:rPr>
              <w:t>Springfield, VA</w:t>
            </w:r>
          </w:p>
        </w:tc>
        <w:tc>
          <w:tcPr>
            <w:tcW w:w="1700" w:type="dxa"/>
            <w:vAlign w:val="bottom"/>
            <w:tcBorders>
              <w:bottom w:val="single" w:sz="8" w:color="CCEEFF"/>
            </w:tcBorders>
            <w:shd w:val="clear" w:color="auto" w:fill="CCEEFF"/>
          </w:tcPr>
          <w:p>
            <w:pPr>
              <w:jc w:val="right"/>
              <w:ind w:right="1228"/>
              <w:spacing w:after="0"/>
              <w:rPr>
                <w:sz w:val="20"/>
                <w:szCs w:val="20"/>
                <w:color w:val="auto"/>
              </w:rPr>
            </w:pPr>
            <w:r>
              <w:rPr>
                <w:rFonts w:ascii="Arial" w:cs="Arial" w:eastAsia="Arial" w:hAnsi="Arial"/>
                <w:sz w:val="14"/>
                <w:szCs w:val="14"/>
                <w:color w:val="auto"/>
                <w:w w:val="97"/>
                <w:shd w:val="clear" w:color="auto" w:fill="CCEEFF"/>
              </w:rPr>
              <w:t>22152</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86"/>
                <w:shd w:val="clear" w:color="auto" w:fill="CCEEFF"/>
              </w:rPr>
              <w:t>Walgreens</w:t>
            </w:r>
          </w:p>
        </w:tc>
        <w:tc>
          <w:tcPr>
            <w:tcW w:w="14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Pan Am</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227,000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$24.87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8"/>
        </w:trPr>
        <w:tc>
          <w:tcPr>
            <w:tcW w:w="276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Fairfax, VA 22031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shd w:val="clear" w:color="auto" w:fill="CCEEFF"/>
              </w:rPr>
              <w:t>Pentagon Row</w:t>
            </w:r>
          </w:p>
        </w:tc>
        <w:tc>
          <w:tcPr>
            <w:tcW w:w="17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2001-2002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1998/2010</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299,000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$39.25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83%</w:t>
            </w: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88"/>
                <w:shd w:val="clear" w:color="auto" w:fill="CCEEFF"/>
              </w:rPr>
              <w:t>Harris Teeter</w:t>
            </w: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Arlington, VA</w:t>
            </w:r>
          </w:p>
        </w:tc>
        <w:tc>
          <w:tcPr>
            <w:tcW w:w="1760" w:type="dxa"/>
            <w:vAlign w:val="bottom"/>
            <w:gridSpan w:val="2"/>
            <w:shd w:val="clear" w:color="auto" w:fill="CCEEFF"/>
          </w:tcPr>
          <w:p>
            <w:pPr>
              <w:jc w:val="right"/>
              <w:ind w:right="1328"/>
              <w:spacing w:after="0" w:line="149" w:lineRule="exact"/>
              <w:rPr>
                <w:sz w:val="20"/>
                <w:szCs w:val="20"/>
                <w:color w:val="auto"/>
              </w:rPr>
            </w:pPr>
            <w:r>
              <w:rPr>
                <w:rFonts w:ascii="Arial" w:cs="Arial" w:eastAsia="Arial" w:hAnsi="Arial"/>
                <w:sz w:val="14"/>
                <w:szCs w:val="14"/>
                <w:color w:val="auto"/>
                <w:w w:val="87"/>
                <w:shd w:val="clear" w:color="auto" w:fill="CCEEFF"/>
              </w:rPr>
              <w:t>22202</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6"/>
                <w:shd w:val="clear" w:color="auto" w:fill="CCEEFF"/>
              </w:rPr>
              <w:t>Bed, Bath &amp;</w:t>
            </w:r>
          </w:p>
        </w:tc>
        <w:tc>
          <w:tcPr>
            <w:tcW w:w="1840" w:type="dxa"/>
            <w:vAlign w:val="bottom"/>
            <w:shd w:val="clear" w:color="auto" w:fill="CCEEFF"/>
          </w:tcPr>
          <w:p>
            <w:pPr>
              <w:jc w:val="center"/>
              <w:ind w:right="1308"/>
              <w:spacing w:after="0" w:line="149" w:lineRule="exact"/>
              <w:rPr>
                <w:sz w:val="20"/>
                <w:szCs w:val="20"/>
                <w:color w:val="auto"/>
              </w:rPr>
            </w:pPr>
            <w:r>
              <w:rPr>
                <w:rFonts w:ascii="Arial" w:cs="Arial" w:eastAsia="Arial" w:hAnsi="Arial"/>
                <w:sz w:val="14"/>
                <w:szCs w:val="14"/>
                <w:color w:val="auto"/>
                <w:w w:val="96"/>
                <w:shd w:val="clear" w:color="auto" w:fill="CCEEFF"/>
              </w:rPr>
              <w:t>Beyond</w:t>
            </w:r>
          </w:p>
        </w:tc>
        <w:tc>
          <w:tcPr>
            <w:tcW w:w="0" w:type="dxa"/>
            <w:vAlign w:val="bottom"/>
          </w:tcPr>
          <w:p>
            <w:pPr>
              <w:spacing w:after="0"/>
              <w:rPr>
                <w:sz w:val="1"/>
                <w:szCs w:val="1"/>
                <w:color w:val="auto"/>
              </w:rPr>
            </w:pPr>
          </w:p>
        </w:tc>
      </w:tr>
      <w:tr>
        <w:trPr>
          <w:trHeight w:val="148"/>
        </w:trPr>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DSW</w:t>
            </w:r>
          </w:p>
        </w:tc>
        <w:tc>
          <w:tcPr>
            <w:tcW w:w="160" w:type="dxa"/>
            <w:vAlign w:val="bottom"/>
            <w:gridSpan w:val="2"/>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TJ Maxx</w:t>
            </w:r>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Pike 7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1997/2015</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164,000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$45.06</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8"/>
        </w:trPr>
        <w:tc>
          <w:tcPr>
            <w:tcW w:w="276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Vienna, VA 22180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63"/>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Tower Shopping Center</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1998</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112,000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$24.87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Talbots</w:t>
            </w:r>
          </w:p>
        </w:tc>
        <w:tc>
          <w:tcPr>
            <w:tcW w:w="160" w:type="dxa"/>
            <w:vAlign w:val="bottom"/>
            <w:gridSpan w:val="2"/>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Springfield, VA 22150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shd w:val="clear" w:color="auto" w:fill="CCEEFF"/>
              </w:rPr>
              <w:t>L.A. Mart</w:t>
            </w:r>
          </w:p>
        </w:tc>
        <w:tc>
          <w:tcPr>
            <w:tcW w:w="160" w:type="dxa"/>
            <w:vAlign w:val="bottom"/>
            <w:gridSpan w:val="2"/>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83"/>
                <w:shd w:val="clear" w:color="auto" w:fill="CCEEFF"/>
              </w:rPr>
              <w:t>Total Wine</w:t>
            </w:r>
          </w:p>
        </w:tc>
        <w:tc>
          <w:tcPr>
            <w:tcW w:w="20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shd w:val="clear" w:color="auto" w:fill="CCEEFF"/>
              </w:rPr>
              <w:t>&amp; More</w:t>
            </w:r>
          </w:p>
        </w:tc>
        <w:tc>
          <w:tcPr>
            <w:tcW w:w="0" w:type="dxa"/>
            <w:vAlign w:val="bottom"/>
          </w:tcPr>
          <w:p>
            <w:pPr>
              <w:spacing w:after="0"/>
              <w:rPr>
                <w:sz w:val="1"/>
                <w:szCs w:val="1"/>
                <w:color w:val="auto"/>
              </w:rPr>
            </w:pPr>
          </w:p>
        </w:tc>
      </w:tr>
      <w:tr>
        <w:trPr>
          <w:trHeight w:val="157"/>
        </w:trPr>
        <w:tc>
          <w:tcPr>
            <w:tcW w:w="276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Tyson's Station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1978</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49,000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$44.63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88"/>
        </w:trPr>
        <w:tc>
          <w:tcPr>
            <w:tcW w:w="2760" w:type="dxa"/>
            <w:vAlign w:val="bottom"/>
            <w:gridSpan w:val="4"/>
          </w:tcPr>
          <w:p>
            <w:pPr>
              <w:ind w:left="40"/>
              <w:spacing w:after="0"/>
              <w:rPr>
                <w:sz w:val="20"/>
                <w:szCs w:val="20"/>
                <w:color w:val="auto"/>
              </w:rPr>
            </w:pPr>
            <w:r>
              <w:rPr>
                <w:rFonts w:ascii="Arial" w:cs="Arial" w:eastAsia="Arial" w:hAnsi="Arial"/>
                <w:sz w:val="14"/>
                <w:szCs w:val="14"/>
                <w:color w:val="auto"/>
              </w:rPr>
              <w:t>Falls Church, VA 22043</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Village at Shirlington</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1940,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266,000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$37.59</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5"/>
                <w:shd w:val="clear" w:color="auto" w:fill="CCEEFF"/>
              </w:rPr>
              <w:t>AMC Loews</w:t>
            </w: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Arlington, VA 22206(4)(7)</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2006-2009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83"/>
                <w:shd w:val="clear" w:color="auto" w:fill="CCEEFF"/>
              </w:rPr>
              <w:t>Carlyle Grand</w:t>
            </w:r>
          </w:p>
        </w:tc>
        <w:tc>
          <w:tcPr>
            <w:tcW w:w="1840" w:type="dxa"/>
            <w:vAlign w:val="bottom"/>
            <w:shd w:val="clear" w:color="auto" w:fill="CCEEFF"/>
          </w:tcPr>
          <w:p>
            <w:pPr>
              <w:jc w:val="center"/>
              <w:ind w:right="1308"/>
              <w:spacing w:after="0"/>
              <w:rPr>
                <w:sz w:val="20"/>
                <w:szCs w:val="20"/>
                <w:color w:val="auto"/>
              </w:rPr>
            </w:pPr>
            <w:r>
              <w:rPr>
                <w:rFonts w:ascii="Arial" w:cs="Arial" w:eastAsia="Arial" w:hAnsi="Arial"/>
                <w:sz w:val="14"/>
                <w:szCs w:val="14"/>
                <w:color w:val="auto"/>
                <w:w w:val="87"/>
                <w:shd w:val="clear" w:color="auto" w:fill="CCEEFF"/>
              </w:rPr>
              <w:t>Café</w:t>
            </w:r>
          </w:p>
        </w:tc>
        <w:tc>
          <w:tcPr>
            <w:tcW w:w="0" w:type="dxa"/>
            <w:vAlign w:val="bottom"/>
          </w:tcPr>
          <w:p>
            <w:pPr>
              <w:spacing w:after="0"/>
              <w:rPr>
                <w:sz w:val="1"/>
                <w:szCs w:val="1"/>
                <w:color w:val="auto"/>
              </w:rPr>
            </w:pPr>
          </w:p>
        </w:tc>
      </w:tr>
      <w:tr>
        <w:trPr>
          <w:trHeight w:val="155"/>
        </w:trPr>
        <w:tc>
          <w:tcPr>
            <w:tcW w:w="8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88"/>
                <w:shd w:val="clear" w:color="auto" w:fill="CCEEFF"/>
              </w:rPr>
              <w:t>Harris Teeter</w:t>
            </w:r>
          </w:p>
        </w:tc>
        <w:tc>
          <w:tcPr>
            <w:tcW w:w="1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6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Willow Lawn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1983</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462,000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$18.64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92%</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8"/>
        </w:trPr>
        <w:tc>
          <w:tcPr>
            <w:tcW w:w="276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Richmond, VA 23230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88"/>
        </w:trPr>
        <w:tc>
          <w:tcPr>
            <w:tcW w:w="8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76"/>
        </w:trPr>
        <w:tc>
          <w:tcPr>
            <w:tcW w:w="276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Total All Regions—Retail(9)</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22,630,000</w:t>
            </w:r>
          </w:p>
        </w:tc>
        <w:tc>
          <w:tcPr>
            <w:tcW w:w="1240" w:type="dxa"/>
            <w:vAlign w:val="bottom"/>
            <w:gridSpan w:val="2"/>
            <w:vMerge w:val="restart"/>
            <w:shd w:val="clear" w:color="auto" w:fill="CCEEFF"/>
          </w:tcPr>
          <w:p>
            <w:pPr>
              <w:jc w:val="center"/>
              <w:ind w:left="48"/>
              <w:spacing w:after="0"/>
              <w:rPr>
                <w:sz w:val="20"/>
                <w:szCs w:val="20"/>
                <w:color w:val="auto"/>
              </w:rPr>
            </w:pPr>
            <w:r>
              <w:rPr>
                <w:rFonts w:ascii="Arial" w:cs="Arial" w:eastAsia="Arial" w:hAnsi="Arial"/>
                <w:sz w:val="14"/>
                <w:szCs w:val="14"/>
                <w:b w:val="1"/>
                <w:bCs w:val="1"/>
                <w:color w:val="auto"/>
                <w:w w:val="93"/>
              </w:rPr>
              <w:t>$26.91</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94%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8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60" w:type="dxa"/>
            <w:vAlign w:val="bottom"/>
            <w:gridSpan w:val="4"/>
          </w:tcPr>
          <w:p>
            <w:pPr>
              <w:ind w:left="40"/>
              <w:spacing w:after="0"/>
              <w:rPr>
                <w:sz w:val="20"/>
                <w:szCs w:val="20"/>
                <w:color w:val="auto"/>
              </w:rPr>
            </w:pPr>
            <w:r>
              <w:rPr>
                <w:rFonts w:ascii="Arial" w:cs="Arial" w:eastAsia="Arial" w:hAnsi="Arial"/>
                <w:sz w:val="14"/>
                <w:szCs w:val="14"/>
                <w:b w:val="1"/>
                <w:bCs w:val="1"/>
                <w:color w:val="auto"/>
              </w:rPr>
              <w:t>Total All Regions—Residential</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1,867 units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96%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8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GLA of the commercial portion of the property. Some of our properties include office space which is included in this square footage.</w:t>
      </w:r>
    </w:p>
    <w:p>
      <w:pPr>
        <w:spacing w:after="0" w:line="12" w:lineRule="exact"/>
        <w:rPr>
          <w:rFonts w:ascii="Arial" w:cs="Arial" w:eastAsia="Arial" w:hAnsi="Arial"/>
          <w:sz w:val="14"/>
          <w:szCs w:val="14"/>
          <w:color w:val="auto"/>
        </w:rPr>
      </w:pPr>
    </w:p>
    <w:p>
      <w:pPr>
        <w:ind w:left="660" w:right="22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base rent is calculated as the aggregate, annualized in-place contractual (defined as cash basis excluding rent abatements) minimum rent for all occupied spaces divided by the aggregate GLA of all occupied spaces.</w:t>
      </w:r>
    </w:p>
    <w:p>
      <w:pPr>
        <w:ind w:left="660" w:right="44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Percentage leased is expressed as a percentage of rentable commercial square feet occupied or subject to a lease. Residential percentage leased is expressed as a percentage of units occupied or subject to a lease.</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All or a portion of this property is owned pursuant to a ground lease.</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own the controlling interest in this center.</w:t>
      </w:r>
    </w:p>
    <w:p>
      <w:pPr>
        <w:ind w:left="660" w:right="44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own all or a portion of this property in a “downREIT” partnership, of which a wholly owned subsidiary of the Trust is the sole general partner, with third party partners holding operating partnership units.</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All or a portion of this property is subject to a capital lease obligation.</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All or a portion of this property is encumbered by a mortgage loan.</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Aggregate information is calculated on a GLA weighted-average basis.</w:t>
      </w:r>
    </w:p>
    <w:p>
      <w:pPr>
        <w:ind w:left="660" w:hanging="328"/>
        <w:spacing w:after="0"/>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Item 7. Management's Discussion and Analysis of Financial Condition and Results of Operations.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property includes partial interests in eight buildings in addition to our initial acquisition. See further discussion in Note 3 to the Financial Statements.</w:t>
      </w:r>
    </w:p>
    <w:p>
      <w:pPr>
        <w:ind w:left="660" w:right="440" w:hanging="328"/>
        <w:spacing w:after="0" w:line="254"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January 13, 2016, we acquired the 70% controlling interest in these properties and now own the properties 100%. The year acquired reflects the year we first acquired an equity interest in the property.</w:t>
      </w: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November 2016, we were included as a defendant in a class action lawsuit related to predatory towing by a third party company we had retained to provide towing services at several of our properties in Montgomery County, Maryland. We were not named as a defendant in the litigation prior to the certification of the defendant class. In December 2015, the towing company defendant reached a settlement with the plaintiff class that resulted in a $22 million judgment being entered against them. After the judgment was entered, the Circuit Court for Montgomery County, Maryland certified a defendant class of approximately 600 property owners, including us. We believe this is the first time a Maryland court has certified a defendant class that has resulted in a complete denial of due process to the members of that class and together with the others, filed a Writ of Mandamus challenging the certification of the defendant class. The hearing of the Writ by the Court of Appeals is discretionary. Because of the specific facts and circumstances of our contractual relationship with the towing company, we do</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not believe we should have been included in the defendant class nor do we believe we should have any liability in this matter. We are currently pursuing all available legal remedies and intend to vigorously defend ourselves in the matter, including defenses based on the total lack of due process afforded to us to present our unique facts and circumstances. We believe our potential loss in this matter ranges from $0 to an undetermined share of the $22 million judgment. The judgment does not provide any guidance for how the judgment amount is to be shared amongst the defendant class.</w:t>
      </w:r>
    </w:p>
    <w:p>
      <w:pPr>
        <w:spacing w:after="0" w:line="32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6" w:right="29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b w:val="1"/>
          <w:bCs w:val="1"/>
          <w:color w:val="auto"/>
        </w:rPr>
        <w:t>ITEM 5. MARKET FOR OUR COMMON EQUITY AND RELATED SHAREHOLDER MATTERS AND ISSUER PURCHASES OF EQUITY SECURITIES</w:t>
      </w:r>
    </w:p>
    <w:p>
      <w:pPr>
        <w:spacing w:after="0" w:line="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Price Per Share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155"/>
              <w:spacing w:after="0" w:line="139" w:lineRule="exact"/>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65"/>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5"/>
                <w:szCs w:val="5"/>
                <w:color w:val="auto"/>
              </w:rPr>
            </w:pPr>
          </w:p>
        </w:tc>
        <w:tc>
          <w:tcPr>
            <w:tcW w:w="8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9"/>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148.74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136.98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0.980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153.93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0.980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165.55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149.75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0.940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144.82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0.940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135.60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0.940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139.05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124.96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0.940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127.84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0.870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150.27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135.74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0.870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On February 8, 2017, there were 2,706 holders of record of our common shares.</w:t>
      </w:r>
    </w:p>
    <w:p>
      <w:pPr>
        <w:spacing w:after="0" w:line="1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49 consecutive years.</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total annual dividends paid per common share for 2016 and 2015 were $3.80 per share and $3.55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2017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income tax status of distributions per share paid to common shareholders:</w:t>
      </w:r>
    </w:p>
    <w:p>
      <w:pPr>
        <w:spacing w:after="0" w:line="351"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Year Ended</w:t>
      </w:r>
    </w:p>
    <w:p>
      <w:pPr>
        <w:spacing w:after="0" w:line="3"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5444490</wp:posOffset>
            </wp:positionH>
            <wp:positionV relativeFrom="paragraph">
              <wp:posOffset>13335</wp:posOffset>
            </wp:positionV>
            <wp:extent cx="1807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7210"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dividend</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3.800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3.515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Capital gain</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0.035</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8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3.800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3.550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Distributions on our 5.417% Series 1 Cumulative Convertible Preferred Shares were paid at the rate of $1.354 per share per annum commencing on the issuance date of March 8, 2007. We do not believe that the preferential rights available to the holders of our preferred shares or the financial covenants contained in our debt agreements had or will have an adverse effect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our ability to pay dividends in the normal course of business to our common shareholders or to distribute amounts necessary to maintain our qualification as a REIT.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 Return Performance</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2011, and ending December 31, 2016,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MKT, or the NASDAQ National Market. Stock performance for the past five years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27305</wp:posOffset>
            </wp:positionV>
            <wp:extent cx="5842000" cy="3991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00" cy="3991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Shares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2016, there were no redemptions of operating partnership units. All other equity securities sold by us during 2016 that were not registered have been previously reported in a Quarterly Report on Form 10-Q.</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2016, 18,537 restricted common shares were forfeited by former employees.</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6" w:right="25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94" w:lineRule="exact"/>
        <w:rPr>
          <w:sz w:val="20"/>
          <w:szCs w:val="20"/>
          <w:color w:val="auto"/>
        </w:rPr>
      </w:pPr>
    </w:p>
    <w:p>
      <w:pPr>
        <w:ind w:right="440"/>
        <w:spacing w:after="0" w:line="341" w:lineRule="auto"/>
        <w:rPr>
          <w:sz w:val="20"/>
          <w:szCs w:val="20"/>
          <w:color w:val="auto"/>
        </w:rPr>
      </w:pPr>
      <w:r>
        <w:rPr>
          <w:rFonts w:ascii="Arial" w:cs="Arial" w:eastAsia="Arial" w:hAnsi="Arial"/>
          <w:sz w:val="16"/>
          <w:szCs w:val="16"/>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3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20" w:type="dxa"/>
            <w:vAlign w:val="bottom"/>
            <w:gridSpan w:val="7"/>
          </w:tcPr>
          <w:p>
            <w:pPr>
              <w:jc w:val="center"/>
              <w:ind w:right="211"/>
              <w:spacing w:after="0"/>
              <w:rPr>
                <w:sz w:val="20"/>
                <w:szCs w:val="20"/>
                <w:color w:val="auto"/>
              </w:rPr>
            </w:pPr>
            <w:r>
              <w:rPr>
                <w:rFonts w:ascii="Arial" w:cs="Arial" w:eastAsia="Arial" w:hAnsi="Arial"/>
                <w:sz w:val="14"/>
                <w:szCs w:val="14"/>
                <w:b w:val="1"/>
                <w:bCs w:val="1"/>
                <w:color w:val="auto"/>
                <w:w w:val="91"/>
              </w:rPr>
              <w:t>(In thousands, except per share data and ratios)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Rental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786,583</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727,812</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666,322</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620,089</w:t>
            </w:r>
          </w:p>
        </w:tc>
        <w:tc>
          <w:tcPr>
            <w:tcW w:w="3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580,114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547,979</w:t>
            </w:r>
          </w:p>
        </w:tc>
        <w:tc>
          <w:tcPr>
            <w:tcW w:w="6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510,595</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474,167</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446,959</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426,721</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320,995</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300,154</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271,037</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254,161</w:t>
            </w:r>
          </w:p>
        </w:tc>
        <w:tc>
          <w:tcPr>
            <w:tcW w:w="3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253,862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226,425</w:t>
            </w:r>
          </w:p>
        </w:tc>
        <w:tc>
          <w:tcPr>
            <w:tcW w:w="6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190,094</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167,888</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137,811</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142,972</w:t>
            </w:r>
          </w:p>
        </w:tc>
        <w:tc>
          <w:tcPr>
            <w:tcW w:w="0" w:type="dxa"/>
            <w:vAlign w:val="bottom"/>
          </w:tcPr>
          <w:p>
            <w:pPr>
              <w:spacing w:after="0"/>
              <w:rPr>
                <w:sz w:val="1"/>
                <w:szCs w:val="1"/>
                <w:color w:val="auto"/>
              </w:rPr>
            </w:pPr>
          </w:p>
        </w:tc>
      </w:tr>
      <w:tr>
        <w:trPr>
          <w:trHeight w:val="228"/>
        </w:trPr>
        <w:tc>
          <w:tcPr>
            <w:tcW w:w="436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interests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32,458</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28,330</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4,401</w:t>
            </w:r>
          </w:p>
        </w:tc>
        <w:tc>
          <w:tcPr>
            <w:tcW w:w="3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28,855</w:t>
            </w:r>
          </w:p>
        </w:tc>
        <w:tc>
          <w:tcPr>
            <w:tcW w:w="3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11,860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258,883</w:t>
            </w:r>
          </w:p>
        </w:tc>
        <w:tc>
          <w:tcPr>
            <w:tcW w:w="6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218,424</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172,289</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167,608</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156,232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249,910</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210,219</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164,535</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162,681</w:t>
            </w:r>
          </w:p>
        </w:tc>
        <w:tc>
          <w:tcPr>
            <w:tcW w:w="3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151,925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249,369</w:t>
            </w:r>
          </w:p>
        </w:tc>
        <w:tc>
          <w:tcPr>
            <w:tcW w:w="6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209,678</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163,994</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162,140</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151,384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419,254</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359,835</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346,130</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314,498</w:t>
            </w:r>
          </w:p>
        </w:tc>
        <w:tc>
          <w:tcPr>
            <w:tcW w:w="3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296,633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(590,221)</w:t>
            </w:r>
          </w:p>
        </w:tc>
        <w:tc>
          <w:tcPr>
            <w:tcW w:w="6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(353,763)</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(396,150)</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(345,198)</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(273,558)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173,289</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(32,977)</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9,044</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82,639</w:t>
            </w:r>
          </w:p>
        </w:tc>
        <w:tc>
          <w:tcPr>
            <w:tcW w:w="3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(53,893)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on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274,402</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250,388</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224,190</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198,965</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182,813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w w:val="91"/>
              </w:rPr>
              <w:t>Weighted average number of common shares outstanding:</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70,877</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68,797</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67,322</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65,331</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63,881</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71,049</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68,981</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67,492</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65,483</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64,056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3.07</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2.63</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8"/>
        </w:trPr>
        <w:tc>
          <w:tcPr>
            <w:tcW w:w="4360" w:type="dxa"/>
            <w:vAlign w:val="bottom"/>
          </w:tcPr>
          <w:p>
            <w:pPr>
              <w:ind w:left="380"/>
              <w:spacing w:after="0"/>
              <w:rPr>
                <w:sz w:val="20"/>
                <w:szCs w:val="20"/>
                <w:color w:val="auto"/>
              </w:rPr>
            </w:pPr>
            <w:r>
              <w:rPr>
                <w:rFonts w:ascii="Arial" w:cs="Arial" w:eastAsia="Arial" w:hAnsi="Arial"/>
                <w:sz w:val="18"/>
                <w:szCs w:val="18"/>
                <w:color w:val="auto"/>
                <w:w w:val="97"/>
              </w:rPr>
              <w:t>Gain on sale of real estate and change in control of</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interests, net</w:t>
            </w:r>
          </w:p>
        </w:tc>
        <w:tc>
          <w:tcPr>
            <w:tcW w:w="2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0.44</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0.41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w:t>
            </w:r>
          </w:p>
        </w:tc>
        <w:tc>
          <w:tcPr>
            <w:tcW w:w="6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w:t>
            </w:r>
          </w:p>
        </w:tc>
        <w:tc>
          <w:tcPr>
            <w:tcW w:w="6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Gain on sale of real estate and change in control of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 net</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0.44</w:t>
            </w:r>
          </w:p>
        </w:tc>
        <w:tc>
          <w:tcPr>
            <w:tcW w:w="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0.41</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6"/>
        </w:trPr>
        <w:tc>
          <w:tcPr>
            <w:tcW w:w="436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3.50</w:t>
            </w:r>
          </w:p>
        </w:tc>
        <w:tc>
          <w:tcPr>
            <w:tcW w:w="3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3.03</w:t>
            </w:r>
          </w:p>
        </w:tc>
        <w:tc>
          <w:tcPr>
            <w:tcW w:w="3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67"/>
        </w:trPr>
        <w:tc>
          <w:tcPr>
            <w:tcW w:w="4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common share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w:t>
            </w:r>
          </w:p>
        </w:tc>
        <w:tc>
          <w:tcPr>
            <w:tcW w:w="6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to common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shareholders(2)</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406,359</w:t>
            </w:r>
          </w:p>
        </w:tc>
        <w:tc>
          <w:tcPr>
            <w:tcW w:w="6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352,857</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327,597</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289,938</w:t>
            </w: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277,237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EBITDA(3)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547,088</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504,696</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447,495</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446,555</w:t>
            </w:r>
          </w:p>
        </w:tc>
        <w:tc>
          <w:tcPr>
            <w:tcW w:w="3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410,918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EBITDA(3)</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514,630</w:t>
            </w:r>
          </w:p>
        </w:tc>
        <w:tc>
          <w:tcPr>
            <w:tcW w:w="6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476,366</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443,094</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417,700</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399,058</w:t>
            </w:r>
          </w:p>
        </w:tc>
        <w:tc>
          <w:tcPr>
            <w:tcW w:w="0" w:type="dxa"/>
            <w:vAlign w:val="bottom"/>
          </w:tcPr>
          <w:p>
            <w:pPr>
              <w:spacing w:after="0"/>
              <w:rPr>
                <w:sz w:val="1"/>
                <w:szCs w:val="1"/>
                <w:color w:val="auto"/>
              </w:rPr>
            </w:pPr>
          </w:p>
        </w:tc>
      </w:tr>
      <w:tr>
        <w:trPr>
          <w:trHeight w:val="228"/>
        </w:trPr>
        <w:tc>
          <w:tcPr>
            <w:tcW w:w="4360" w:type="dxa"/>
            <w:vAlign w:val="bottom"/>
          </w:tcPr>
          <w:p>
            <w:pPr>
              <w:ind w:left="40"/>
              <w:spacing w:after="0"/>
              <w:rPr>
                <w:sz w:val="20"/>
                <w:szCs w:val="20"/>
                <w:color w:val="auto"/>
              </w:rPr>
            </w:pPr>
            <w:r>
              <w:rPr>
                <w:rFonts w:ascii="Arial" w:cs="Arial" w:eastAsia="Arial" w:hAnsi="Arial"/>
                <w:sz w:val="18"/>
                <w:szCs w:val="18"/>
                <w:color w:val="auto"/>
                <w:w w:val="93"/>
              </w:rPr>
              <w:t>Ratio of EBITDA to combined fixed charges and preferred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share dividends(3)(4)</w:t>
            </w:r>
          </w:p>
        </w:tc>
        <w:tc>
          <w:tcPr>
            <w:tcW w:w="2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620" w:type="dxa"/>
            <w:vAlign w:val="bottom"/>
            <w:gridSpan w:val="2"/>
          </w:tcPr>
          <w:p>
            <w:pPr>
              <w:jc w:val="right"/>
              <w:ind w:right="410"/>
              <w:spacing w:after="0"/>
              <w:rPr>
                <w:sz w:val="20"/>
                <w:szCs w:val="20"/>
                <w:color w:val="auto"/>
              </w:rPr>
            </w:pPr>
            <w:r>
              <w:rPr>
                <w:rFonts w:ascii="Arial" w:cs="Arial" w:eastAsia="Arial" w:hAnsi="Arial"/>
                <w:sz w:val="18"/>
                <w:szCs w:val="18"/>
                <w:color w:val="auto"/>
              </w:rPr>
              <w:t>x</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580" w:type="dxa"/>
            <w:vAlign w:val="bottom"/>
            <w:gridSpan w:val="2"/>
          </w:tcPr>
          <w:p>
            <w:pPr>
              <w:jc w:val="right"/>
              <w:ind w:right="370"/>
              <w:spacing w:after="0"/>
              <w:rPr>
                <w:sz w:val="20"/>
                <w:szCs w:val="20"/>
                <w:color w:val="auto"/>
              </w:rPr>
            </w:pPr>
            <w:r>
              <w:rPr>
                <w:rFonts w:ascii="Arial" w:cs="Arial" w:eastAsia="Arial" w:hAnsi="Arial"/>
                <w:sz w:val="18"/>
                <w:szCs w:val="18"/>
                <w:color w:val="auto"/>
              </w:rPr>
              <w:t>x</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340" w:type="dxa"/>
            <w:vAlign w:val="bottom"/>
          </w:tcPr>
          <w:p>
            <w:pPr>
              <w:ind w:left="40"/>
              <w:spacing w:after="0"/>
              <w:rPr>
                <w:sz w:val="20"/>
                <w:szCs w:val="20"/>
                <w:color w:val="auto"/>
              </w:rPr>
            </w:pPr>
            <w:r>
              <w:rPr>
                <w:rFonts w:ascii="Arial" w:cs="Arial" w:eastAsia="Arial" w:hAnsi="Arial"/>
                <w:sz w:val="18"/>
                <w:szCs w:val="18"/>
                <w:color w:val="auto"/>
              </w:rPr>
              <w:t>x</w:t>
            </w: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320" w:type="dxa"/>
            <w:vAlign w:val="bottom"/>
          </w:tcPr>
          <w:p>
            <w:pPr>
              <w:ind w:left="4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Ratio of Adjusted EBITDA to combined fixed charges and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share dividends(3)(4)</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62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x</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5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x</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59"/>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2014</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(In thousands)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 estate, at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6,759,073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6,064,406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5,608,998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5,149,463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4,779,674</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5,423,279</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4,896,559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4,534,237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4,208,727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3,890,315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Mortgages payable and capital lease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542,707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552,704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633,955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659,329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831,022</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279,151</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341,961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288,339</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298,736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297,125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1,976,594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1,732,551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1,474,749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1,353,229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1,072,204</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shares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9,997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9,997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2,075,835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1,781,931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1,692,556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1,471,297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1,310,593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common shares outstanding</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71,996</w:t>
            </w: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69,493</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68,606</w:t>
            </w: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66,701</w:t>
            </w: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64,815</w:t>
            </w:r>
          </w:p>
        </w:tc>
      </w:tr>
      <w:tr>
        <w:trPr>
          <w:trHeight w:val="27"/>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1" w:lineRule="exact"/>
        <w:rPr>
          <w:sz w:val="20"/>
          <w:szCs w:val="20"/>
          <w:color w:val="auto"/>
        </w:rPr>
      </w:pPr>
    </w:p>
    <w:p>
      <w:pPr>
        <w:ind w:left="340" w:right="20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operating income to property operating income is as follows:</w:t>
      </w:r>
    </w:p>
    <w:p>
      <w:pPr>
        <w:spacing w:after="0" w:line="230"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r>
      <w:tr>
        <w:trPr>
          <w:trHeight w:val="250"/>
        </w:trPr>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320,995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300,154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271,037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254,161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253,862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33,399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35,645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32,316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31,970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31,158</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193,585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174,796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170,814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160,828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141,701</w:t>
            </w:r>
          </w:p>
        </w:tc>
      </w:tr>
      <w:tr>
        <w:trPr>
          <w:trHeight w:val="236"/>
        </w:trPr>
        <w:tc>
          <w:tcPr>
            <w:tcW w:w="44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547,979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510,595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474,167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446,959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426,721</w:t>
            </w:r>
          </w:p>
        </w:tc>
      </w:tr>
      <w:tr>
        <w:trPr>
          <w:trHeight w:val="27"/>
        </w:trPr>
        <w:tc>
          <w:tcPr>
            <w:tcW w:w="4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40" w:right="360" w:hanging="332"/>
        <w:spacing w:after="0" w:line="301"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Funds from operations ("FFO") is a supplemental non-GAAP financial measure of real estate companies’ operating performances. The National Association of Real Estate Investment Trusts (“NAREIT”) defines FFO as follows: net income, computed in accordance with GAAP, plus real estate related depreciation and amortization and excluding extraordinary items and gains on the sale of real estate. We compute FFO in accordance with the NAREIT definition, and we have historically reported our FFO available for common shareholders in addition to our net income.</w:t>
      </w:r>
    </w:p>
    <w:p>
      <w:pPr>
        <w:spacing w:after="0" w:line="21" w:lineRule="exact"/>
        <w:rPr>
          <w:rFonts w:ascii="Arial" w:cs="Arial" w:eastAsia="Arial" w:hAnsi="Arial"/>
          <w:sz w:val="16"/>
          <w:szCs w:val="16"/>
          <w:color w:val="auto"/>
        </w:rPr>
      </w:pPr>
    </w:p>
    <w:p>
      <w:pPr>
        <w:ind w:left="340" w:right="100"/>
        <w:spacing w:after="0" w:line="273" w:lineRule="auto"/>
        <w:rPr>
          <w:rFonts w:ascii="Arial" w:cs="Arial" w:eastAsia="Arial" w:hAnsi="Arial"/>
          <w:sz w:val="16"/>
          <w:szCs w:val="16"/>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2012</w:t>
            </w:r>
          </w:p>
        </w:tc>
      </w:tr>
      <w:tr>
        <w:trPr>
          <w:trHeight w:val="250"/>
        </w:trPr>
        <w:tc>
          <w:tcPr>
            <w:tcW w:w="4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156,232</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(4,307)</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Gain on sale of real estate and change in control of interests,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169,198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154,232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154,060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146,377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127,124</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10,935</w:t>
            </w:r>
          </w:p>
        </w:tc>
      </w:tr>
      <w:tr>
        <w:trPr>
          <w:trHeight w:val="236"/>
        </w:trPr>
        <w:tc>
          <w:tcPr>
            <w:tcW w:w="4840" w:type="dxa"/>
            <w:vAlign w:val="bottom"/>
          </w:tcPr>
          <w:p>
            <w:pPr>
              <w:ind w:left="20"/>
              <w:spacing w:after="0"/>
              <w:rPr>
                <w:sz w:val="20"/>
                <w:szCs w:val="20"/>
                <w:color w:val="auto"/>
              </w:rPr>
            </w:pPr>
            <w:r>
              <w:rPr>
                <w:rFonts w:ascii="Arial" w:cs="Arial" w:eastAsia="Arial" w:hAnsi="Arial"/>
                <w:sz w:val="18"/>
                <w:szCs w:val="18"/>
                <w:color w:val="auto"/>
              </w:rPr>
              <w:t>Funds from operations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404,850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351,147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326,585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290,897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278,124</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on preferred shares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36"/>
        </w:trPr>
        <w:tc>
          <w:tcPr>
            <w:tcW w:w="4840" w:type="dxa"/>
            <w:vAlign w:val="bottom"/>
          </w:tcPr>
          <w:p>
            <w:pPr>
              <w:ind w:left="20"/>
              <w:spacing w:after="0"/>
              <w:rPr>
                <w:sz w:val="20"/>
                <w:szCs w:val="20"/>
                <w:color w:val="auto"/>
              </w:rPr>
            </w:pPr>
            <w:r>
              <w:rPr>
                <w:rFonts w:ascii="Arial" w:cs="Arial" w:eastAsia="Arial" w:hAnsi="Arial"/>
                <w:sz w:val="18"/>
                <w:szCs w:val="18"/>
                <w:color w:val="auto"/>
              </w:rPr>
              <w:t>Funds from operations available for common shareholders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406,359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352,857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327,597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289,938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277,237</w:t>
            </w:r>
          </w:p>
        </w:tc>
      </w:tr>
      <w:tr>
        <w:trPr>
          <w:trHeight w:val="27"/>
        </w:trPr>
        <w:tc>
          <w:tcPr>
            <w:tcW w:w="4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340" w:right="40" w:hanging="332"/>
        <w:spacing w:after="0" w:line="256" w:lineRule="auto"/>
        <w:tabs>
          <w:tab w:leader="none" w:pos="2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 has stated that EBITDA is a non-GAAP measure as calculated in the table below. Adjusted EBITDA is a non-GAAP measure that means net income or loss plus net interest expense, income taxes, depreciation and amortization,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Adjusted EBITDA as presented may not be comparable to other similarly titled measures used by other REITs.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to EBITDA and adjusted EBITDA for the periods presented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r>
      <w:tr>
        <w:trPr>
          <w:trHeight w:val="250"/>
        </w:trPr>
        <w:tc>
          <w:tcPr>
            <w:tcW w:w="4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258,883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156,232</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193,585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174,796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170,814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161,099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142,039</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113,336</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Early extinguishment of debt</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36"/>
        </w:trPr>
        <w:tc>
          <w:tcPr>
            <w:tcW w:w="4380" w:type="dxa"/>
            <w:vAlign w:val="bottom"/>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547,088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504,696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447,495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446,555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410,918</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Gain on sale of real estate and change in control of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r>
      <w:tr>
        <w:trPr>
          <w:trHeight w:val="236"/>
        </w:trPr>
        <w:tc>
          <w:tcPr>
            <w:tcW w:w="43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514,630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476,366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443,094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417,700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399,058</w:t>
            </w:r>
          </w:p>
        </w:tc>
      </w:tr>
      <w:tr>
        <w:trPr>
          <w:trHeight w:val="27"/>
        </w:trPr>
        <w:tc>
          <w:tcPr>
            <w:tcW w:w="4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line="256" w:lineRule="auto"/>
        <w:tabs>
          <w:tab w:leader="none" w:pos="2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premiums and debt costs, costs related to the early extinguishment of debt, and the portion of rent expense representing an interest factor. Excluding the $19.1 million, $10.5 million, and $13.3 million early extinguishment of debt charge from fixed charges in 2015, 2014, and 2013, respectively, the ratio of EBITDA and adjusted EBITDA to combined fixed charges and preferred share dividends is 4.5x and 4.3x, respectively, for 2015, 3.9x and 3.8x, respectively, for 2014, and 3.7x and 3.4x, respectively for 2013.</w:t>
      </w:r>
    </w:p>
    <w:p>
      <w:pPr>
        <w:spacing w:after="0" w:line="214" w:lineRule="exact"/>
        <w:rPr>
          <w:sz w:val="20"/>
          <w:szCs w:val="20"/>
          <w:color w:val="auto"/>
        </w:rPr>
      </w:pPr>
    </w:p>
    <w:p>
      <w:pPr>
        <w:ind w:right="116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126" w:right="35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December 31, 2016, we owned or had a majority interest in community and neighborhood shopping centers and mixed-use properties which are operated as 96 predominantly retail real estate projects comprising approximately 22.6 million square feet. In total, the real estate projects were 94.4% leased and 93.3% occupied at December 31, 2016. We have paid quarterly dividends to our shareholders continuously since our founding in 1962 and have increased our dividends per common share for 49 consecutive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significant accounting policies are more fully described in Note 2 to the consolidated financial statements; however, the most critical accounting policies, which involve the use of estimates and assumptions as to future uncertainties and, therefore, may result in actual amounts that differ from estimates, are as follows: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Accounts Receivable</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Current accounts receivable from tenants primarily relate to contractual minimum rent and percentage rent as well as real estate tax and other cost reimbursements. Accounts receivable from straight-line rent is typically longer term in nature and relates to the cumulative amount by which straight-line rental income recorded to date exceeds cash rents billed to date under the contractual lease agreement.</w:t>
      </w:r>
    </w:p>
    <w:p>
      <w:pPr>
        <w:spacing w:after="0" w:line="1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make estimates of the collectability of our current accounts receivable and straight-line rents receivable which requires significant judgment by management. The collectability of receivables is affected by numerous factors including current economic conditions, bankruptcies, and the ability of the tenant to perform under the terms of their lease agreement. While we make estimates of potentially uncollectible amounts and provide an allowance for them through bad debt expense, actual collectability could differ from those estimates which could affect our net income. With respect to the allowance for current uncollectible tenant receivables, we assess the collectability of outstanding receivables by evaluating such factors as nature and age of the receivable, past history and current financial condition of the specific tenant including our assessment of the tenant’s ability to meet its contractual lease obligations, and the status of any pending disputes or lease negotiations with the tenant. At December 31, 2016 and 2015, our allowance for doubtful accounts was $11.9 million and $11.7 million, respectively. Historically, we have recognized bad debt expense between 0.3% and 1.3% of rental income and it was 0.3% in 2016. A change in the estimate of collectability of a receivable would result in a change to our allowance for doubtful accounts and correspondingly bad debt expense and net income. For example, in the event our estimates were not accurate and we were required to increase our allowance by 1% of rental income, our bad debt expense would have increased and our net income would have decreased by $7.9 million.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6" w:right="27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Due to the nature of the accounts receivable from straight-line rents, the collection period of these amounts typically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2016 and 2015, accounts receivable includes approximately $80.6 million and $72.7 million, respectively, related to straight-line rents. Correspondingly, these estimates of collectability have a direct impact on our net income.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 investments and depreciate them on a straight-line basis in accordance with GAAP and consistent with industry standards based on our best estimates of the assets’ physical and economic useful lives. We periodically review the estimated lives of our assets and implement changes, as necessary, to these estimates and, therefore, to our depreciation rates. These reviews may take into account such factors as the historical retirement and replacement of our assets, expected redevelopments, and general economic and real estate factors. Certain events, such as unforeseen competition or changes in customer shopping habits, could substantially alter our assumptions regarding our ability to realize the expected return on investment in the property and therefore reduce the economic life of the asset and affect the amount of depreciation expense to be charged against both the current and future revenues. These assessments have a direct impact on our net income. The longer the economic useful life, the lower the depreciation expense will be for that asset in a fiscal period, which in turn will increase our net income. Similarly, having a shorter economic useful life would increase the depreciation for a fiscal period and decrease our net income.</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Land, buildings and real estate under development are recorded at cost. We calculate depreciation using the straight-line method with useful lives ranging generally from 35 years to a maximum of 50 years on buildings and major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2 to 20 years.</w:t>
      </w:r>
    </w:p>
    <w:p>
      <w:pPr>
        <w:spacing w:after="0" w:line="13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Capitalized costs associated with leases are depreciated or amortized over the base term of the lease. Unamortized leasing costs are charged to expense if the applicable tenant vacates before the expiration of its lease. Undepreciated tenant work is written-off if the applicable tenant vacates and the tenant work is replaced or has no future value. Additionally, we make estimates as to the probability of certain development and redevelopment projects being completed. If we determine the redevelopment is no longer probable of completion, we immediately expense all capitalized costs which are not recoverable.</w:t>
      </w:r>
    </w:p>
    <w:p>
      <w:pPr>
        <w:spacing w:after="0" w:line="1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1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$420 million and $9 million, respectively, for 2016 and $232 million and $8 million, respectively, for 2015. We capitalized external and internal costs related to other property improvements of $61 million and $3 million, respectively, for 2016 and $42 million and $2 million, respectively, for 2015. We capitalized external and internal costs related to leasing activities of $13 million and $6 million, respectively, for 2016 and $17 million and $6 million, respectively, for 2015. The amount of capitalized internal costs for salaries and related benefits for development and redevelopment activities, other property improvements, and leasing activities were $8 million, $2 million, and $6 million, for 2016 and $7 million, $1 million, and $6 million for 2015. Total capitalized costs were $511 million and $307 million for 2016 and 2015, respectively.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6" w:right="25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Acquisitions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Upon acquisition of operating real estate properties, we estimate the fair value of assets and liabilities acquired including land, building, improvements, leasing costs, intangibles such as in-place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in-place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Impairment</w:t>
      </w:r>
    </w:p>
    <w:p>
      <w:pPr>
        <w:spacing w:after="0" w:line="9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10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Any difference between our estimate of a potential loss and the actual outcome would result in an increase or decrease to net income.</w:t>
      </w:r>
    </w:p>
    <w:p>
      <w:pPr>
        <w:spacing w:after="0" w:line="13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addition, we reserve for estimated losses, if any, associated with warranties given to a buyer at the time an asset is sold or other potential liabilities relating to that sale, taking any insurance policies into account. These warranties may extend up to ten years and the calculation of potential liability requires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changes to our estimated warranty losses would result in an increase or decrease in net income.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6"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projected to be incurred but not yet reported. Management considers a number of factors, including third-party actuarial analysis, previous experience in our portfolio, and future increases in costs of claims, when making these determinations. If our liability costs differ from these accruals, it will increase or decrease our net income.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Property Acquisitions and Disposition</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January 13, 2016, we acquired our partner's 70% interest in our joint venture arrangement (the "Partnership") with affiliates of a discretionary fund created and advised by Clarion Partners ("Clarion") for $153.7 million, which included the payment of $130 million of cash and the assumption of mortgage loans totaling $34.4 million. As a result of the transaction, we gained control of the six underlying properties, and effective January 13, 2016, have consolidated the properties. We also recognized a gain on acquisition of the controlling interest of $25.7 million related to the difference between the carrying value and fair value of the previously held equity interest. Approximately $7.3 million and $4.9 million of net assets acquired were allocated to other assets for "above market leases," and other liabilities for "below market leases," respectively. We incurred $0.2 million of acquisition costs, of which $0.1 million were incurred in 2016, and included in "general and administrative expenses" on the consolidated statements of comprehensive income in 2016 and 2015.</w:t>
      </w:r>
    </w:p>
    <w:p>
      <w:pPr>
        <w:spacing w:after="0" w:line="3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On May 12, 2016, an unconsolidated joint venture that we hold an interest in sold a building in Coconut Grove, Florida. Our share of the gain, net of noncontrolling interests, was $0.5 million.</w:t>
      </w:r>
    </w:p>
    <w:p>
      <w:pPr>
        <w:spacing w:after="0" w:line="3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July 26, 2016, we acquired an additional building in the Coconut Grove neighborhood of Miami, Florida for $5.9 million through our CocoWalk LLC entity. We incurred $0.2 million in acquisition costs which are included in "general and administrative expenses" in 2016.</w:t>
      </w:r>
    </w:p>
    <w:p>
      <w:pPr>
        <w:spacing w:after="0" w:line="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November 7, 2016, we acquired a building adjacent to our Barcroft Plaza property for $5.3 million, and incurred $0.1 million of acquisition costs which are included in "general and administrative expenses" in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 - 2017 Property Acquisition</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February 1, 2017, we acquired a leasehold interest in Hastings Ranch Plaza, a 274,000 square foot shopping center in Pasadena, California for $29.5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Significant Debt and Equity Transactions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January 13, 2016, in connection with the acquisition of our partner's 70% interest in our unconsolidated real estate partnership, we assumed interest only mortgage loans with a face amount of $34.4 million and a fair value of $34.7 million. These mortgage loans had a weighted average interest rate of 5.95% and were repaid at par on April 1, 2016.</w:t>
      </w:r>
    </w:p>
    <w:p>
      <w:pPr>
        <w:spacing w:after="0" w:line="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7, 2016, we issued 1.0 million common shares at $149.43 per share, in an underwritten public offering, for cash proceeds of $149.3 million, net of expenses.</w:t>
      </w:r>
    </w:p>
    <w:p>
      <w:pPr>
        <w:spacing w:after="0" w:line="3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April 20, 2016, we upsized our $600.0 million revolving credit facility to $800.0 million and extended the maturity date to April 20, 2020, subject to two six-month extensions at our option. Under the amended credit facility, the spread over LIBOR is 82.5 basis points based on our current credit rating. In addition, we have an option (subject to bank approval) to increase the credit facility through an accordion feature to $1.5 billion.</w:t>
      </w:r>
    </w:p>
    <w:p>
      <w:pPr>
        <w:spacing w:after="0" w:line="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July 12, 2016, we issued $250.0 million of fixed rate senior unsecured notes that mature on August 1, 2046 and bear interest at 3.625%. The notes were offered at 97.756% of the principal amount with a yield to maturity of 3.75%. The net proceeds from this note offering after issuance discounts, underwriting fees, and other costs were $241.8 million.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2016 we repaid the $9.4 million Escondido municipal bonds at par.</w:t>
      </w:r>
    </w:p>
    <w:p>
      <w:pPr>
        <w:spacing w:after="0" w:line="9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November 4, 2016 we replaced our existing at the market (“ATM”) equity program with a new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months ended December 31, 2016, we issued 206,400 common shares under our ATM equity program at a weighted average price per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6" w:right="2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share of $141.16 for net cash proceeds of $28.7 million and paid $0.3 million in commissions and $0.1 million in additional offering expenses related to the sales of these common shares. For the year ended December 31, 2016, we issued 1,156,571 common shares under our ATM equity program at a weighted average price per share of $152.92 for net cash proceeds of $174.8 million and paid $1.8 million in commissions and $0.2 million in additional offering expenses related to the sales of these common shares. As of December 31, 2016, we had the capacity to issue up to $370.9 million in common shares under our ATM equity program.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2"/>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continued to see strong levels of interest from prospective tenants for our retail spaces; however, the time it takes to complete new lease deals is longer, as tenants have become more selective and more deliberate in their decision-making process. We have also experienced extended periods of time for some government agencies to process permits and inspections further delaying rent commencement on newly leased spaces. Additionally, we have seen an overall decrease in number of tenants available to fill anchor spaces. We believe the locations of our centers and diverse tenant base partially mitigates any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December 31, 2016, no single tenant accounted for more than 3.1% of annualized base rent.</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We currently have redevelopment projects underway with a projected cost of approximately $188 million that we expect to stabilize in the next several years.</w:t>
      </w:r>
    </w:p>
    <w:p>
      <w:pPr>
        <w:spacing w:after="0" w:line="13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continue our ongoing redevelopment efforts at Santana Row. In 2016, we completed and opened our $113 million six story building with 234,500 square feet of office space and 670 parking spaces that was pre-leased to Splunk Inc. We are also proceeding with an eight story 284,000 square foot office building which will include 29,000 square feet of retail space and 1,300 parking spaces. The building is expected to cost between $205 and $215 million and to deliver in 2019. After current phases, we have approximately 4 acres remaining for further redevelopment and entitlements in place for an additional 395 residential units and 321,000 square feet of commercial space. Additionally, we control 12 acres of land adjacent to Santana Row.</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continue to invest in the development at Assembly Row which is a long-term multi-phased mixed-use development project we expect to be involved in over the coming years. The carrying value of the development portion of this project at December 31, 2016 is approximately $541 million. The project currently has zoning entitlements to build 3.4 million square feet of commercial-use buildings, 1,840 residential units, and a 170 room hotel. The first phase consists of approximately 331,000 square feet of retail space and 98,000 square feet of office space (both owned by the Trust) and 445 residential units owned by AvalonBay Communities (AvalonBay Communities has exercised their purchase option for the land related to the residential buildings, which is expected to close in 2017). The Massachusetts Bay Transit Authority (MBTA) constructed the new orange line T-Stop at the property, which opened in September 2014. The retail and office space in Phase I are fully delivered and are 100% leased. Total costs for Phase I of Assembly Row are $196 million.</w:t>
      </w:r>
    </w:p>
    <w:p>
      <w:pPr>
        <w:spacing w:after="0" w:line="1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also proceeding with development of Phase II of Assembly Row which will include 161,000 square feet of retail space, a 159 room boutique hotel and 447 residential units. The hotel will be owned and operated by a joint venture in which we are a partner. Total expected costs range from $270 million to $285 million and delivery is expected in 2017/2018. Phase II will also include 122 for-sale condominium units with an expected total cost of $70 million to $75 million. Additionally, as part of the second phase, we entered into a ground lease agreement with Partners HealthCare to bring 741,500 square feet of office space to Assembly Row. The ground lease agreement includes a purchase option, which was exercised and is expected to close in 2017. Partners HealthCare commenced construction on this new building in September 2014 and during the second quarter of 2016, started relocating its employees to Assembly Row.</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6" w:right="2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invested $153 million in Assembly Row in 2016 and expect to invest between $140 million and $165 million in Assembly Row in 2017, net of public funding.</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Pike &amp; Rose project in North Bethesda, MD, a long-term multi-phased mixed-use development project, currently has zoning entitlements to build 1.6 million square feet of commercial-use buildings and 1,605 residential units. Phase I of Pike &amp; Rose includes 493 residential units, 159,000 square feet of retail space and 80,000 square feet of office space. Phase I reached stabilized physical occupancy in the fourth quarter of 2016. Total costs for Phase I of Pike &amp; Rose range from $265 million to $270 million.</w:t>
      </w:r>
    </w:p>
    <w:p>
      <w:pPr>
        <w:spacing w:after="0" w:line="13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Additionally, we are proceeding with development of Phase II of Pike &amp; Rose. Phase II will include approximately 216,000 square feet of retail space, a 177 room select-service hotel and 272 residential units. Total expected costs range from $200 million to $207 million and delivery is expected in 2017/2018. The hotel will be owned and operated by a joint venture in which we are a partner. Phase II will also include 99 for-sale condominium units with an expected cost of $53 million to $58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invested $100 million in Pike &amp; Rose in 2016 and expect to invest between $105 million and $130 million in Pike &amp; Rose in 2017.</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w:t>
      </w:r>
    </w:p>
    <w:p>
      <w:pPr>
        <w:spacing w:after="0" w:line="12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December 31, 2016, the leasable square feet in our properties was 93.3% occupied and 94.4%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For the year ended December 31, 2016 and the comparison of 2016 and 2015, all or a portion of 76 properties were considered same-center and 17 properties were considered redevelopment or expansion. For the year ended December 31, 2016, three properties or portions of properties were moved from same-center to redevelopment and one property was moved from redevelopment to same-center, compared to the designations as of December 31, 2015. For the year ended December 31, 2015 and the comparison of 2015 and 2014, all or a portion of 77 properties were considered same-center and 14 properties were considered redevelopment or expansion. For the year ended December 31, 2015, three properties were moved from acquisition to same-center, three properties were moved from same-center to redevelopment, two properties were removed from same-center as they were sold during 2015, and one property was moved from redevelopment to same-center, compared to the designations as of December 31, 2014.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6" w:right="2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3"/>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786,583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727,812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58,771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11,015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11,810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801,591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744,012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57,579</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147,593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95,286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85,824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9,462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233,417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20,195</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36"/>
        </w:trPr>
        <w:tc>
          <w:tcPr>
            <w:tcW w:w="5860" w:type="dxa"/>
            <w:vAlign w:val="bottom"/>
          </w:tcPr>
          <w:p>
            <w:pPr>
              <w:ind w:left="40"/>
              <w:spacing w:after="0"/>
              <w:rPr>
                <w:sz w:val="20"/>
                <w:szCs w:val="20"/>
                <w:color w:val="auto"/>
              </w:rPr>
            </w:pPr>
            <w:r>
              <w:rPr>
                <w:rFonts w:ascii="Arial" w:cs="Arial" w:eastAsia="Arial" w:hAnsi="Arial"/>
                <w:sz w:val="18"/>
                <w:szCs w:val="18"/>
                <w:color w:val="auto"/>
              </w:rPr>
              <w:t xml:space="preserve">Property operating income </w:t>
            </w:r>
            <w:r>
              <w:rPr>
                <w:rFonts w:ascii="Arial" w:cs="Arial" w:eastAsia="Arial" w:hAnsi="Arial"/>
                <w:sz w:val="16"/>
                <w:szCs w:val="16"/>
                <w:color w:val="auto"/>
              </w:rPr>
              <w:t>(1)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547,979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510,595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37,384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(193,585)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(174,796)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(18,789)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320,995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20,841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19,072</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(94,570)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15,490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190,094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36,331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32,458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4,128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218,424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40,459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249,910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210,219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39,691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Property operating income is a non-GAAP financial measure. See Item 6. Selected Financial Data for further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Total property revenue increased $57.6 million, or 7.7%, to $801.6 million in 2016 compared to $744.0 million in 2015. The percentage occupied at our shopping centers decreased to 93.3% at December 31, 2016 compared to 93.5% at December 31, 2015. Changes in the components of property revenue are discussed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$58.8 million, or 8.1%, to $786.6 million in 2016 compared to $727.8 million in 2015 due primarily to the following:</w:t>
      </w:r>
    </w:p>
    <w:p>
      <w:pPr>
        <w:spacing w:after="0" w:line="8" w:lineRule="exact"/>
        <w:rPr>
          <w:sz w:val="20"/>
          <w:szCs w:val="20"/>
          <w:color w:val="auto"/>
        </w:rPr>
      </w:pPr>
    </w:p>
    <w:p>
      <w:pPr>
        <w:ind w:left="1700" w:hanging="802"/>
        <w:spacing w:after="0"/>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$16.9 million attributable to properties acquired in 2015 and 2016,</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increase of $15.3 million from the acquisition of the six previously unconsolidated Clarion joint venture properties in January 2016,</w:t>
      </w:r>
    </w:p>
    <w:p>
      <w:pPr>
        <w:spacing w:after="0" w:line="85" w:lineRule="exact"/>
        <w:rPr>
          <w:rFonts w:ascii="Arial" w:cs="Arial" w:eastAsia="Arial" w:hAnsi="Arial"/>
          <w:sz w:val="16"/>
          <w:szCs w:val="16"/>
          <w:color w:val="auto"/>
        </w:rPr>
      </w:pPr>
    </w:p>
    <w:p>
      <w:pPr>
        <w:ind w:left="1700" w:hanging="802"/>
        <w:spacing w:after="0"/>
        <w:tabs>
          <w:tab w:leader="none" w:pos="1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increase of $11.7 million from Assembly Row and Pike &amp; Rose as portions of both projects opened in 2015 and early 2016,</w:t>
      </w:r>
    </w:p>
    <w:p>
      <w:pPr>
        <w:spacing w:after="0" w:line="74" w:lineRule="exact"/>
        <w:rPr>
          <w:rFonts w:ascii="Arial" w:cs="Arial" w:eastAsia="Arial" w:hAnsi="Arial"/>
          <w:sz w:val="17"/>
          <w:szCs w:val="17"/>
          <w:color w:val="auto"/>
        </w:rPr>
      </w:pPr>
    </w:p>
    <w:p>
      <w:pPr>
        <w:ind w:left="1700" w:right="60" w:hanging="802"/>
        <w:spacing w:after="0" w:line="263" w:lineRule="auto"/>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$10.6 million at redevelopment properties due primarily to the lease-up of The Point at Plaza El Segundo, as well as six of our other retail redevelopments, and the opening of the new office building at Santana Row, partially offset by lower occupancy as we start redeveloping centers, and</w:t>
      </w:r>
    </w:p>
    <w:p>
      <w:pPr>
        <w:spacing w:after="0" w:line="20" w:lineRule="exact"/>
        <w:rPr>
          <w:rFonts w:ascii="Arial" w:cs="Arial" w:eastAsia="Arial" w:hAnsi="Arial"/>
          <w:sz w:val="18"/>
          <w:szCs w:val="18"/>
          <w:color w:val="auto"/>
        </w:rPr>
      </w:pPr>
    </w:p>
    <w:p>
      <w:pPr>
        <w:ind w:left="1700" w:right="300" w:hanging="802"/>
        <w:spacing w:after="0" w:line="263" w:lineRule="auto"/>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$9.5 million at same-center properties due primarily to higher rental rates of approximately $12.8 million, higher recoveries of $1.8 million primarily the net result of higher real estate tax expense offset by lower snow removal expense, partially offset by lower average occupancy of approximately $4.7 million,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280" w:hanging="802"/>
        <w:spacing w:after="0" w:line="277" w:lineRule="auto"/>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of $4.8 million due to the sale of our Houston Street and Courtyard Shops properties in April 2015 and November 2015, respectively.</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Property Income</w:t>
      </w:r>
    </w:p>
    <w:p>
      <w:pPr>
        <w:spacing w:after="0" w:line="63" w:lineRule="exact"/>
        <w:rPr>
          <w:sz w:val="20"/>
          <w:szCs w:val="20"/>
          <w:color w:val="auto"/>
        </w:rPr>
      </w:pPr>
    </w:p>
    <w:p>
      <w:pPr>
        <w:ind w:left="60" w:right="500"/>
        <w:spacing w:after="0" w:line="277" w:lineRule="auto"/>
        <w:rPr>
          <w:sz w:val="20"/>
          <w:szCs w:val="20"/>
          <w:color w:val="auto"/>
        </w:rPr>
      </w:pPr>
      <w:r>
        <w:rPr>
          <w:rFonts w:ascii="Arial" w:cs="Arial" w:eastAsia="Arial" w:hAnsi="Arial"/>
          <w:sz w:val="18"/>
          <w:szCs w:val="18"/>
          <w:color w:val="auto"/>
        </w:rPr>
        <w:t>Other property income decreased $0.8 million, or 6.7%, to $11.0 million in 2016 compared to $11.8 million in 2015. The decrease is primarily due to a decrease in fee income as we no longer earn fees on the former Clarion joint venture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property expenses increased $20.2 million, or 8.7%, to $253.6 million in 2016 compared to $233.4 million in 2015.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Rental expenses increased $10.7 million, or 7.3%, to $158.3 million in 2016 compared to $147.6 million in 2015. This increase is primarily due to the following:</w:t>
      </w:r>
    </w:p>
    <w:p>
      <w:pPr>
        <w:spacing w:after="0" w:line="8" w:lineRule="exact"/>
        <w:rPr>
          <w:sz w:val="20"/>
          <w:szCs w:val="20"/>
          <w:color w:val="auto"/>
        </w:rPr>
      </w:pPr>
    </w:p>
    <w:p>
      <w:pPr>
        <w:ind w:left="1700" w:hanging="802"/>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$6.1 million related to properties acquired in 2015 and 2016,</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increase of $3.2 million from the acquisition of the six previously unconsolidated Clarion joint venture properties in January 2016,</w:t>
      </w:r>
    </w:p>
    <w:p>
      <w:pPr>
        <w:spacing w:after="0" w:line="85" w:lineRule="exact"/>
        <w:rPr>
          <w:rFonts w:ascii="Arial" w:cs="Arial" w:eastAsia="Arial" w:hAnsi="Arial"/>
          <w:sz w:val="16"/>
          <w:szCs w:val="16"/>
          <w:color w:val="auto"/>
        </w:rPr>
      </w:pPr>
    </w:p>
    <w:p>
      <w:pPr>
        <w:ind w:left="1700" w:hanging="802"/>
        <w:spacing w:after="0"/>
        <w:tabs>
          <w:tab w:leader="none" w:pos="1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increase of $2.0 million related to Assembly Row and Pike &amp; Rose, as portions of both projects opened in 2015 and early 2016,</w:t>
      </w:r>
    </w:p>
    <w:p>
      <w:pPr>
        <w:spacing w:after="0" w:line="85" w:lineRule="exact"/>
        <w:rPr>
          <w:rFonts w:ascii="Arial" w:cs="Arial" w:eastAsia="Arial" w:hAnsi="Arial"/>
          <w:sz w:val="16"/>
          <w:szCs w:val="16"/>
          <w:color w:val="auto"/>
        </w:rPr>
      </w:pPr>
    </w:p>
    <w:p>
      <w:pPr>
        <w:ind w:left="1700" w:hanging="802"/>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$2.0 million at redevelopment properties,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160" w:hanging="802"/>
        <w:spacing w:after="0" w:line="277" w:lineRule="auto"/>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of $1.9 million in repairs and maintenance expenses at same-center properties primarily due to lower snow removal costs, and</w:t>
      </w:r>
    </w:p>
    <w:p>
      <w:pPr>
        <w:spacing w:after="0" w:line="7" w:lineRule="exact"/>
        <w:rPr>
          <w:rFonts w:ascii="Arial" w:cs="Arial" w:eastAsia="Arial" w:hAnsi="Arial"/>
          <w:sz w:val="18"/>
          <w:szCs w:val="18"/>
          <w:color w:val="auto"/>
        </w:rPr>
      </w:pPr>
    </w:p>
    <w:p>
      <w:pPr>
        <w:ind w:left="1700" w:right="280" w:hanging="802"/>
        <w:spacing w:after="0" w:line="277" w:lineRule="auto"/>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of $1.1 million due to the sale of our Houston Street and Courtyard Shops properties in April 2015 and November 2015, respectively.</w:t>
      </w:r>
    </w:p>
    <w:p>
      <w:pPr>
        <w:spacing w:after="0" w:line="116" w:lineRule="exact"/>
        <w:rPr>
          <w:sz w:val="20"/>
          <w:szCs w:val="20"/>
          <w:color w:val="auto"/>
        </w:rPr>
      </w:pPr>
    </w:p>
    <w:p>
      <w:pPr>
        <w:ind w:right="520"/>
        <w:spacing w:after="0" w:line="307"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decreased slightly to 19.9% for the year ended December 31, 2016 from 20.0% for the year ended December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Real estate tax expense increased $9.5 million, or 11.0% to $95.3 million in 2016 compared to $85.8 million in 2015 due primarily to the following:</w:t>
      </w:r>
    </w:p>
    <w:p>
      <w:pPr>
        <w:spacing w:after="0" w:line="74" w:lineRule="exact"/>
        <w:rPr>
          <w:sz w:val="20"/>
          <w:szCs w:val="20"/>
          <w:color w:val="auto"/>
        </w:rPr>
      </w:pPr>
    </w:p>
    <w:p>
      <w:pPr>
        <w:ind w:left="1700" w:hanging="802"/>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$4.2 million at same-center properties due to higher assessments,</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$2.2 million from properties acquired in 2015 and 2016,</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increase of $1.9 million due to the acquisition of the six previously unconsolidated Clarion joint venture properties in January 2016,</w:t>
      </w:r>
    </w:p>
    <w:p>
      <w:pPr>
        <w:spacing w:after="0" w:line="85" w:lineRule="exact"/>
        <w:rPr>
          <w:rFonts w:ascii="Arial" w:cs="Arial" w:eastAsia="Arial" w:hAnsi="Arial"/>
          <w:sz w:val="16"/>
          <w:szCs w:val="16"/>
          <w:color w:val="auto"/>
        </w:rPr>
      </w:pPr>
    </w:p>
    <w:p>
      <w:pPr>
        <w:ind w:left="1700" w:hanging="802"/>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$1.1 million from redevelopment properties, and</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$0.8 million related to Assembly Row and Pike &amp; Rose,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48" w:lineRule="exact"/>
        <w:rPr>
          <w:sz w:val="20"/>
          <w:szCs w:val="20"/>
          <w:color w:val="auto"/>
        </w:rPr>
      </w:pPr>
    </w:p>
    <w:p>
      <w:pPr>
        <w:ind w:left="1700" w:right="280" w:hanging="802"/>
        <w:spacing w:after="0" w:line="277" w:lineRule="auto"/>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decrease of $0.8 million due to the sale of our Houston Street and Courtyard Shops properties in April 2015 and November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Property operating income increased $37.4 million, or 7.3%, to $548.0 million in 2016 compared to $510.6 million in 2015. This increase is primarily due to growth in earnings at same-center and redevelopment properties, the acquisition of the six previously unconsolidated Clarion joint venture properties in January 2016, portions of Assembly Row and Pike &amp; Rose opening in 2015 and early 2016, and properties acquired in 2015, partially offset by the sale of our Houston Street and Courtyard Shops properties in April 2015 and November 2015, respectively.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General and administrative expense decreased $2.2 million, or 6.3%, to $33.4 million in 2016 from $35.6 million in 2015. This decrease is primarily due lower transaction costs, partially offset by higher personnel related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Depreciation and amortization expense increased $18.8 million, or 10.7%, to $193.6 million in 2016 from $174.8 million in 2015. This increase is due primarily to the acquisition of the six previously unconsolidated Clarion joint venture properties in January 2016, Assembly Row and Pike &amp; Rose, depreciation on redevelopment related assets, and properties acquired in 2015.</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Operating income increased $20.8 million, or 6.9%, to $321.0 million in 2016 compared to $300.2 million in 2015. This increase is primarily due to properties acquired in 2015, portions of Assembly Row and Pike &amp; Rose opening in 2015 and early 2016, growth in earnings at redevelopment and same-center properties, and the acquisition of the six previously unconsolidated Clarion joint venture properties in January 2016, partially offset by the sale of our Houston Street and Courtyard Shops properties in April 2015 and November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Interest expense increased $2.4 million, or 2.6%, to $95.0 million in 2016 compared to $92.6 million in 2015. This increase is due primarily to an increase of $8.6 million due to higher borrowings, partially offset by a decrease of $6.2 million due to a lower overall weighted average borrowing rate.</w:t>
      </w:r>
    </w:p>
    <w:p>
      <w:pPr>
        <w:spacing w:after="0" w:line="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interest costs were $113.0 million and $110.7 million in 2016 and 2015, respectively. Capitalized interest was $18.0 million and $18.1 million in 2016 and 2015,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$19.1 million early extinguishment of debt in 2015 relates to the make-whole premium paid as part of the early redemption of our 6.20% senior notes in the second quarter of 2015, partially offset by the related write-off of unamortized premium and debt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$32.5 million gain on sale of real estate and change in control of interests is primarily the result of our obtaining control of six properties when we acquired Clarion’s 70% interest in the partnership that owned those properties (see discussion in Note 3 to the consolidated financial statements). The properties were previously accounted for under the equity method of accounting. We consolidated these assets effective January 13, 2016, and consequently recognized a gain of $25.7 million upon obtaining the controlling interest. 2016 also included a $1.8 million gain related to the May 2016 sale of a building in Coconut Grove, Florida by an unconsolidated joint venture (our share of the gain, net of noncontrolling interests, was $0.5 million) and a $4.9 million gain due to the reversal of the warranty reserve for condominium units at Santana Row, as the statutorily mandated latent construction defect period ended in third quarter 2016 and no further claims have been filed.</w:t>
      </w:r>
    </w:p>
    <w:p>
      <w:pPr>
        <w:spacing w:after="0" w:line="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$28.3 million gain on sale of real estate for 2015 is due to the sale of our Houston Street property in April 2015 and the sale of our Courtyard Shops property in November 2015.</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6" w:right="27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2015 COMPARED TO YEAR ENDED DECEMBER 31, 2014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3"/>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727,812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666,322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61,490</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14,758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744,012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686,090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57,922</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12,176</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85,824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76,506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9,318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233,417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211,923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21,494</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36"/>
        </w:trPr>
        <w:tc>
          <w:tcPr>
            <w:tcW w:w="5860" w:type="dxa"/>
            <w:vAlign w:val="bottom"/>
          </w:tcPr>
          <w:p>
            <w:pPr>
              <w:ind w:left="40"/>
              <w:spacing w:after="0"/>
              <w:rPr>
                <w:sz w:val="20"/>
                <w:szCs w:val="20"/>
                <w:color w:val="auto"/>
              </w:rPr>
            </w:pPr>
            <w:r>
              <w:rPr>
                <w:rFonts w:ascii="Arial" w:cs="Arial" w:eastAsia="Arial" w:hAnsi="Arial"/>
                <w:sz w:val="18"/>
                <w:szCs w:val="18"/>
                <w:color w:val="auto"/>
              </w:rPr>
              <w:t xml:space="preserve">Property operating income </w:t>
            </w:r>
            <w:r>
              <w:rPr>
                <w:rFonts w:ascii="Arial" w:cs="Arial" w:eastAsia="Arial" w:hAnsi="Arial"/>
                <w:sz w:val="16"/>
                <w:szCs w:val="16"/>
                <w:color w:val="auto"/>
              </w:rPr>
              <w:t>(1)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510,595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474,167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36,428</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(174,796)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(170,814)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(3,982)</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271,037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29,117</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58.5 %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(92,553)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(93,941)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1,388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(8,527)</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80.9 %</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(110,060)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(6,911)</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190,094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167,888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22,206</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23,929</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543.7 %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46,135</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210,219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164,535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45,684</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Property operating income is a non-GAAP financial measure. See Item 6. Selected Financial Data for further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Total property revenue increased $57.9 million, or 8.4%, to $744.0 million in 2015 compared to $686.1 million in 2014. The percentage occupied at our shopping centers decreased to 93.5% at December 31, 2015 compared to 94.7% at December 31, 2014. Changes in the components of property revenue are discussed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$61.5 million, or 9.2%, to $727.8 million in 2015 compared to $666.3 million in 2014 due primarily to the following:</w:t>
      </w:r>
    </w:p>
    <w:p>
      <w:pPr>
        <w:spacing w:after="0" w:line="8" w:lineRule="exact"/>
        <w:rPr>
          <w:sz w:val="20"/>
          <w:szCs w:val="20"/>
          <w:color w:val="auto"/>
        </w:rPr>
      </w:pPr>
    </w:p>
    <w:p>
      <w:pPr>
        <w:ind w:left="1700" w:right="280" w:hanging="802"/>
        <w:spacing w:after="0" w:line="277" w:lineRule="auto"/>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$22.1 million from Assembly Row and Pike &amp; Rose as portions of both projects opened beginning in second quarter 2014 through 2015,</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$16.6 million attributable to properties acquired in 2015 and 2014,</w:t>
      </w:r>
    </w:p>
    <w:p>
      <w:pPr>
        <w:spacing w:after="0" w:line="62" w:lineRule="exact"/>
        <w:rPr>
          <w:rFonts w:ascii="Arial" w:cs="Arial" w:eastAsia="Arial" w:hAnsi="Arial"/>
          <w:sz w:val="18"/>
          <w:szCs w:val="18"/>
          <w:color w:val="auto"/>
        </w:rPr>
      </w:pPr>
    </w:p>
    <w:p>
      <w:pPr>
        <w:ind w:left="1700" w:right="480" w:hanging="802"/>
        <w:spacing w:after="0" w:line="263" w:lineRule="auto"/>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$15.7 million at same-center properties due primarily to higher rental rates of approximately $10.0 million, a $4.0 million increase in recovery income (primarily the result of reimbursements for higher real estate taxes and other tenant reimbursables), and occupancy impacts of approximately $0.8 million, and</w:t>
      </w:r>
    </w:p>
    <w:p>
      <w:pPr>
        <w:spacing w:after="0" w:line="20" w:lineRule="exact"/>
        <w:rPr>
          <w:rFonts w:ascii="Arial" w:cs="Arial" w:eastAsia="Arial" w:hAnsi="Arial"/>
          <w:sz w:val="18"/>
          <w:szCs w:val="18"/>
          <w:color w:val="auto"/>
        </w:rPr>
      </w:pPr>
    </w:p>
    <w:p>
      <w:pPr>
        <w:ind w:left="1700" w:right="460" w:hanging="802"/>
        <w:spacing w:after="0" w:line="277" w:lineRule="auto"/>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$10.4 million at redevelopment properties due primarily to the lease-up of our new 212 unit residential building at Santana Row and the lease-up of four of our retail redevelopments,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280" w:hanging="802"/>
        <w:spacing w:after="0" w:line="277" w:lineRule="auto"/>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of $3.8 million due to the sale of our Houston Street and Courtyard Shops properties in April 2015 and November 2015, respectively.</w:t>
      </w:r>
    </w:p>
    <w:p>
      <w:pPr>
        <w:sectPr>
          <w:pgSz w:w="11900" w:h="16838" w:orient="portrait"/>
          <w:cols w:equalWidth="0" w:num="1">
            <w:col w:w="11420"/>
          </w:cols>
          <w:pgMar w:left="240" w:top="12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6" w:right="239" w:bottom="1440"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Other property income decreased $2.9 million, or 20.0%, to $11.8 million in 2015 compared to $14.8 million in 2014. Included in other property income are items which, although recurring, inherently tend to fluctuate more than rental income from period to period, such as lease termination fees. This decrease is primarily due to lower lease termination and other fees at our same-center and redevelopment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property expenses increased $21.5 million, or 10.1%, to $233.4 million in 2015 compared to $211.9 million in 2014.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Rental expenses increased $12.2 million, or 9.0%, to $147.6 million in 2015 compared to $135.4 million in 2014. This increase is primarily due to the following:</w:t>
      </w:r>
    </w:p>
    <w:p>
      <w:pPr>
        <w:spacing w:after="0" w:line="8" w:lineRule="exact"/>
        <w:rPr>
          <w:sz w:val="20"/>
          <w:szCs w:val="20"/>
          <w:color w:val="auto"/>
        </w:rPr>
      </w:pPr>
    </w:p>
    <w:p>
      <w:pPr>
        <w:ind w:left="1700" w:hanging="802"/>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$5.3 million related to properties acquired in 2015 and 2014,</w:t>
      </w:r>
    </w:p>
    <w:p>
      <w:pPr>
        <w:spacing w:after="0" w:line="62" w:lineRule="exact"/>
        <w:rPr>
          <w:rFonts w:ascii="Arial" w:cs="Arial" w:eastAsia="Arial" w:hAnsi="Arial"/>
          <w:sz w:val="18"/>
          <w:szCs w:val="18"/>
          <w:color w:val="auto"/>
        </w:rPr>
      </w:pPr>
    </w:p>
    <w:p>
      <w:pPr>
        <w:ind w:left="1700" w:right="440" w:hanging="802"/>
        <w:spacing w:after="0" w:line="277" w:lineRule="auto"/>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$4.3 million related to Assembly Row and Pike &amp; Rose, as portions of these projects opened beginning in second quarter 2014,</w:t>
      </w:r>
    </w:p>
    <w:p>
      <w:pPr>
        <w:spacing w:after="0" w:line="7" w:lineRule="exact"/>
        <w:rPr>
          <w:rFonts w:ascii="Arial" w:cs="Arial" w:eastAsia="Arial" w:hAnsi="Arial"/>
          <w:sz w:val="18"/>
          <w:szCs w:val="18"/>
          <w:color w:val="auto"/>
        </w:rPr>
      </w:pPr>
    </w:p>
    <w:p>
      <w:pPr>
        <w:ind w:left="1700" w:right="80" w:hanging="802"/>
        <w:spacing w:after="0" w:line="277" w:lineRule="auto"/>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$3.2 million in repairs and maintenance expenses at same-center and redevelopment properties primarily due to higher snow removal costs, and</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$0.6 million in utilities at our same-center properties,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220" w:hanging="802"/>
        <w:spacing w:after="0" w:line="277" w:lineRule="auto"/>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 of $1.2 million due to the sale of our Houston Street and Courtyard Shops properties in April 2015 and November 2015, respectively.</w:t>
      </w:r>
    </w:p>
    <w:p>
      <w:pPr>
        <w:spacing w:after="0" w:line="116" w:lineRule="exact"/>
        <w:rPr>
          <w:sz w:val="20"/>
          <w:szCs w:val="20"/>
          <w:color w:val="auto"/>
        </w:rPr>
      </w:pPr>
    </w:p>
    <w:p>
      <w:pPr>
        <w:ind w:right="460"/>
        <w:spacing w:after="0" w:line="307"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increased to 20.0% for the year ended December 31, 2015 from 19.9% for the year ended December 31,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Real estate tax expense increased $9.3 million, or 12.2% to $85.8 million in 2015 compared to $76.5 million in 2014 due primarily to Assembly Row and Pike &amp; Rose, higher assessments at our same-center and redevelopment properties, and properties acquired in 2015 and 2014, partially offset by the sale of our Houston Street and Courtyard Shops properties in April 2015 and November 2015,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Property operating income increased $36.4 million, or 7.7%, to $510.6 million in 2015 compared to $474.2 million in 2014. This increase is primarily due to portions of Assembly Row and Pike &amp; Rose opening beginning in second quarter 2014, growth in earnings at same-center and redevelopment properties, and properties acquired in 2015 and 2014, partially offset by the sale of our Houston Street and Courtyard Shops properties in April 2015 and November 2015,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General and administrative expense increased $3.3 million, or 10.3%, to $35.6 million in 2015 from $32.3 million in 2014. This increase is primarily due to higher personnel related costs and higher transaction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Depreciation and amortization expense increased $4.0 million, or 2.3%, to $174.8 million in 2015 from $170.8 million in 2014. This increase is due primarily to depreciation on Assembly Row and Pike &amp; Rose and properties acquired in 2015, partially offset by accelerated depreciation in 2014 due to the change in use of a redevelopment property.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income increased $29.1 million, or 10.7%, to $300.2 million in 2015 compared to $271.0 million in 2014. This increase is primarily due to growth in earnings at our same-center and redevelopment properties, portions of Assembly Row</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6" w:right="29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and Pike &amp; Rose opening beginning in second quarter 2014, and properties acquired in 2015 and 2014, partially offset by higher personnel related costs.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$1.4 million, or 1.5%, to $92.6 million in 2015 compared to $93.9 million in 2014. This decrease is due primarily to the following:</w:t>
      </w:r>
    </w:p>
    <w:p>
      <w:pPr>
        <w:spacing w:after="0" w:line="86" w:lineRule="exact"/>
        <w:rPr>
          <w:sz w:val="20"/>
          <w:szCs w:val="20"/>
          <w:color w:val="auto"/>
        </w:rPr>
      </w:pPr>
    </w:p>
    <w:p>
      <w:pPr>
        <w:ind w:left="1700" w:hanging="802"/>
        <w:spacing w:after="0"/>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$12.2 million due to a lower overall weighted average borrowing rate,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2"/>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$8.1 million due to higher borrowings.</w:t>
      </w:r>
    </w:p>
    <w:p>
      <w:pPr>
        <w:spacing w:after="0" w:line="62" w:lineRule="exact"/>
        <w:rPr>
          <w:rFonts w:ascii="Arial" w:cs="Arial" w:eastAsia="Arial" w:hAnsi="Arial"/>
          <w:sz w:val="18"/>
          <w:szCs w:val="18"/>
          <w:color w:val="auto"/>
        </w:rPr>
      </w:pPr>
    </w:p>
    <w:p>
      <w:pPr>
        <w:ind w:left="1700" w:right="440" w:hanging="802"/>
        <w:spacing w:after="0" w:line="277" w:lineRule="auto"/>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decrease of $2.8 million in capitalized interest due primarily to Phase I of Assembly Row and Pike &amp; Rose, as portions of both projects opened beginning second quarter 2014.</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Gross interest costs were $110.7 million and $114.9 million in 2015 and 2014, respectively. Capitalized interest was $18.1 million and $21.0 million in 2015 and 2014,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$19.1 million early extinguishment of debt in 2015 relates to the make-whole premium paid as part of the early redemption of our 6.20% senior notes, partially offset by the related net write-off of unamortized premium and debt fees.</w:t>
      </w:r>
    </w:p>
    <w:p>
      <w:pPr>
        <w:spacing w:after="0" w:line="35"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The $10.5 million early extinguishment of debt in 2014 relates to the make-whole premium paid as part of the early redemption of our 5.65% senior notes, the prepayment premium on our East Bay Bridge mortgage loan, and the related write-off of unamortized debt fees and mortgage premium balance.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2500"/>
        <w:spacing w:after="0" w:line="277" w:lineRule="auto"/>
        <w:rPr>
          <w:sz w:val="20"/>
          <w:szCs w:val="20"/>
          <w:color w:val="auto"/>
        </w:rPr>
      </w:pPr>
      <w:r>
        <w:rPr>
          <w:rFonts w:ascii="Arial" w:cs="Arial" w:eastAsia="Arial" w:hAnsi="Arial"/>
          <w:sz w:val="18"/>
          <w:szCs w:val="18"/>
          <w:color w:val="auto"/>
        </w:rPr>
        <w:t>The $28.3 million gain on sale of real estate for 2015 is due to the sale of our Houston Street property in April 2015 and the sale of our Courtyard Shops property in November 2015.</w:t>
      </w:r>
    </w:p>
    <w:p>
      <w:pPr>
        <w:spacing w:after="0" w:line="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$4.4 million gain on sale of real estate for 2014 is due to our portion of the gain resulting from the Partnership's sale of the fee interest in Pleasant Shops in Weymouth, Massachusetts.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December 31, 2016, we had $23.4 million of cash and cash equivalents and no outstanding balance on our revolving credit facility. On April 20, 2016, we upsized our $600.0 million revolving credit facility to $800.0 million and extended the maturity date to April 20, 2020, subject to two six-month extensions at our option. In addition, we have an option (subject to bank approval) to increase the credit facility through an accordion feature to $1.5 billion. Our $275.0 million unsecured term loan that matures on November 21, 2018, subject to a one-year extension at our option, also has an option (subject to bank approval) to increase the term loan through an accordion feature to $350.0 million. As of December 31, 2016, we had the capacity to issue up to $370.9 million in common shares under our ATM equity program.</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6" w:right="25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2016, the maximum amount of borrowings outstanding under our revolving credit facility was $251.5 million, the weighted average amount of borrowings outstanding was $77.3 million and the weighted average interest rate, before amortization of debt fees, was 1.3%. On March 7, 2016 we issued 1.0 million common shares at $149.43 per share, in an underwritten public offering, for net cash proceeds of $149.3 million. On July 12, 2016, we issued $250.0 million of fixed rate senior unsecured notes that mature on August 1, 2046 and bear interest at 3.625%. The notes were offered at 97.756% of the principal amount with a yield to maturity of 3.75%. The net proceeds from this note offering after issuance discounts, underwriting fees, and other costs were $241.8 million. During 2017, we have $216.7 million of debt maturing. We currently believe that cash flows from operations, cash on hand, our ATM equity program, our revolving credit facility and our general ability to access the capital markets will be sufficient to finance our operations and fund our debt service requirements and capital expenditures.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Our overall capital requirements during 2017 will depend upon acquisition opportunities, the level of improvements and redevelopments on existing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properties and the timing and cost of development of Assembly Row, Pike &amp; Rose and future phases of Santana Row. While the amount of future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expenditures will depend on numerous factors, we expect to continue to see higher levels of capital investments in our properties under development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redevelopment which is the result of construction on Phase II at both Assembly Row and Pike &amp; Rose, construction of our next phase of Santana Row,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redevelopment pipeline. With respect to other capital investments related to our existing properties, we expect to incur levels consistent with prior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years. Our capital investments will be funded on a short-term basis with cash flow from operations, cash on hand and/or our revolving credit facility, and 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long-term basis, with long-term debt or equity including shares issued under our ATM equity program. If necessary, we may access the debt or equity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markets to finance significant acquisitions. Given our past ability to access the capital markets, we expect debt or equity to be available to us. Although there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no intent at this time, if market conditions deteriorate, we may also delay the timing of certain development and redevelopment projects as well as limit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future acquisitions, reduce our operating expenditures, or re-evaluate our dividend policy.</w:t>
      </w:r>
    </w:p>
    <w:p>
      <w:pPr>
        <w:spacing w:after="0" w:line="15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60" w:hanging="802"/>
        <w:spacing w:after="0" w:line="250" w:lineRule="auto"/>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2"/>
        <w:spacing w:after="0"/>
        <w:tabs>
          <w:tab w:leader="none" w:pos="1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419,254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359,835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(590,221)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(353,763)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173,289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(32,977)</w:t>
            </w: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47,951</w:t>
            </w: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year</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23,368</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21,046</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cash provided by operating activities increased $59.4 million to $419.3 million during 2016 from $359.8 million during 2015. The increase was primarily attributable to higher net income before certain non-cash items, timing of payments from tenants, and the timing of interest payments and other operating costs.</w:t>
      </w:r>
    </w:p>
    <w:p>
      <w:pPr>
        <w:spacing w:after="0" w:line="1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cash used in investing activities increased $236.5 million to $590.2 million during 2016 from $353.8 million during 2015. The increase in net cash used was primarily attributable to:</w:t>
      </w:r>
    </w:p>
    <w:p>
      <w:pPr>
        <w:spacing w:after="0" w:line="8" w:lineRule="exact"/>
        <w:rPr>
          <w:sz w:val="20"/>
          <w:szCs w:val="20"/>
          <w:color w:val="auto"/>
        </w:rPr>
      </w:pPr>
    </w:p>
    <w:p>
      <w:pPr>
        <w:ind w:left="1700" w:right="400" w:hanging="802"/>
        <w:spacing w:after="0" w:line="277" w:lineRule="auto"/>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$150.7 million increase in capital investments and leasing costs as we continue to invest in Assembly Row, Pike &amp; Rose, Santana Row, and other current redevelopments, and</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$97.4 million decrease in proceeds from the sale of real estate, as we sold both Houston Street and Courtyard Shops in 2015,</w:t>
      </w:r>
    </w:p>
    <w:p>
      <w:pPr>
        <w:spacing w:after="0" w:line="7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partially offset by</w:t>
      </w:r>
    </w:p>
    <w:p>
      <w:pPr>
        <w:spacing w:after="0" w:line="62" w:lineRule="exact"/>
        <w:rPr>
          <w:rFonts w:ascii="Arial" w:cs="Arial" w:eastAsia="Arial" w:hAnsi="Arial"/>
          <w:sz w:val="17"/>
          <w:szCs w:val="17"/>
          <w:color w:val="auto"/>
        </w:rPr>
      </w:pPr>
    </w:p>
    <w:p>
      <w:pPr>
        <w:ind w:left="1700" w:hanging="802"/>
        <w:spacing w:after="0"/>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$11.4 million decrease in acquisitions of real estate.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cash provided by financing activities increased $206.3 million to $173.3 million provided during 2016 from $33.0 million used in 2015. The increase was primarily attributable to:</w:t>
      </w:r>
    </w:p>
    <w:p>
      <w:pPr>
        <w:spacing w:after="0" w:line="8" w:lineRule="exact"/>
        <w:rPr>
          <w:sz w:val="20"/>
          <w:szCs w:val="20"/>
          <w:color w:val="auto"/>
        </w:rPr>
      </w:pPr>
    </w:p>
    <w:p>
      <w:pPr>
        <w:ind w:left="1700" w:hanging="802"/>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April 2015 redemption of $200.0 million of senior notes with a make-whole premium of $19.2 million,</w:t>
      </w:r>
    </w:p>
    <w:p>
      <w:pPr>
        <w:spacing w:after="0" w:line="62" w:lineRule="exact"/>
        <w:rPr>
          <w:rFonts w:ascii="Arial" w:cs="Arial" w:eastAsia="Arial" w:hAnsi="Arial"/>
          <w:sz w:val="18"/>
          <w:szCs w:val="18"/>
          <w:color w:val="auto"/>
        </w:rPr>
      </w:pPr>
    </w:p>
    <w:p>
      <w:pPr>
        <w:ind w:left="1700" w:right="60" w:hanging="802"/>
        <w:spacing w:after="0" w:line="259" w:lineRule="auto"/>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$218.2 million increase in net proceeds from the issuance of common shares as we issued 1.0 million common shares at $149.43 per share in an underwritten public offering in March 2016, and we sold 1.2 million common shares under our ATM equity program at a weighted average price of $152.92 during 2016 compared to 0.8 million shares at a weighted average price of $135.01 during 2015, and</w:t>
      </w:r>
    </w:p>
    <w:p>
      <w:pPr>
        <w:spacing w:after="0" w:line="23" w:lineRule="exact"/>
        <w:rPr>
          <w:rFonts w:ascii="Arial" w:cs="Arial" w:eastAsia="Arial" w:hAnsi="Arial"/>
          <w:sz w:val="18"/>
          <w:szCs w:val="18"/>
          <w:color w:val="auto"/>
        </w:rPr>
      </w:pPr>
    </w:p>
    <w:p>
      <w:pPr>
        <w:ind w:left="1700" w:right="120" w:hanging="802"/>
        <w:spacing w:after="0" w:line="277" w:lineRule="auto"/>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$131.8 million decrease in repayment of mortgages, capital leases and notes payable due to the payoff of $34.4 million of mortgage loans on April 1, 2016, compared to the payoff of seven mortgages totaling $165.1 million in 2015.</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340" w:hanging="802"/>
        <w:spacing w:after="0" w:line="316" w:lineRule="auto"/>
        <w:tabs>
          <w:tab w:leader="none" w:pos="1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$241.8 million in net proceeds from the issuance of 3.625% senior notes in July 2016, compared to $456.2 million in net proceeds from the re-opening of the 4.50% senior notes in March 2015 and the issuance of 2.55% senior notes in September 2015,</w:t>
      </w:r>
    </w:p>
    <w:p>
      <w:pPr>
        <w:spacing w:after="0" w:line="1" w:lineRule="exact"/>
        <w:rPr>
          <w:rFonts w:ascii="Arial" w:cs="Arial" w:eastAsia="Arial" w:hAnsi="Arial"/>
          <w:sz w:val="16"/>
          <w:szCs w:val="16"/>
          <w:color w:val="auto"/>
        </w:rPr>
      </w:pPr>
    </w:p>
    <w:p>
      <w:pPr>
        <w:ind w:left="1700" w:hanging="802"/>
        <w:spacing w:after="0"/>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$110.4 million increase in net repayments on our revolving credit facility,</w:t>
      </w:r>
    </w:p>
    <w:p>
      <w:pPr>
        <w:spacing w:after="0" w:line="62" w:lineRule="exact"/>
        <w:rPr>
          <w:rFonts w:ascii="Arial" w:cs="Arial" w:eastAsia="Arial" w:hAnsi="Arial"/>
          <w:sz w:val="18"/>
          <w:szCs w:val="18"/>
          <w:color w:val="auto"/>
        </w:rPr>
      </w:pPr>
    </w:p>
    <w:p>
      <w:pPr>
        <w:ind w:left="1700" w:right="480" w:hanging="802"/>
        <w:spacing w:after="0" w:line="277" w:lineRule="auto"/>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$24.4 million increase in dividends paid to shareholders due to an increase in the dividend rate and increased number of shares outstanding, and</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$13.0 million acquisition of the 10% noncontrolling interest of a partnership which owns a project in Southern California.</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fixed, noncancelable obligations as of December 31, 2016:</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775"/>
              <w:spacing w:after="0"/>
              <w:rPr>
                <w:sz w:val="20"/>
                <w:szCs w:val="20"/>
                <w:color w:val="auto"/>
              </w:rPr>
            </w:pPr>
            <w:r>
              <w:rPr>
                <w:rFonts w:ascii="Arial" w:cs="Arial" w:eastAsia="Arial" w:hAnsi="Arial"/>
                <w:sz w:val="14"/>
                <w:szCs w:val="14"/>
                <w:b w:val="1"/>
                <w:bCs w:val="1"/>
                <w:color w:val="auto"/>
                <w:w w:val="92"/>
              </w:rPr>
              <w:t>Commitments Due by Period</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2" w:lineRule="exact"/>
              <w:rPr>
                <w:sz w:val="20"/>
                <w:szCs w:val="20"/>
                <w:color w:val="auto"/>
              </w:rPr>
            </w:pPr>
            <w:r>
              <w:rPr>
                <w:rFonts w:ascii="Arial" w:cs="Arial" w:eastAsia="Arial" w:hAnsi="Arial"/>
                <w:sz w:val="14"/>
                <w:szCs w:val="14"/>
                <w:b w:val="1"/>
                <w:bCs w:val="1"/>
                <w:color w:val="auto"/>
                <w:w w:val="89"/>
              </w:rPr>
              <w:t>Less Than</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1-3 Years</w:t>
            </w:r>
          </w:p>
        </w:tc>
        <w:tc>
          <w:tcPr>
            <w:tcW w:w="26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3"/>
                <w:szCs w:val="13"/>
                <w:color w:val="auto"/>
              </w:rPr>
            </w:pPr>
          </w:p>
        </w:tc>
        <w:tc>
          <w:tcPr>
            <w:tcW w:w="1080" w:type="dxa"/>
            <w:vAlign w:val="bottom"/>
          </w:tcPr>
          <w:p>
            <w:pPr>
              <w:jc w:val="right"/>
              <w:ind w:right="373"/>
              <w:spacing w:after="0" w:line="152"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1 Year</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debt (principal and interest)(1)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3,953,012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328,834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498,118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622,547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2,503,513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Capital lease obligations (principal and interest)</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177,232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5,797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11,600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148,235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rate debt (principal only)(2)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185,345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170,698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commitments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70,070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28"/>
        </w:trPr>
        <w:tc>
          <w:tcPr>
            <w:tcW w:w="4120" w:type="dxa"/>
            <w:vAlign w:val="bottom"/>
          </w:tcPr>
          <w:p>
            <w:pPr>
              <w:ind w:left="40"/>
              <w:spacing w:after="0"/>
              <w:rPr>
                <w:sz w:val="20"/>
                <w:szCs w:val="20"/>
                <w:color w:val="auto"/>
              </w:rPr>
            </w:pPr>
            <w:r>
              <w:rPr>
                <w:rFonts w:ascii="Arial" w:cs="Arial" w:eastAsia="Arial" w:hAnsi="Arial"/>
                <w:sz w:val="18"/>
                <w:szCs w:val="18"/>
                <w:color w:val="auto"/>
                <w:w w:val="92"/>
              </w:rPr>
              <w:t>Development, redevelopment, and capital improvement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obligations</w:t>
            </w:r>
          </w:p>
        </w:tc>
        <w:tc>
          <w:tcPr>
            <w:tcW w:w="34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429,246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351,972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77,274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operating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Hotel joint venture obligations (3)</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16,092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12,873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4,878,766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722,498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616,245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650,017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2,890,006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Fixed rate debt includes our $275.0 million term loan as the rate is effectively fixed by two interest rate swap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Variable rate debt includes our revolving credit facility, which currently has no balance outstanding and bears interest at LIBOR plus 0.825%.</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include our share of our hotel joint venture construction related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amounts set forth in the table above and other liquidity requirements previously discussed, the following potential commitments exist:</w:t>
      </w:r>
    </w:p>
    <w:p>
      <w:pPr>
        <w:spacing w:after="0" w:line="101" w:lineRule="exact"/>
        <w:rPr>
          <w:sz w:val="20"/>
          <w:szCs w:val="20"/>
          <w:color w:val="auto"/>
        </w:rPr>
      </w:pPr>
    </w:p>
    <w:p>
      <w:pPr>
        <w:ind w:firstLine="413"/>
        <w:spacing w:after="0" w:line="259" w:lineRule="auto"/>
        <w:tabs>
          <w:tab w:leader="none" w:pos="6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a minority partner has the right to require us and the other minority partner to purchase its 29.47% interest in Congressional Plaza at the interest’s then-current fair market value. If the other minority partner defaults in their obligation, we must purchase the full interest. Based on management’s current estimate of fair market value as of December 31, 2016, our estimated liability upon exercise of the put option would range from approximately $89 million to $93 million.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320" w:firstLine="413"/>
        <w:spacing w:after="0" w:line="334" w:lineRule="auto"/>
        <w:tabs>
          <w:tab w:leader="none" w:pos="659"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the partners have the right to exchange their operating partnership units for cash or the same number of our common shares, at our option. As of December 31, 2016, a total of 763,797 operating partnership units are outstanding.</w:t>
      </w:r>
    </w:p>
    <w:p>
      <w:pPr>
        <w:jc w:val="both"/>
        <w:ind w:right="100" w:firstLine="440"/>
        <w:spacing w:after="0" w:line="259" w:lineRule="auto"/>
        <w:tabs>
          <w:tab w:leader="none" w:pos="676"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 Based on management’s current estimate of fair market value as of December 31, 2016, our estimated maximum liability upon exercise of the put option would range from approximately $9 million to $10 million.</w:t>
      </w:r>
    </w:p>
    <w:p>
      <w:pPr>
        <w:spacing w:after="0" w:line="50" w:lineRule="exact"/>
        <w:rPr>
          <w:rFonts w:ascii="Arial" w:cs="Arial" w:eastAsia="Arial" w:hAnsi="Arial"/>
          <w:sz w:val="18"/>
          <w:szCs w:val="18"/>
          <w:color w:val="auto"/>
        </w:rPr>
      </w:pPr>
    </w:p>
    <w:p>
      <w:pPr>
        <w:ind w:firstLine="440"/>
        <w:spacing w:after="0" w:line="275" w:lineRule="auto"/>
        <w:tabs>
          <w:tab w:leader="none" w:pos="686" w:val="left"/>
        </w:tabs>
        <w:numPr>
          <w:ilvl w:val="1"/>
          <w:numId w:val="49"/>
        </w:numPr>
        <w:rPr>
          <w:rFonts w:ascii="Arial" w:cs="Arial" w:eastAsia="Arial" w:hAnsi="Arial"/>
          <w:sz w:val="17"/>
          <w:szCs w:val="17"/>
          <w:color w:val="auto"/>
        </w:rPr>
      </w:pPr>
      <w:r>
        <w:rPr>
          <w:rFonts w:ascii="Arial" w:cs="Arial" w:eastAsia="Arial" w:hAnsi="Arial"/>
          <w:sz w:val="17"/>
          <w:szCs w:val="17"/>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2016, our estimated maximum liability upon exercise of the put option would range from approximately $21 million to $24 million. Also, we exercised our option to acquire the preferred interest of a member in our Plaza El Segundo partnership for $4.9 million. The transaction is expected to close in 2018.</w:t>
      </w:r>
    </w:p>
    <w:p>
      <w:pPr>
        <w:spacing w:after="0" w:line="40" w:lineRule="exact"/>
        <w:rPr>
          <w:rFonts w:ascii="Arial" w:cs="Arial" w:eastAsia="Arial" w:hAnsi="Arial"/>
          <w:sz w:val="17"/>
          <w:szCs w:val="17"/>
          <w:color w:val="auto"/>
        </w:rPr>
      </w:pPr>
    </w:p>
    <w:p>
      <w:pPr>
        <w:ind w:right="100" w:firstLine="440"/>
        <w:spacing w:after="0" w:line="259" w:lineRule="auto"/>
        <w:tabs>
          <w:tab w:leader="none" w:pos="676" w:val="left"/>
        </w:tabs>
        <w:numPr>
          <w:ilvl w:val="1"/>
          <w:numId w:val="49"/>
        </w:numPr>
        <w:rPr>
          <w:rFonts w:ascii="Arial" w:cs="Arial" w:eastAsia="Arial" w:hAnsi="Arial"/>
          <w:sz w:val="18"/>
          <w:szCs w:val="18"/>
          <w:color w:val="auto"/>
        </w:rPr>
      </w:pPr>
      <w:r>
        <w:rPr>
          <w:rFonts w:ascii="Arial" w:cs="Arial" w:eastAsia="Arial" w:hAnsi="Arial"/>
          <w:sz w:val="18"/>
          <w:szCs w:val="18"/>
          <w:color w:val="auto"/>
        </w:rPr>
        <w:t>Effective January 1, 2017, the other member in The Grove at Shrewsbury and Brook 35 has the right to require us to purchase all of its approximately 4.8% interest in The Grove at Shrewsbury and approximately 8.8% interest in Brook 35 at the interests' then-current fair market value. Based on management's current estimate of fair market value as of December 31, 2016, our estimated maximum liability upon exercise of the put option would range from $10 million to $11 million.</w:t>
      </w:r>
    </w:p>
    <w:p>
      <w:pPr>
        <w:spacing w:after="0" w:line="50" w:lineRule="exact"/>
        <w:rPr>
          <w:rFonts w:ascii="Arial" w:cs="Arial" w:eastAsia="Arial" w:hAnsi="Arial"/>
          <w:sz w:val="18"/>
          <w:szCs w:val="18"/>
          <w:color w:val="auto"/>
        </w:rPr>
      </w:pPr>
    </w:p>
    <w:p>
      <w:pPr>
        <w:ind w:left="660" w:hanging="220"/>
        <w:spacing w:after="0"/>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At December 31, 2016, we had letters of credit outstanding of approximately $1.3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Other than the items disclosed in the Contractual Commitments Table, we have no off-balance sheet arrangements as of December 31, 2016 that are reasonably likely to have a current or future material effect on our financial condition, revenues or expenses, results of operations, liquidity, capital expenditures or capital resources.</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126" w:right="31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2016:</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2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1"/>
              </w:rPr>
              <w:t>Principal Balance as of</w:t>
            </w:r>
          </w:p>
        </w:tc>
        <w:tc>
          <w:tcPr>
            <w:tcW w:w="100" w:type="dxa"/>
            <w:vAlign w:val="bottom"/>
          </w:tcPr>
          <w:p>
            <w:pPr>
              <w:spacing w:after="0"/>
              <w:rPr>
                <w:sz w:val="14"/>
                <w:szCs w:val="14"/>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Stated Interest Rate as of</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2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92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580" w:type="dxa"/>
            <w:vAlign w:val="bottom"/>
            <w:gridSpan w:val="2"/>
            <w:vMerge w:val="continue"/>
          </w:tcPr>
          <w:p>
            <w:pPr>
              <w:spacing w:after="0"/>
              <w:rPr>
                <w:sz w:val="16"/>
                <w:szCs w:val="16"/>
                <w:color w:val="auto"/>
              </w:rPr>
            </w:pPr>
          </w:p>
        </w:tc>
        <w:tc>
          <w:tcPr>
            <w:tcW w:w="126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56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6"/>
                <w:szCs w:val="16"/>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2016</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tcBorders>
              <w:top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160"/>
              <w:spacing w:after="0"/>
              <w:rPr>
                <w:sz w:val="20"/>
                <w:szCs w:val="20"/>
                <w:color w:val="auto"/>
              </w:rPr>
            </w:pPr>
            <w:r>
              <w:rPr>
                <w:rFonts w:ascii="Arial" w:cs="Arial" w:eastAsia="Arial" w:hAnsi="Arial"/>
                <w:sz w:val="16"/>
                <w:szCs w:val="16"/>
                <w:i w:val="1"/>
                <w:iCs w:val="1"/>
                <w:color w:val="auto"/>
              </w:rPr>
              <w:t>Secured fixed rate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The Grove at Shrewsbury (East)</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42,536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October 1, 2017</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Grove at Shrewsbury (West)</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10,792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2018</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Rollingwood Apartments</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21,283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Shops at Sunset Place</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68,634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29th Place</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4,553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52,705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Montrose Crossing</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72,726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Chelsea</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6,576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466,305</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4,812</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471,117</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Notes payable</w:t>
            </w:r>
          </w:p>
        </w:tc>
        <w:tc>
          <w:tcPr>
            <w:tcW w:w="1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Unsecured fixed rate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Term Loan (1)</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192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5,247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23"/>
        </w:trPr>
        <w:tc>
          <w:tcPr>
            <w:tcW w:w="4580" w:type="dxa"/>
            <w:vAlign w:val="bottom"/>
            <w:gridSpan w:val="2"/>
          </w:tcPr>
          <w:p>
            <w:pPr>
              <w:ind w:left="160"/>
              <w:spacing w:after="0"/>
              <w:rPr>
                <w:sz w:val="20"/>
                <w:szCs w:val="20"/>
                <w:color w:val="auto"/>
              </w:rPr>
            </w:pPr>
            <w:r>
              <w:rPr>
                <w:rFonts w:ascii="Arial" w:cs="Arial" w:eastAsia="Arial" w:hAnsi="Arial"/>
                <w:sz w:val="16"/>
                <w:szCs w:val="16"/>
                <w:i w:val="1"/>
                <w:iCs w:val="1"/>
                <w:color w:val="auto"/>
              </w:rPr>
              <w:t>Unsecured variable rate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Revolving credit facility (2)</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800,000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+ 0.825%</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 2020</w:t>
            </w:r>
          </w:p>
        </w:tc>
        <w:tc>
          <w:tcPr>
            <w:tcW w:w="0" w:type="dxa"/>
            <w:vAlign w:val="bottom"/>
          </w:tcPr>
          <w:p>
            <w:pPr>
              <w:spacing w:after="0"/>
              <w:rPr>
                <w:sz w:val="1"/>
                <w:szCs w:val="1"/>
                <w:color w:val="auto"/>
              </w:rPr>
            </w:pPr>
          </w:p>
        </w:tc>
      </w:tr>
      <w:tr>
        <w:trPr>
          <w:trHeight w:val="217"/>
        </w:trPr>
        <w:tc>
          <w:tcPr>
            <w:tcW w:w="4580" w:type="dxa"/>
            <w:vAlign w:val="bottom"/>
            <w:gridSpan w:val="2"/>
          </w:tcPr>
          <w:p>
            <w:pPr>
              <w:ind w:left="700"/>
              <w:spacing w:after="0"/>
              <w:rPr>
                <w:sz w:val="20"/>
                <w:szCs w:val="20"/>
                <w:color w:val="auto"/>
              </w:rPr>
            </w:pPr>
            <w:r>
              <w:rPr>
                <w:rFonts w:ascii="Arial" w:cs="Arial" w:eastAsia="Arial" w:hAnsi="Arial"/>
                <w:sz w:val="16"/>
                <w:szCs w:val="16"/>
                <w:color w:val="auto"/>
              </w:rPr>
              <w:t>Subtotal</w:t>
            </w:r>
          </w:p>
        </w:tc>
        <w:tc>
          <w:tcPr>
            <w:tcW w:w="1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280,247</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debt issuance cost</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580" w:type="dxa"/>
            <w:vAlign w:val="bottom"/>
            <w:gridSpan w:val="2"/>
          </w:tcPr>
          <w:p>
            <w:pPr>
              <w:ind w:left="700"/>
              <w:spacing w:after="0"/>
              <w:rPr>
                <w:sz w:val="20"/>
                <w:szCs w:val="20"/>
                <w:color w:val="auto"/>
              </w:rPr>
            </w:pPr>
            <w:r>
              <w:rPr>
                <w:rFonts w:ascii="Arial" w:cs="Arial" w:eastAsia="Arial" w:hAnsi="Arial"/>
                <w:sz w:val="16"/>
                <w:szCs w:val="16"/>
                <w:color w:val="auto"/>
              </w:rPr>
              <w:t>Total notes payable</w:t>
            </w:r>
          </w:p>
        </w:tc>
        <w:tc>
          <w:tcPr>
            <w:tcW w:w="1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279,151</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160"/>
              <w:spacing w:after="0"/>
              <w:rPr>
                <w:sz w:val="20"/>
                <w:szCs w:val="20"/>
                <w:color w:val="auto"/>
              </w:rPr>
            </w:pPr>
            <w:r>
              <w:rPr>
                <w:rFonts w:ascii="Arial" w:cs="Arial" w:eastAsia="Arial" w:hAnsi="Arial"/>
                <w:sz w:val="16"/>
                <w:szCs w:val="16"/>
                <w:i w:val="1"/>
                <w:iCs w:val="1"/>
                <w:color w:val="auto"/>
              </w:rPr>
              <w:t>Unsecured fixed rate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5.90% notes</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2.55% notes</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250,000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2.75% notes</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275,000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7.48% debentures</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29,200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4.50% notes</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450,000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450,000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7"/>
        </w:trPr>
        <w:tc>
          <w:tcPr>
            <w:tcW w:w="4580" w:type="dxa"/>
            <w:vAlign w:val="bottom"/>
            <w:gridSpan w:val="2"/>
          </w:tcPr>
          <w:p>
            <w:pPr>
              <w:ind w:left="700"/>
              <w:spacing w:after="0"/>
              <w:rPr>
                <w:sz w:val="20"/>
                <w:szCs w:val="20"/>
                <w:color w:val="auto"/>
              </w:rPr>
            </w:pPr>
            <w:r>
              <w:rPr>
                <w:rFonts w:ascii="Arial" w:cs="Arial" w:eastAsia="Arial" w:hAnsi="Arial"/>
                <w:sz w:val="16"/>
                <w:szCs w:val="16"/>
                <w:color w:val="auto"/>
              </w:rPr>
              <w:t>Subtotal</w:t>
            </w:r>
          </w:p>
        </w:tc>
        <w:tc>
          <w:tcPr>
            <w:tcW w:w="1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1,994,200</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58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(discount)/premium and debt</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issuance costs</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(17,606)</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580" w:type="dxa"/>
            <w:vAlign w:val="bottom"/>
            <w:gridSpan w:val="2"/>
          </w:tcPr>
          <w:p>
            <w:pPr>
              <w:ind w:left="700"/>
              <w:spacing w:after="0"/>
              <w:rPr>
                <w:sz w:val="20"/>
                <w:szCs w:val="20"/>
                <w:color w:val="auto"/>
              </w:rPr>
            </w:pPr>
            <w:r>
              <w:rPr>
                <w:rFonts w:ascii="Arial" w:cs="Arial" w:eastAsia="Arial" w:hAnsi="Arial"/>
                <w:sz w:val="16"/>
                <w:szCs w:val="16"/>
                <w:color w:val="auto"/>
              </w:rPr>
              <w:t>Total senior notes and debentures</w:t>
            </w:r>
          </w:p>
        </w:tc>
        <w:tc>
          <w:tcPr>
            <w:tcW w:w="1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1,976,594</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600"/>
              <w:spacing w:after="0"/>
              <w:rPr>
                <w:sz w:val="20"/>
                <w:szCs w:val="20"/>
                <w:color w:val="auto"/>
              </w:rPr>
            </w:pPr>
            <w:r>
              <w:rPr>
                <w:rFonts w:ascii="Arial" w:cs="Arial" w:eastAsia="Arial" w:hAnsi="Arial"/>
                <w:sz w:val="16"/>
                <w:szCs w:val="16"/>
                <w:color w:val="auto"/>
              </w:rPr>
              <w:t>Various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71,590</w:t>
            </w:r>
          </w:p>
        </w:tc>
        <w:tc>
          <w:tcPr>
            <w:tcW w:w="100" w:type="dxa"/>
            <w:vAlign w:val="bottom"/>
          </w:tcPr>
          <w:p>
            <w:pPr>
              <w:spacing w:after="0"/>
              <w:rPr>
                <w:sz w:val="20"/>
                <w:szCs w:val="20"/>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192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2,798,452</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8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is 90 basis points resulting in a fixed rate of 2.62%.</w:t>
      </w:r>
    </w:p>
    <w:p>
      <w:pPr>
        <w:spacing w:after="0" w:line="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2016 was $251.5 million and the weighted average effective interest rate on borrowings under our revolving credit facility, before amortization of debt fees, was 1.30%.</w:t>
      </w:r>
    </w:p>
    <w:p>
      <w:pPr>
        <w:spacing w:after="0" w:line="1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revolving credit facility, term loan and other debt agreements include financial and other covenants that may limit our operating activities in the future. As of December 31, 2016,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w:t>
      </w:r>
    </w:p>
    <w:p>
      <w:pPr>
        <w:sectPr>
          <w:pgSz w:w="11900" w:h="16838" w:orient="portrait"/>
          <w:cols w:equalWidth="0" w:num="1">
            <w:col w:w="11420"/>
          </w:cols>
          <w:pgMar w:left="240" w:top="126" w:right="239" w:bottom="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6" w:right="239" w:bottom="0"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December 31, 2016:</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222,445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222,945</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275,513</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15,477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291,027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25,615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150,629</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64,687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215,362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250,700</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256,735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1,596,576</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132,706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71,376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1,800,658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2,274,447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466,305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71,590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2,812,342</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$275.0 million unsecured term loan matures on November 21, 2018, subject to a one-year extension at our option.</w:t>
      </w:r>
    </w:p>
    <w:p>
      <w:pPr>
        <w:spacing w:after="0" w:line="62"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$800.0 million revolving credit facility matures on April 20, 2020, subject to two six-month extensions at our option. As of December 31, 2016, there was no outstanding balance under this credit facility.</w:t>
      </w:r>
    </w:p>
    <w:p>
      <w:pPr>
        <w:spacing w:after="0" w:line="7"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premium/(discount) and debt issuance costs on certain mortgage loans, notes payable, and senior notes as of December 31,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(loss) income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 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December 31, 2016, we are party to two interest rate swap agreements that effectively fixed the rate on the term loan at 2.62%. Both swaps were designated and qualified as cash flow hedges and were recorded at fair value. Hedge ineffectiveness has not impacted earnings in 2016, 2015 and 2014, and we do not anticipate it will have a significant effect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and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13" w:lineRule="exact"/>
        <w:rPr>
          <w:sz w:val="20"/>
          <w:szCs w:val="20"/>
          <w:color w:val="auto"/>
        </w:rPr>
      </w:pPr>
    </w:p>
    <w:p>
      <w:pPr>
        <w:ind w:left="1700" w:right="460" w:hanging="802"/>
        <w:spacing w:after="0" w:line="277" w:lineRule="auto"/>
        <w:tabs>
          <w:tab w:leader="none" w:pos="1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4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196"/>
        </w:trPr>
        <w:tc>
          <w:tcPr>
            <w:tcW w:w="7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gridSpan w:val="6"/>
          </w:tcPr>
          <w:p>
            <w:pPr>
              <w:jc w:val="center"/>
              <w:ind w:left="434"/>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258,883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218,424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172,289</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169,198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154,232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154,060</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404,850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351,147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326,585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 (1)</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406,359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352,857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327,597</w:t>
            </w:r>
          </w:p>
        </w:tc>
        <w:tc>
          <w:tcPr>
            <w:tcW w:w="0" w:type="dxa"/>
            <w:vAlign w:val="bottom"/>
          </w:tcPr>
          <w:p>
            <w:pPr>
              <w:spacing w:after="0"/>
              <w:rPr>
                <w:sz w:val="1"/>
                <w:szCs w:val="1"/>
                <w:color w:val="auto"/>
              </w:rPr>
            </w:pPr>
          </w:p>
        </w:tc>
      </w:tr>
      <w:tr>
        <w:trPr>
          <w:trHeight w:val="67"/>
        </w:trPr>
        <w:tc>
          <w:tcPr>
            <w:tcW w:w="74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(2)</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71,869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69,920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68,410</w:t>
            </w:r>
          </w:p>
        </w:tc>
        <w:tc>
          <w:tcPr>
            <w:tcW w:w="0" w:type="dxa"/>
            <w:vAlign w:val="bottom"/>
          </w:tcPr>
          <w:p>
            <w:pPr>
              <w:spacing w:after="0"/>
              <w:rPr>
                <w:sz w:val="1"/>
                <w:szCs w:val="1"/>
                <w:color w:val="auto"/>
              </w:rPr>
            </w:pPr>
          </w:p>
        </w:tc>
      </w:tr>
      <w:tr>
        <w:trPr>
          <w:trHeight w:val="324"/>
        </w:trPr>
        <w:tc>
          <w:tcPr>
            <w:tcW w:w="7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60" w:right="480" w:hanging="652"/>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$19.1 million and the $10.5 million early extinguishment of debt charge incurred in 2015 and 2014, respectively, was excluded, our FFO available for common shareholders for 2015 and 2014 would have been $371.9 million and $338.1 million, respectively, and FFO available for common shareholders, per diluted share would have been $5.32 and $4.94, respectively.</w:t>
      </w:r>
    </w:p>
    <w:p>
      <w:pPr>
        <w:spacing w:after="0" w:line="20" w:lineRule="exact"/>
        <w:rPr>
          <w:rFonts w:ascii="Arial" w:cs="Arial" w:eastAsia="Arial" w:hAnsi="Arial"/>
          <w:sz w:val="18"/>
          <w:szCs w:val="18"/>
          <w:color w:val="auto"/>
        </w:rPr>
      </w:pPr>
    </w:p>
    <w:p>
      <w:pPr>
        <w:jc w:val="both"/>
        <w:ind w:left="660" w:right="80" w:hanging="652"/>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December 31, 2016, we were party to two interest rate swap agreements that effectively fix the rate on the $275.0 million term loan at 2.62%.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majority of our outstanding debt obligations (maturing at various times through 2046 or, with respect to capital lease obligations through 2106) have fixed interest rates which limit the risk of fluctuating interest rates. However, interest rate fluctuations may affect the fair value of our fixed rate debt instruments. At December 31, 2016, we had $2.7 billion of fixed-rate debt outstanding, including our $275.0 million term loan as the rate is effectively fixed by two interest rate swap agreements; we also had capital lease obligations of $71.6 million. If market interest rates used to calculate the fair value on our fixed-rate debt instruments at December 31, 2016 had been 1.0% higher, the fair value of those debt instruments on that date would have decreased by approximately $176.9 million. If market interest rates used to calculate the fair value on our fixed-rate debt instruments at December 31, 2016 had been 1.0% lower, the fair value of those debt instruments on that date would have increased by approximately $205.3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variable rate debt. At December 31, 2016, we had no variable rate debt outstanding.</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consolidated financial statements and supplementary data are included as a separate section of this Annual Report on Form 10-K commencing on page F-1 and are incorporated herein by reference.</w:t>
      </w:r>
    </w:p>
    <w:p>
      <w:pPr>
        <w:spacing w:after="0" w:line="193" w:lineRule="exact"/>
        <w:rPr>
          <w:sz w:val="20"/>
          <w:szCs w:val="20"/>
          <w:color w:val="auto"/>
        </w:rPr>
      </w:pPr>
    </w:p>
    <w:p>
      <w:pPr>
        <w:ind w:right="1060"/>
        <w:spacing w:after="0" w:line="375"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Assessment</w:t>
      </w:r>
    </w:p>
    <w:p>
      <w:pPr>
        <w:spacing w:after="0" w:line="94"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We carried out an assessment as of December 31, 2016 of the effectiveness of the design and operation of our disclosure controls and procedures and our internal control over financial reporting. This assessment was done under the supervision and with the participation of management, including our Chief Executive Officer and our Chief Financial Officer. Rules adopted by the Securities and Exchange Commission ("SEC") require that we present the conclusions of our principal executive officer and our principal financial officer about the effectiveness of our disclosure controls and procedures and the conclusions of our management about the effectiveness of our internal control over financial reporting as of the end of the period covered by this annual report.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6" w:right="2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 and Principal Financial Officer Certifications</w:t>
      </w:r>
    </w:p>
    <w:p>
      <w:pPr>
        <w:spacing w:after="0" w:line="94"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Included as Exhibits 31.1 and 31.2 to this Annual Report on Form 10-K are forms of “Certification” of our principal executive officer and our principal financial officer. The forms of Certification are required in accordance with Section 302 of the Sarbanes-Oxley Act of 2002. This section of this Annual Report on Form 10-K that you are currently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information required to be disclosed in our Exchange Act reports, such as this report on Form 10-K, is recorded, processed, summarized and reported within the time periods specified in the SEC’s rules and forms, and that such information is accumulated and communicated to our management, including our President and Chief Executive Officer and Executive Vice President-Chief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Establishing and maintaining internal control over financial reporting is a process designed by, or under the supervision of, our President and Chief Executive Officer and Executive Vice President-Chief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in the United States of America. This process includes policies and procedures that:</w:t>
      </w:r>
    </w:p>
    <w:p>
      <w:pPr>
        <w:spacing w:after="0" w:line="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w:t>
      </w:r>
    </w:p>
    <w:p>
      <w:pPr>
        <w:spacing w:after="0" w:line="20" w:lineRule="exact"/>
        <w:rPr>
          <w:rFonts w:ascii="Arial" w:cs="Arial" w:eastAsia="Arial" w:hAnsi="Arial"/>
          <w:sz w:val="17"/>
          <w:szCs w:val="17"/>
          <w:color w:val="auto"/>
        </w:rPr>
      </w:pPr>
    </w:p>
    <w:p>
      <w:pPr>
        <w:ind w:left="660" w:right="22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ind w:left="660" w:right="700" w:hanging="328"/>
        <w:spacing w:after="0" w:line="26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Management, including our Chief Executive Officer and Chief Financial Officer, do not expect that our 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or will be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may not be detected.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the Evaluations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evaluation by our Chief Executive Officer and our Chief Financial Officer of our disclosure controls and procedures and our internal control over financial reporting included a review of our procedures and procedures performed by internal audit, as well as discussions with our Disclosure Committee and others in our organization, as appropriate. In conducting this evaluation, our management used the criteria set forth by the Committee of Sponsoring Organizations of the Treadway Commission (COSO)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In the course of the evaluation, we sought to identify data errors, control problems or acts of fraud and to confirm that appropriate corrective action, including process improvements, were being undertaken. The evaluation of our disclosure controls and procedures and our internal control over financial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reporting is done on a quarterly basis, so that the conclusions concerning the effectiveness of such controls can be reported in our Quarterly Reports on Form 10-Q and Annual Reports on Form 10-K.</w:t>
      </w:r>
    </w:p>
    <w:p>
      <w:pPr>
        <w:spacing w:after="0" w:line="11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internal control over financial reporting is also assessed on an ongoing basis by personnel in our accounting department and by our independent auditors in connection with their audit and review activities. The overall goals of these various evaluation activities are to monitor our disclosure controls and procedures and our internal control over financial reporting and to make modifications as necessary. Our intent in this regard is that the disclosure controls and procedures and internal control over financial reporting will be maintained and updated (including with improvements and corrections) as conditions warrant. 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This information is important both for the evaluation generally and because the Section 302 certifications require that our Chief Executive Officer and our Chief Financial Officer disclose that information to the Audit Committee of our Board of Trustees and our independent auditors and also require us to report on related matters in this section of the Annual Report on Form 10-K. In the Public Company Accounting Oversight Board’s Auditing Standard No. 5, a “deficiency” in internal control over financial reporting exists when the design or operation of a control does not allow management or employees, in the normal course of performing their assigned functions, to prevent or detect misstatements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 A “material weakness” is defined in Auditing Standard No. 5 as a deficiency, or a combination of deficiencies, in internal control over financial reporting, such that there is a reasonable possibility that a material misstatement of the company’s annual or interim financial statements will not be prevented or detected on a timely basis.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Chief Executive Officer and Chief Financial Officer have 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 and provides reasonable assurance that information required to be disclosed in our Exchange Act reports is recorded, processed, summarized and reported within the time periods specified in the SEC’s rules and forms, and that such information is accumulated and communicated to our management to allow timely decisions regarding required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Internal Control over Financial Reporting</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Chief Executive Officer and Chief Financial Officer have conducted an evaluation of the effectiveness of the design and operation of our internal control over financial reporting as of the end of our most recent fiscal year. Based on that evaluation, the Chief Executive Officer and Chief Financial Officer concluded that such internal control over financial reporting was effective as of the end of our most recent fiscal year and provides reasonable assurance regarding the reliability of financial reporting and the preparation of financial statements for external purposes in accordance with generally accepted accounting principles in the United States of America.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Our Management</w:t>
      </w:r>
    </w:p>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management has issued a report on its assessment of the Trust’s internal control over financial reporting, which appears on page F-2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Our Independent Registered Public Accounting Firm</w:t>
      </w:r>
    </w:p>
    <w:p>
      <w:pPr>
        <w:spacing w:after="0" w:line="94" w:lineRule="exact"/>
        <w:rPr>
          <w:sz w:val="20"/>
          <w:szCs w:val="20"/>
          <w:color w:val="auto"/>
        </w:rPr>
      </w:pPr>
    </w:p>
    <w:p>
      <w:pPr>
        <w:ind w:right="200"/>
        <w:spacing w:after="0" w:line="341" w:lineRule="auto"/>
        <w:rPr>
          <w:sz w:val="20"/>
          <w:szCs w:val="20"/>
          <w:color w:val="auto"/>
        </w:rPr>
      </w:pPr>
      <w:r>
        <w:rPr>
          <w:rFonts w:ascii="Arial" w:cs="Arial" w:eastAsia="Arial" w:hAnsi="Arial"/>
          <w:sz w:val="16"/>
          <w:szCs w:val="16"/>
          <w:color w:val="auto"/>
        </w:rPr>
        <w:t>Grant Thornton LLP, our independent registered public accounting firm that audited the financial statements included in this Annual Report on Form 10-K, has issued an attestation report on the Trust’s internal control over financial reporting, which appears on page F-3 of this Annual Report on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our fourth fiscal quarter of 2016 that materially affected, or is reasonably likely to materially affect, our internal control over financial reporting.</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6" w:right="27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19"/>
          </w:cols>
          <w:pgMar w:left="240" w:top="126" w:right="1440"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Certain information required in Part III is omitted from this Report but is incorporated herein by reference from our Proxy Statement for the 2017 Annual Meeting of Shareholders (as amended or supplemented, the “Proxy Statement”).</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TRUSTEES, EXECUTIVE OFFICERS AND CORPORATE GOVERNANCE</w:t>
      </w:r>
    </w:p>
    <w:p>
      <w:pPr>
        <w:spacing w:after="0" w:line="9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spacing w:after="0" w:line="1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We have adopted a Code of Ethics, which is applicable to our Chief Executive Officer and senior financial officers. The Code of Ethics is available in the Corporate Governance section of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9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pacing w:after="0" w:line="206" w:lineRule="exact"/>
        <w:rPr>
          <w:sz w:val="20"/>
          <w:szCs w:val="20"/>
          <w:color w:val="auto"/>
        </w:rPr>
      </w:pPr>
    </w:p>
    <w:p>
      <w:pPr>
        <w:ind w:right="560"/>
        <w:spacing w:after="0" w:line="28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sections of the Proxy Statement entitled “Share Ownership” and “Equity Compensation Plan Information” and other information included in the Proxy Statement required by this Item 12 are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TRUSTEE INDEPENDENCE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94"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0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ind w:left="40" w:right="300"/>
        <w:spacing w:after="0" w:line="341" w:lineRule="auto"/>
        <w:rPr>
          <w:rFonts w:ascii="Arial" w:cs="Arial" w:eastAsia="Arial" w:hAnsi="Arial"/>
          <w:sz w:val="16"/>
          <w:szCs w:val="16"/>
          <w:color w:val="auto"/>
        </w:rPr>
      </w:pPr>
      <w:r>
        <w:rPr>
          <w:rFonts w:ascii="Arial" w:cs="Arial" w:eastAsia="Arial" w:hAnsi="Arial"/>
          <w:sz w:val="16"/>
          <w:szCs w:val="16"/>
          <w:color w:val="auto"/>
        </w:rPr>
        <w:t xml:space="preserve">Our consolidated financial statements and notes thereto, together with Management’s Report on Internal Control over Financial Reporting and Reports of Independent Registered Public Accounting Firm are included as a separate section of this Annual Report on Form 10-K commencing on page </w:t>
      </w:r>
      <w:hyperlink w:anchor="page56">
        <w:r>
          <w:rPr>
            <w:rFonts w:ascii="Arial" w:cs="Arial" w:eastAsia="Arial" w:hAnsi="Arial"/>
            <w:sz w:val="16"/>
            <w:szCs w:val="16"/>
            <w:u w:val="single" w:color="auto"/>
            <w:color w:val="0000EE"/>
          </w:rPr>
          <w:t>F-1</w:t>
        </w:r>
      </w:hyperlink>
      <w:r>
        <w:rPr>
          <w:rFonts w:ascii="Arial" w:cs="Arial" w:eastAsia="Arial" w:hAnsi="Arial"/>
          <w:sz w:val="16"/>
          <w:szCs w:val="16"/>
          <w:color w:val="auto"/>
        </w:rPr>
        <w:t>.</w:t>
      </w: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Financial Statement Schedules</w:t>
      </w:r>
    </w:p>
    <w:p>
      <w:pPr>
        <w:spacing w:after="0" w:line="148"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Our financial statement schedules are included in a separate section of this Annual Report on Form 10-K commencing on page </w:t>
      </w:r>
      <w:hyperlink w:anchor="page86">
        <w:r>
          <w:rPr>
            <w:rFonts w:ascii="Arial" w:cs="Arial" w:eastAsia="Arial" w:hAnsi="Arial"/>
            <w:sz w:val="18"/>
            <w:szCs w:val="18"/>
            <w:u w:val="single" w:color="auto"/>
            <w:color w:val="0000EE"/>
          </w:rPr>
          <w:t>F-31</w:t>
        </w:r>
      </w:hyperlink>
      <w:r>
        <w:rPr>
          <w:rFonts w:ascii="Arial" w:cs="Arial" w:eastAsia="Arial" w:hAnsi="Arial"/>
          <w:sz w:val="18"/>
          <w:szCs w:val="18"/>
          <w:color w:val="auto"/>
        </w:rPr>
        <w:t>.</w:t>
      </w: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Exhibits</w:t>
      </w:r>
    </w:p>
    <w:p>
      <w:pPr>
        <w:spacing w:after="0" w:line="148" w:lineRule="exact"/>
        <w:rPr>
          <w:sz w:val="20"/>
          <w:szCs w:val="20"/>
          <w:color w:val="auto"/>
        </w:rPr>
      </w:pPr>
    </w:p>
    <w:p>
      <w:pPr>
        <w:ind w:left="40" w:right="300"/>
        <w:spacing w:after="0" w:line="277" w:lineRule="auto"/>
        <w:rPr>
          <w:sz w:val="20"/>
          <w:szCs w:val="20"/>
          <w:color w:val="auto"/>
        </w:rPr>
      </w:pPr>
      <w:r>
        <w:rPr>
          <w:rFonts w:ascii="Arial" w:cs="Arial" w:eastAsia="Arial" w:hAnsi="Arial"/>
          <w:sz w:val="18"/>
          <w:szCs w:val="18"/>
          <w:color w:val="auto"/>
        </w:rPr>
        <w:t>A list of exhibits to this Annual Report on Form 10-K is set forth on the Exhibit Index immediately preceding such exhibits and is incorporated herein by reference.</w:t>
      </w:r>
    </w:p>
    <w:p>
      <w:pPr>
        <w:spacing w:after="0" w:line="332" w:lineRule="exact"/>
        <w:rPr>
          <w:sz w:val="20"/>
          <w:szCs w:val="20"/>
          <w:color w:val="auto"/>
        </w:rPr>
      </w:pPr>
    </w:p>
    <w:p>
      <w:pPr>
        <w:ind w:left="280" w:hanging="245"/>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 Exhibit Index</w:t>
      </w:r>
    </w:p>
    <w:p>
      <w:pPr>
        <w:spacing w:after="0" w:line="386" w:lineRule="exact"/>
        <w:rPr>
          <w:rFonts w:ascii="Arial" w:cs="Arial" w:eastAsia="Arial" w:hAnsi="Arial"/>
          <w:sz w:val="18"/>
          <w:szCs w:val="18"/>
          <w:color w:val="auto"/>
        </w:rPr>
      </w:pPr>
    </w:p>
    <w:p>
      <w:pPr>
        <w:ind w:left="280" w:hanging="245"/>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360"/>
          </w:cols>
          <w:pgMar w:left="240" w:top="12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60"/>
          </w:cols>
          <w:pgMar w:left="240" w:top="126" w:right="299" w:bottom="1440" w:gutter="0" w:footer="0" w:header="0"/>
          <w:type w:val="continuous"/>
        </w:sectPr>
      </w:pPr>
    </w:p>
    <w:bookmarkStart w:id="53" w:name="page54"/>
    <w:bookmarkEnd w:id="53"/>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19"/>
          </w:cols>
          <w:pgMar w:left="240" w:top="126" w:right="1440"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this February 13, 2017.</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Federal Realty Investment Trust</w:t>
      </w:r>
    </w:p>
    <w:p>
      <w:pPr>
        <w:spacing w:after="0" w:line="387" w:lineRule="exact"/>
        <w:rPr>
          <w:sz w:val="20"/>
          <w:szCs w:val="20"/>
          <w:color w:val="auto"/>
        </w:rPr>
      </w:pPr>
    </w:p>
    <w:p>
      <w:pPr>
        <w:ind w:left="5080"/>
        <w:spacing w:after="0"/>
        <w:tabs>
          <w:tab w:leader="none" w:pos="6280" w:val="left"/>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40640</wp:posOffset>
            </wp:positionV>
            <wp:extent cx="2458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61"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Donald C. Wood</w:t>
      </w:r>
    </w:p>
    <w:p>
      <w:pPr>
        <w:spacing w:after="0" w:line="3"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President, Chief Executive Officer and Trustee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20" w:type="dxa"/>
            <w:vAlign w:val="bottom"/>
          </w:tcPr>
          <w:p>
            <w:pPr>
              <w:spacing w:after="0"/>
              <w:rPr>
                <w:sz w:val="14"/>
                <w:szCs w:val="14"/>
                <w:color w:val="auto"/>
              </w:rPr>
            </w:pPr>
          </w:p>
        </w:tc>
        <w:tc>
          <w:tcPr>
            <w:tcW w:w="4360" w:type="dxa"/>
            <w:vAlign w:val="bottom"/>
            <w:gridSpan w:val="3"/>
          </w:tcPr>
          <w:p>
            <w:pPr>
              <w:ind w:left="2320"/>
              <w:spacing w:after="0"/>
              <w:rPr>
                <w:sz w:val="20"/>
                <w:szCs w:val="20"/>
                <w:color w:val="auto"/>
              </w:rPr>
            </w:pPr>
            <w:r>
              <w:rPr>
                <w:rFonts w:ascii="Arial" w:cs="Arial" w:eastAsia="Arial" w:hAnsi="Arial"/>
                <w:sz w:val="14"/>
                <w:szCs w:val="14"/>
                <w:b w:val="1"/>
                <w:bCs w:val="1"/>
                <w:color w:val="auto"/>
              </w:rPr>
              <w:t>Title</w:t>
            </w:r>
          </w:p>
        </w:tc>
        <w:tc>
          <w:tcPr>
            <w:tcW w:w="1440" w:type="dxa"/>
            <w:vAlign w:val="bottom"/>
          </w:tcPr>
          <w:p>
            <w:pPr>
              <w:spacing w:after="0"/>
              <w:rPr>
                <w:sz w:val="14"/>
                <w:szCs w:val="14"/>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ONALD</w:t>
            </w:r>
            <w:r>
              <w:rPr>
                <w:rFonts w:ascii="Arial" w:cs="Arial" w:eastAsia="Arial" w:hAnsi="Arial"/>
                <w:sz w:val="18"/>
                <w:szCs w:val="18"/>
                <w:color w:val="auto"/>
                <w:w w:val="99"/>
              </w:rPr>
              <w:t xml:space="preserve"> C. W</w:t>
            </w:r>
            <w:r>
              <w:rPr>
                <w:rFonts w:ascii="Arial" w:cs="Arial" w:eastAsia="Arial" w:hAnsi="Arial"/>
                <w:sz w:val="14"/>
                <w:szCs w:val="14"/>
                <w:color w:val="auto"/>
                <w:w w:val="99"/>
              </w:rPr>
              <w:t>OOD</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President, Chief Executive Officer and</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2017</w:t>
            </w:r>
          </w:p>
        </w:tc>
        <w:tc>
          <w:tcPr>
            <w:tcW w:w="0" w:type="dxa"/>
            <w:vAlign w:val="bottom"/>
          </w:tcPr>
          <w:p>
            <w:pPr>
              <w:spacing w:after="0"/>
              <w:rPr>
                <w:sz w:val="1"/>
                <w:szCs w:val="1"/>
                <w:color w:val="auto"/>
              </w:rPr>
            </w:pPr>
          </w:p>
        </w:tc>
      </w:tr>
      <w:tr>
        <w:trPr>
          <w:trHeight w:val="27"/>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360" w:type="dxa"/>
            <w:vAlign w:val="bottom"/>
            <w:gridSpan w:val="3"/>
            <w:vMerge w:val="restart"/>
          </w:tcPr>
          <w:p>
            <w:pPr>
              <w:ind w:left="720"/>
              <w:spacing w:after="0"/>
              <w:rPr>
                <w:sz w:val="20"/>
                <w:szCs w:val="20"/>
                <w:color w:val="auto"/>
              </w:rPr>
            </w:pPr>
            <w:r>
              <w:rPr>
                <w:rFonts w:ascii="Arial" w:cs="Arial" w:eastAsia="Arial" w:hAnsi="Arial"/>
                <w:sz w:val="18"/>
                <w:szCs w:val="18"/>
                <w:color w:val="auto"/>
              </w:rPr>
              <w:t>Trustee (Principal Executive Officer)</w:t>
            </w: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06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4"/>
              </w:rPr>
              <w:t>Donald C. Wood</w:t>
            </w:r>
          </w:p>
        </w:tc>
        <w:tc>
          <w:tcPr>
            <w:tcW w:w="4360" w:type="dxa"/>
            <w:vAlign w:val="bottom"/>
            <w:gridSpan w:val="3"/>
            <w:vMerge w:val="continue"/>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1400" w:type="dxa"/>
            <w:vAlign w:val="bottom"/>
          </w:tcPr>
          <w:p>
            <w:pPr>
              <w:ind w:left="12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60" w:type="dxa"/>
            <w:vAlign w:val="bottom"/>
            <w:gridSpan w:val="4"/>
          </w:tcPr>
          <w:p>
            <w:pPr>
              <w:jc w:val="center"/>
              <w:ind w:right="10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G</w:t>
            </w:r>
            <w:r>
              <w:rPr>
                <w:rFonts w:ascii="Arial" w:cs="Arial" w:eastAsia="Arial" w:hAnsi="Arial"/>
                <w:sz w:val="14"/>
                <w:szCs w:val="14"/>
                <w:color w:val="auto"/>
              </w:rPr>
              <w:t>UGLIELMONE</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Executive Vice President-Chief Financial</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2017</w:t>
            </w:r>
          </w:p>
        </w:tc>
        <w:tc>
          <w:tcPr>
            <w:tcW w:w="0" w:type="dxa"/>
            <w:vAlign w:val="bottom"/>
          </w:tcPr>
          <w:p>
            <w:pPr>
              <w:spacing w:after="0"/>
              <w:rPr>
                <w:sz w:val="1"/>
                <w:szCs w:val="1"/>
                <w:color w:val="auto"/>
              </w:rPr>
            </w:pPr>
          </w:p>
        </w:tc>
      </w:tr>
      <w:tr>
        <w:trPr>
          <w:trHeight w:val="27"/>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360" w:type="dxa"/>
            <w:vAlign w:val="bottom"/>
            <w:gridSpan w:val="3"/>
            <w:vMerge w:val="restart"/>
          </w:tcPr>
          <w:p>
            <w:pPr>
              <w:ind w:left="720"/>
              <w:spacing w:after="0"/>
              <w:rPr>
                <w:sz w:val="20"/>
                <w:szCs w:val="20"/>
                <w:color w:val="auto"/>
              </w:rPr>
            </w:pPr>
            <w:r>
              <w:rPr>
                <w:rFonts w:ascii="Arial" w:cs="Arial" w:eastAsia="Arial" w:hAnsi="Arial"/>
                <w:sz w:val="18"/>
                <w:szCs w:val="18"/>
                <w:color w:val="auto"/>
              </w:rPr>
              <w:t>Officer and Treasurer (Principal</w:t>
            </w: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06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3"/>
              </w:rPr>
              <w:t>Daniel Guglielmone</w:t>
            </w:r>
          </w:p>
        </w:tc>
        <w:tc>
          <w:tcPr>
            <w:tcW w:w="4360" w:type="dxa"/>
            <w:vAlign w:val="bottom"/>
            <w:gridSpan w:val="3"/>
            <w:vMerge w:val="continue"/>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360" w:type="dxa"/>
            <w:vAlign w:val="bottom"/>
            <w:gridSpan w:val="3"/>
          </w:tcPr>
          <w:p>
            <w:pPr>
              <w:ind w:left="720"/>
              <w:spacing w:after="0"/>
              <w:rPr>
                <w:sz w:val="20"/>
                <w:szCs w:val="20"/>
                <w:color w:val="auto"/>
              </w:rPr>
            </w:pPr>
            <w:r>
              <w:rPr>
                <w:rFonts w:ascii="Arial" w:cs="Arial" w:eastAsia="Arial" w:hAnsi="Arial"/>
                <w:sz w:val="18"/>
                <w:szCs w:val="18"/>
                <w:color w:val="auto"/>
              </w:rPr>
              <w:t>Financial and Accounting Officer)</w:t>
            </w:r>
          </w:p>
        </w:tc>
        <w:tc>
          <w:tcPr>
            <w:tcW w:w="1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3"/>
        </w:trPr>
        <w:tc>
          <w:tcPr>
            <w:tcW w:w="1400" w:type="dxa"/>
            <w:vAlign w:val="bottom"/>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60" w:type="dxa"/>
            <w:vAlign w:val="bottom"/>
            <w:gridSpan w:val="4"/>
          </w:tcPr>
          <w:p>
            <w:pPr>
              <w:jc w:val="center"/>
              <w:ind w:right="104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OSEPH</w:t>
            </w:r>
            <w:r>
              <w:rPr>
                <w:rFonts w:ascii="Arial" w:cs="Arial" w:eastAsia="Arial" w:hAnsi="Arial"/>
                <w:sz w:val="18"/>
                <w:szCs w:val="18"/>
                <w:color w:val="auto"/>
                <w:w w:val="96"/>
              </w:rPr>
              <w:t xml:space="preserve"> S. V</w:t>
            </w:r>
            <w:r>
              <w:rPr>
                <w:rFonts w:ascii="Arial" w:cs="Arial" w:eastAsia="Arial" w:hAnsi="Arial"/>
                <w:sz w:val="14"/>
                <w:szCs w:val="14"/>
                <w:color w:val="auto"/>
                <w:w w:val="96"/>
              </w:rPr>
              <w:t>ASSALLUZZO</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Non-Executive Chairman</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2017</w:t>
            </w:r>
          </w:p>
        </w:tc>
        <w:tc>
          <w:tcPr>
            <w:tcW w:w="0" w:type="dxa"/>
            <w:vAlign w:val="bottom"/>
          </w:tcPr>
          <w:p>
            <w:pPr>
              <w:spacing w:after="0"/>
              <w:rPr>
                <w:sz w:val="1"/>
                <w:szCs w:val="1"/>
                <w:color w:val="auto"/>
              </w:rPr>
            </w:pPr>
          </w:p>
        </w:tc>
      </w:tr>
      <w:tr>
        <w:trPr>
          <w:trHeight w:val="27"/>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3060" w:type="dxa"/>
            <w:vAlign w:val="bottom"/>
            <w:gridSpan w:val="4"/>
          </w:tcPr>
          <w:p>
            <w:pPr>
              <w:jc w:val="center"/>
              <w:ind w:right="1380"/>
              <w:spacing w:after="0"/>
              <w:rPr>
                <w:sz w:val="20"/>
                <w:szCs w:val="20"/>
                <w:color w:val="auto"/>
              </w:rPr>
            </w:pPr>
            <w:r>
              <w:rPr>
                <w:rFonts w:ascii="Arial" w:cs="Arial" w:eastAsia="Arial" w:hAnsi="Arial"/>
                <w:sz w:val="14"/>
                <w:szCs w:val="14"/>
                <w:b w:val="1"/>
                <w:bCs w:val="1"/>
                <w:color w:val="auto"/>
                <w:w w:val="88"/>
              </w:rPr>
              <w:t>Joseph S. Vassalluzzo</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2"/>
        </w:trPr>
        <w:tc>
          <w:tcPr>
            <w:tcW w:w="140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ON</w:t>
            </w:r>
            <w:r>
              <w:rPr>
                <w:rFonts w:ascii="Arial" w:cs="Arial" w:eastAsia="Arial" w:hAnsi="Arial"/>
                <w:sz w:val="18"/>
                <w:szCs w:val="18"/>
                <w:color w:val="auto"/>
                <w:w w:val="95"/>
              </w:rPr>
              <w:t xml:space="preserve"> E. B</w:t>
            </w:r>
            <w:r>
              <w:rPr>
                <w:rFonts w:ascii="Arial" w:cs="Arial" w:eastAsia="Arial" w:hAnsi="Arial"/>
                <w:sz w:val="14"/>
                <w:szCs w:val="14"/>
                <w:color w:val="auto"/>
                <w:w w:val="95"/>
              </w:rPr>
              <w:t>ORTZ</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2017</w:t>
            </w:r>
          </w:p>
        </w:tc>
        <w:tc>
          <w:tcPr>
            <w:tcW w:w="0" w:type="dxa"/>
            <w:vAlign w:val="bottom"/>
          </w:tcPr>
          <w:p>
            <w:pPr>
              <w:spacing w:after="0"/>
              <w:rPr>
                <w:sz w:val="1"/>
                <w:szCs w:val="1"/>
                <w:color w:val="auto"/>
              </w:rPr>
            </w:pPr>
          </w:p>
        </w:tc>
      </w:tr>
      <w:tr>
        <w:trPr>
          <w:trHeight w:val="27"/>
        </w:trPr>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5"/>
              </w:rPr>
              <w:t>Jon E. Bortz</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8"/>
        </w:trPr>
        <w:tc>
          <w:tcPr>
            <w:tcW w:w="1720" w:type="dxa"/>
            <w:vAlign w:val="bottom"/>
            <w:gridSpan w:val="2"/>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AVID</w:t>
            </w:r>
            <w:r>
              <w:rPr>
                <w:rFonts w:ascii="Arial" w:cs="Arial" w:eastAsia="Arial" w:hAnsi="Arial"/>
                <w:sz w:val="18"/>
                <w:szCs w:val="18"/>
                <w:color w:val="auto"/>
                <w:w w:val="97"/>
              </w:rPr>
              <w:t xml:space="preserve"> W. F</w:t>
            </w:r>
            <w:r>
              <w:rPr>
                <w:rFonts w:ascii="Arial" w:cs="Arial" w:eastAsia="Arial" w:hAnsi="Arial"/>
                <w:sz w:val="14"/>
                <w:szCs w:val="14"/>
                <w:color w:val="auto"/>
                <w:w w:val="97"/>
              </w:rPr>
              <w:t>AEDER</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2017</w:t>
            </w:r>
          </w:p>
        </w:tc>
        <w:tc>
          <w:tcPr>
            <w:tcW w:w="0" w:type="dxa"/>
            <w:vAlign w:val="bottom"/>
          </w:tcPr>
          <w:p>
            <w:pPr>
              <w:spacing w:after="0"/>
              <w:rPr>
                <w:sz w:val="1"/>
                <w:szCs w:val="1"/>
                <w:color w:val="auto"/>
              </w:rPr>
            </w:pPr>
          </w:p>
        </w:tc>
      </w:tr>
      <w:tr>
        <w:trPr>
          <w:trHeight w:val="27"/>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3060" w:type="dxa"/>
            <w:vAlign w:val="bottom"/>
            <w:gridSpan w:val="4"/>
          </w:tcPr>
          <w:p>
            <w:pPr>
              <w:jc w:val="center"/>
              <w:ind w:right="1380"/>
              <w:spacing w:after="0"/>
              <w:rPr>
                <w:sz w:val="20"/>
                <w:szCs w:val="20"/>
                <w:color w:val="auto"/>
              </w:rPr>
            </w:pPr>
            <w:r>
              <w:rPr>
                <w:rFonts w:ascii="Arial" w:cs="Arial" w:eastAsia="Arial" w:hAnsi="Arial"/>
                <w:sz w:val="14"/>
                <w:szCs w:val="14"/>
                <w:b w:val="1"/>
                <w:bCs w:val="1"/>
                <w:color w:val="auto"/>
                <w:w w:val="95"/>
              </w:rPr>
              <w:t>David W. Faeder</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3"/>
        </w:trPr>
        <w:tc>
          <w:tcPr>
            <w:tcW w:w="14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RISTIN</w:t>
            </w:r>
            <w:r>
              <w:rPr>
                <w:rFonts w:ascii="Arial" w:cs="Arial" w:eastAsia="Arial" w:hAnsi="Arial"/>
                <w:sz w:val="18"/>
                <w:szCs w:val="18"/>
                <w:color w:val="auto"/>
              </w:rPr>
              <w:t xml:space="preserve"> G</w:t>
            </w:r>
            <w:r>
              <w:rPr>
                <w:rFonts w:ascii="Arial" w:cs="Arial" w:eastAsia="Arial" w:hAnsi="Arial"/>
                <w:sz w:val="14"/>
                <w:szCs w:val="14"/>
                <w:color w:val="auto"/>
              </w:rPr>
              <w:t>AMBLE</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2017</w:t>
            </w:r>
          </w:p>
        </w:tc>
        <w:tc>
          <w:tcPr>
            <w:tcW w:w="0" w:type="dxa"/>
            <w:vAlign w:val="bottom"/>
          </w:tcPr>
          <w:p>
            <w:pPr>
              <w:spacing w:after="0"/>
              <w:rPr>
                <w:sz w:val="1"/>
                <w:szCs w:val="1"/>
                <w:color w:val="auto"/>
              </w:rPr>
            </w:pPr>
          </w:p>
        </w:tc>
      </w:tr>
      <w:tr>
        <w:trPr>
          <w:trHeight w:val="27"/>
        </w:trPr>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6"/>
              </w:rPr>
              <w:t>Kristin Gamble</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2"/>
        </w:trPr>
        <w:tc>
          <w:tcPr>
            <w:tcW w:w="4460" w:type="dxa"/>
            <w:vAlign w:val="bottom"/>
            <w:gridSpan w:val="5"/>
          </w:tcPr>
          <w:p>
            <w:pPr>
              <w:jc w:val="center"/>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7"/>
                <w:szCs w:val="17"/>
                <w:color w:val="auto"/>
              </w:rPr>
              <w:t>E</w:t>
            </w:r>
            <w:r>
              <w:rPr>
                <w:rFonts w:ascii="Arial" w:cs="Arial" w:eastAsia="Arial" w:hAnsi="Arial"/>
                <w:sz w:val="14"/>
                <w:szCs w:val="14"/>
                <w:color w:val="auto"/>
              </w:rPr>
              <w:t xml:space="preserve">LIZABETH </w:t>
            </w:r>
            <w:r>
              <w:rPr>
                <w:rFonts w:ascii="Arial" w:cs="Arial" w:eastAsia="Arial" w:hAnsi="Arial"/>
                <w:sz w:val="17"/>
                <w:szCs w:val="17"/>
                <w:color w:val="auto"/>
              </w:rPr>
              <w:t>I. H</w:t>
            </w:r>
            <w:r>
              <w:rPr>
                <w:rFonts w:ascii="Arial" w:cs="Arial" w:eastAsia="Arial" w:hAnsi="Arial"/>
                <w:sz w:val="14"/>
                <w:szCs w:val="14"/>
                <w:color w:val="auto"/>
              </w:rPr>
              <w:t>OLLAND</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2017</w:t>
            </w:r>
          </w:p>
        </w:tc>
        <w:tc>
          <w:tcPr>
            <w:tcW w:w="0" w:type="dxa"/>
            <w:vAlign w:val="bottom"/>
          </w:tcPr>
          <w:p>
            <w:pPr>
              <w:spacing w:after="0"/>
              <w:rPr>
                <w:sz w:val="1"/>
                <w:szCs w:val="1"/>
                <w:color w:val="auto"/>
              </w:rPr>
            </w:pPr>
          </w:p>
        </w:tc>
      </w:tr>
      <w:tr>
        <w:trPr>
          <w:trHeight w:val="27"/>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3060" w:type="dxa"/>
            <w:vAlign w:val="bottom"/>
            <w:gridSpan w:val="4"/>
          </w:tcPr>
          <w:p>
            <w:pPr>
              <w:jc w:val="center"/>
              <w:ind w:right="1380"/>
              <w:spacing w:after="0"/>
              <w:rPr>
                <w:sz w:val="20"/>
                <w:szCs w:val="20"/>
                <w:color w:val="auto"/>
              </w:rPr>
            </w:pPr>
            <w:r>
              <w:rPr>
                <w:rFonts w:ascii="Arial" w:cs="Arial" w:eastAsia="Arial" w:hAnsi="Arial"/>
                <w:sz w:val="14"/>
                <w:szCs w:val="14"/>
                <w:b w:val="1"/>
                <w:bCs w:val="1"/>
                <w:color w:val="auto"/>
                <w:w w:val="96"/>
              </w:rPr>
              <w:t>Elizabeth I. Holland</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2"/>
        </w:trPr>
        <w:tc>
          <w:tcPr>
            <w:tcW w:w="14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AIL</w:t>
            </w:r>
            <w:r>
              <w:rPr>
                <w:rFonts w:ascii="Arial" w:cs="Arial" w:eastAsia="Arial" w:hAnsi="Arial"/>
                <w:sz w:val="18"/>
                <w:szCs w:val="18"/>
                <w:color w:val="auto"/>
                <w:w w:val="95"/>
              </w:rPr>
              <w:t xml:space="preserve"> P. S</w:t>
            </w:r>
            <w:r>
              <w:rPr>
                <w:rFonts w:ascii="Arial" w:cs="Arial" w:eastAsia="Arial" w:hAnsi="Arial"/>
                <w:sz w:val="14"/>
                <w:szCs w:val="14"/>
                <w:color w:val="auto"/>
                <w:w w:val="95"/>
              </w:rPr>
              <w:t>TEINEL</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2017</w:t>
            </w:r>
          </w:p>
        </w:tc>
        <w:tc>
          <w:tcPr>
            <w:tcW w:w="0" w:type="dxa"/>
            <w:vAlign w:val="bottom"/>
          </w:tcPr>
          <w:p>
            <w:pPr>
              <w:spacing w:after="0"/>
              <w:rPr>
                <w:sz w:val="1"/>
                <w:szCs w:val="1"/>
                <w:color w:val="auto"/>
              </w:rPr>
            </w:pPr>
          </w:p>
        </w:tc>
      </w:tr>
      <w:tr>
        <w:trPr>
          <w:trHeight w:val="27"/>
        </w:trPr>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2"/>
              </w:rPr>
              <w:t>Gail P. Steinel</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2"/>
        </w:trPr>
        <w:tc>
          <w:tcPr>
            <w:tcW w:w="1400" w:type="dxa"/>
            <w:vAlign w:val="bottom"/>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60" w:type="dxa"/>
            <w:vAlign w:val="bottom"/>
            <w:gridSpan w:val="4"/>
          </w:tcPr>
          <w:p>
            <w:pPr>
              <w:jc w:val="center"/>
              <w:ind w:right="1040"/>
              <w:spacing w:after="0"/>
              <w:rPr>
                <w:sz w:val="20"/>
                <w:szCs w:val="20"/>
                <w:color w:val="auto"/>
              </w:rPr>
            </w:pPr>
            <w:r>
              <w:rPr>
                <w:rFonts w:ascii="Arial" w:cs="Arial" w:eastAsia="Arial" w:hAnsi="Arial"/>
                <w:sz w:val="18"/>
                <w:szCs w:val="18"/>
                <w:color w:val="auto"/>
                <w:w w:val="99"/>
              </w:rPr>
              <w:t>W</w:t>
            </w:r>
            <w:r>
              <w:rPr>
                <w:rFonts w:ascii="Arial" w:cs="Arial" w:eastAsia="Arial" w:hAnsi="Arial"/>
                <w:sz w:val="14"/>
                <w:szCs w:val="14"/>
                <w:color w:val="auto"/>
                <w:w w:val="99"/>
              </w:rPr>
              <w:t>ARREN</w:t>
            </w:r>
            <w:r>
              <w:rPr>
                <w:rFonts w:ascii="Arial" w:cs="Arial" w:eastAsia="Arial" w:hAnsi="Arial"/>
                <w:sz w:val="18"/>
                <w:szCs w:val="18"/>
                <w:color w:val="auto"/>
                <w:w w:val="99"/>
              </w:rPr>
              <w:t xml:space="preserve"> M. T</w:t>
            </w:r>
            <w:r>
              <w:rPr>
                <w:rFonts w:ascii="Arial" w:cs="Arial" w:eastAsia="Arial" w:hAnsi="Arial"/>
                <w:sz w:val="14"/>
                <w:szCs w:val="14"/>
                <w:color w:val="auto"/>
                <w:w w:val="99"/>
              </w:rPr>
              <w:t>HOMPSON</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2017</w:t>
            </w:r>
          </w:p>
        </w:tc>
        <w:tc>
          <w:tcPr>
            <w:tcW w:w="0" w:type="dxa"/>
            <w:vAlign w:val="bottom"/>
          </w:tcPr>
          <w:p>
            <w:pPr>
              <w:spacing w:after="0"/>
              <w:rPr>
                <w:sz w:val="1"/>
                <w:szCs w:val="1"/>
                <w:color w:val="auto"/>
              </w:rPr>
            </w:pPr>
          </w:p>
        </w:tc>
      </w:tr>
      <w:tr>
        <w:trPr>
          <w:trHeight w:val="27"/>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306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6"/>
              </w:rPr>
              <w:t>Warren M. Thompson</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6" w:right="29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60"/>
          </w:cols>
          <w:pgMar w:left="240" w:top="126" w:right="29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and Item 15(a)(1) and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Financial Statements</w:t>
            </w:r>
          </w:p>
        </w:tc>
        <w:tc>
          <w:tcPr>
            <w:tcW w:w="148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8"/>
                <w:szCs w:val="18"/>
                <w:color w:val="auto"/>
              </w:rPr>
              <w:t>Page No.</w:t>
            </w:r>
          </w:p>
        </w:tc>
      </w:tr>
      <w:tr>
        <w:trPr>
          <w:trHeight w:val="196"/>
        </w:trPr>
        <w:tc>
          <w:tcPr>
            <w:tcW w:w="9940" w:type="dxa"/>
            <w:vAlign w:val="bottom"/>
          </w:tcPr>
          <w:p>
            <w:pPr>
              <w:ind w:left="40"/>
              <w:spacing w:after="0" w:line="196" w:lineRule="exact"/>
              <w:rPr>
                <w:sz w:val="20"/>
                <w:szCs w:val="20"/>
                <w:color w:val="auto"/>
              </w:rPr>
            </w:pPr>
            <w:r>
              <w:rPr>
                <w:rFonts w:ascii="Arial" w:cs="Arial" w:eastAsia="Arial" w:hAnsi="Arial"/>
                <w:sz w:val="18"/>
                <w:szCs w:val="18"/>
                <w:color w:val="auto"/>
              </w:rPr>
              <w:t>Management Assessment Report on Internal Control over Financial Reporting</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F-2</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F-3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202"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F-4</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F-5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202"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F-6</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 of Shareholders’ Equity</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F-7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202"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F-8</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0"/>
              <w:spacing w:after="0" w:line="202"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F-9</w:t>
              </w:r>
            </w:hyperlink>
          </w:p>
        </w:tc>
      </w:tr>
      <w:tr>
        <w:trPr>
          <w:trHeight w:val="324"/>
        </w:trPr>
        <w:tc>
          <w:tcPr>
            <w:tcW w:w="994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Financial Statement Schedules</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Schedule III—Summary of Real Estate and Accumulated Depreciation</w:t>
            </w:r>
          </w:p>
        </w:tc>
        <w:tc>
          <w:tcPr>
            <w:tcW w:w="1120" w:type="dxa"/>
            <w:vAlign w:val="bottom"/>
          </w:tcPr>
          <w:p>
            <w:pPr>
              <w:spacing w:after="0"/>
              <w:rPr>
                <w:sz w:val="17"/>
                <w:szCs w:val="17"/>
                <w:color w:val="auto"/>
              </w:rPr>
            </w:pPr>
          </w:p>
        </w:tc>
        <w:tc>
          <w:tcPr>
            <w:tcW w:w="360" w:type="dxa"/>
            <w:vAlign w:val="bottom"/>
            <w:gridSpan w:val="3"/>
          </w:tcPr>
          <w:p>
            <w:pPr>
              <w:jc w:val="right"/>
              <w:ind w:right="20"/>
              <w:spacing w:after="0" w:line="202" w:lineRule="exact"/>
              <w:rPr>
                <w:rFonts w:ascii="Arial" w:cs="Arial" w:eastAsia="Arial" w:hAnsi="Arial"/>
                <w:sz w:val="18"/>
                <w:szCs w:val="18"/>
                <w:color w:val="0000EE"/>
                <w:w w:val="86"/>
              </w:rPr>
            </w:pPr>
            <w:hyperlink w:anchor="page86">
              <w:r>
                <w:rPr>
                  <w:rFonts w:ascii="Arial" w:cs="Arial" w:eastAsia="Arial" w:hAnsi="Arial"/>
                  <w:sz w:val="18"/>
                  <w:szCs w:val="18"/>
                  <w:color w:val="0000EE"/>
                  <w:w w:val="86"/>
                </w:rPr>
                <w:t>F-31</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9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Schedule IV—Mortgage Loans on Real Estate</w:t>
            </w:r>
          </w:p>
        </w:tc>
        <w:tc>
          <w:tcPr>
            <w:tcW w:w="112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20"/>
              <w:spacing w:after="0" w:line="202" w:lineRule="exact"/>
              <w:rPr>
                <w:rFonts w:ascii="Arial" w:cs="Arial" w:eastAsia="Arial" w:hAnsi="Arial"/>
                <w:sz w:val="18"/>
                <w:szCs w:val="18"/>
                <w:color w:val="0000EE"/>
                <w:w w:val="86"/>
              </w:rPr>
            </w:pPr>
            <w:hyperlink w:anchor="page94">
              <w:r>
                <w:rPr>
                  <w:rFonts w:ascii="Arial" w:cs="Arial" w:eastAsia="Arial" w:hAnsi="Arial"/>
                  <w:sz w:val="18"/>
                  <w:szCs w:val="18"/>
                  <w:color w:val="0000EE"/>
                  <w:w w:val="86"/>
                </w:rPr>
                <w:t>F-39</w:t>
              </w:r>
            </w:hyperlink>
          </w:p>
        </w:tc>
      </w:tr>
      <w:tr>
        <w:trPr>
          <w:trHeight w:val="47"/>
        </w:trPr>
        <w:tc>
          <w:tcPr>
            <w:tcW w:w="99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48"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All other schedules have been omitted either because the information is not applicable, not material, or is disclosed in our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Assessment Report on Internal Control over Financial Reporting</w:t>
      </w:r>
    </w:p>
    <w:p>
      <w:pPr>
        <w:spacing w:after="0" w:line="9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management of Federal Realty Investment Trust (the "Trust") is responsible for establishing and maintaining adequate internal control over financial reporting. Establishing and maintaining internal control over financial reporting is a process designed by, or under the supervision of, our President and Chief Executive Officer and Executive Vice President - Chief Financial Officer and Treasurer,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w:t>
      </w:r>
    </w:p>
    <w:p>
      <w:pPr>
        <w:spacing w:after="0" w:line="20" w:lineRule="exact"/>
        <w:rPr>
          <w:rFonts w:ascii="Arial" w:cs="Arial" w:eastAsia="Arial" w:hAnsi="Arial"/>
          <w:sz w:val="17"/>
          <w:szCs w:val="17"/>
          <w:color w:val="auto"/>
        </w:rPr>
      </w:pPr>
    </w:p>
    <w:p>
      <w:pPr>
        <w:ind w:left="660" w:right="220" w:hanging="328"/>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ind w:left="660" w:right="700" w:hanging="328"/>
        <w:spacing w:after="0" w:line="26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Management, including our Chief Executive Officer and Chief Financial Officer, do not expect that our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Management conducted an assessment of the effectiveness of the Trust’s internal control over financial reporting as of December 31, 2016. In making this assessment, it used the criteria set forth by the Committee of Sponsoring Organizations of the Treadway Commission (COSO)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Based on this assessment, management concluded that our internal control over financial reporting is effective, based on those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2016.</w:t>
      </w:r>
    </w:p>
    <w:p>
      <w:pPr>
        <w:spacing w:after="0" w:line="13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Grant Thornton LLP, the independent registered public accounting firm that audited the Trust’s consolidated financial statements included in this Annual Report on Form 10-K, has issued an attestation report on the Trust’s internal control over financial reporting, which appears on page F-3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 of Federal Realty Investment Trust</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have audited the internal control over financial reporting of Federal Realty Investment Trust (a Maryland real estate investment trust) and Subsidiaries (collectively, the "Trust") as of December 31, 2016,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The Trust’s management is responsible for maintaining effective internal control over financial reporting and for its assessment of the effectiveness of internal control over financial reporting, included in the accompanying Management Assessment Report on Internal Control over Financial Reporting. Our responsibility is to express an opinion on the Trust’s internal control over financial reporting based on our audit.</w:t>
      </w:r>
    </w:p>
    <w:p>
      <w:pPr>
        <w:spacing w:after="0" w:line="137"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In our opinion, Federal Realty Investment Trust and Subsidiaries maintained, in all material respects, effective internal control over financial reporting as of December 31, 2016,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1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financial statements of the Trust as of and for the year ended December 31, 2016 and our report dated February 13, 2017 expressed an unqualified opinion on those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Arlington,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2017</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60"/>
          </w:cols>
          <w:pgMar w:left="240" w:top="126" w:right="29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 of Federal Realty Investment Trust</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Federal Realty Investment Trust (a Maryland real estate investment trust) and Subsidiaries (collectively, the "Trust") as of December 31, 2016 and 2015, and the related consolidated statements of comprehensive income, changes in shareholders’ equity, and cash flows for each of the three years in the period ended December 31, 2016. Our audits of the basic consolidated financial statements included the financial statement schedules listed in the index appearing under Item 15(a)(2). These financial statements and financial statement schedules are the responsibility of the Trust’s management. Our responsibility is to express an opinion on these financial statements and financial statement schedules based on our audits.</w:t>
      </w:r>
    </w:p>
    <w:p>
      <w:pPr>
        <w:spacing w:after="0" w:line="13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Federal Realty Investment Trust and Subsidiaries as of December 31, 2016 and 2015, and the results of their operations and their cash flows for each of the three years in the period ended December 31, 2016, in conformity with accounting principles generally accepted in the United States of America. Also in our opinion, the related financial statement schedules, when considered in relation to the basic consolidated financial statements taken as a whole, present fairly, in all material respects, the information set forth therein.</w:t>
      </w:r>
    </w:p>
    <w:p>
      <w:pPr>
        <w:spacing w:after="0" w:line="13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Trust’s internal control over financial reporting as of December 31, 2016,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13, 2017 expressed an unqualified opinion.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Arlington,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2017</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126" w:right="27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4"/>
                <w:szCs w:val="14"/>
                <w:b w:val="1"/>
                <w:bCs w:val="1"/>
                <w:color w:val="auto"/>
                <w:w w:val="90"/>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gridSpan w:val="4"/>
          </w:tcPr>
          <w:p>
            <w:pPr>
              <w:jc w:val="center"/>
              <w:ind w:right="111"/>
              <w:spacing w:after="0" w:line="152" w:lineRule="exact"/>
              <w:rPr>
                <w:sz w:val="20"/>
                <w:szCs w:val="20"/>
                <w:color w:val="auto"/>
              </w:rPr>
            </w:pPr>
            <w:r>
              <w:rPr>
                <w:rFonts w:ascii="Arial" w:cs="Arial" w:eastAsia="Arial" w:hAnsi="Arial"/>
                <w:sz w:val="14"/>
                <w:szCs w:val="14"/>
                <w:b w:val="1"/>
                <w:bCs w:val="1"/>
                <w:color w:val="auto"/>
                <w:w w:val="90"/>
              </w:rPr>
              <w:t>(In thousands, except share and per</w:t>
            </w:r>
          </w:p>
        </w:tc>
        <w:tc>
          <w:tcPr>
            <w:tcW w:w="0" w:type="dxa"/>
            <w:vAlign w:val="bottom"/>
          </w:tcPr>
          <w:p>
            <w:pPr>
              <w:spacing w:after="0"/>
              <w:rPr>
                <w:sz w:val="1"/>
                <w:szCs w:val="1"/>
                <w:color w:val="auto"/>
              </w:rPr>
            </w:pPr>
          </w:p>
        </w:tc>
      </w:tr>
      <w:tr>
        <w:trPr>
          <w:trHeight w:val="186"/>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center"/>
              <w:ind w:left="652"/>
              <w:spacing w:after="0"/>
              <w:rPr>
                <w:sz w:val="20"/>
                <w:szCs w:val="20"/>
                <w:color w:val="auto"/>
              </w:rPr>
            </w:pPr>
            <w:r>
              <w:rPr>
                <w:rFonts w:ascii="Arial" w:cs="Arial" w:eastAsia="Arial" w:hAnsi="Arial"/>
                <w:sz w:val="14"/>
                <w:szCs w:val="14"/>
                <w:b w:val="1"/>
                <w:bCs w:val="1"/>
                <w:color w:val="auto"/>
                <w:w w:val="93"/>
              </w:rPr>
              <w:t>share data)</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w w:val="96"/>
              </w:rPr>
              <w:t>Operating (including $1,226,918 and $1,192,336 of consolidated variable interest entities, respectively)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6,125,957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5,630,771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Construction-in-progress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599,260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433,635</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Assets held for sale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33,856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6,759,073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6,064,406</w:t>
            </w:r>
          </w:p>
        </w:tc>
        <w:tc>
          <w:tcPr>
            <w:tcW w:w="0" w:type="dxa"/>
            <w:vAlign w:val="bottom"/>
          </w:tcPr>
          <w:p>
            <w:pPr>
              <w:spacing w:after="0"/>
              <w:rPr>
                <w:sz w:val="1"/>
                <w:szCs w:val="1"/>
                <w:color w:val="auto"/>
              </w:rPr>
            </w:pPr>
          </w:p>
        </w:tc>
      </w:tr>
      <w:tr>
        <w:trPr>
          <w:trHeight w:val="228"/>
        </w:trPr>
        <w:tc>
          <w:tcPr>
            <w:tcW w:w="8580" w:type="dxa"/>
            <w:vAlign w:val="bottom"/>
          </w:tcPr>
          <w:p>
            <w:pPr>
              <w:ind w:left="700"/>
              <w:spacing w:after="0"/>
              <w:rPr>
                <w:sz w:val="20"/>
                <w:szCs w:val="20"/>
                <w:color w:val="auto"/>
              </w:rPr>
            </w:pPr>
            <w:r>
              <w:rPr>
                <w:rFonts w:ascii="Arial" w:cs="Arial" w:eastAsia="Arial" w:hAnsi="Arial"/>
                <w:sz w:val="18"/>
                <w:szCs w:val="18"/>
                <w:color w:val="auto"/>
                <w:w w:val="91"/>
              </w:rPr>
              <w:t>Less accumulated depreciation and amortization (including $209,239 and $176,057 of consolidated variable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00"/>
              <w:spacing w:after="0"/>
              <w:rPr>
                <w:sz w:val="20"/>
                <w:szCs w:val="20"/>
                <w:color w:val="auto"/>
              </w:rPr>
            </w:pPr>
            <w:r>
              <w:rPr>
                <w:rFonts w:ascii="Arial" w:cs="Arial" w:eastAsia="Arial" w:hAnsi="Arial"/>
                <w:sz w:val="18"/>
                <w:szCs w:val="18"/>
                <w:color w:val="auto"/>
              </w:rPr>
              <w:t>interest entities, respectively)</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(1,729,234)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(1,574,041)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5,029,839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4,490,365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23,368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21,046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116,749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110,402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29,904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41,618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41,546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208,555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191,582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5,423,279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4,896,559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700"/>
              <w:spacing w:after="0"/>
              <w:rPr>
                <w:sz w:val="20"/>
                <w:szCs w:val="20"/>
                <w:color w:val="auto"/>
              </w:rPr>
            </w:pPr>
            <w:r>
              <w:rPr>
                <w:rFonts w:ascii="Arial" w:cs="Arial" w:eastAsia="Arial" w:hAnsi="Arial"/>
                <w:sz w:val="18"/>
                <w:szCs w:val="18"/>
                <w:color w:val="auto"/>
                <w:w w:val="92"/>
              </w:rPr>
              <w:t>Mortgages payable (including $439,120 and $448,315 of consolidated variable interest entities, respectively) $</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471,117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481,084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Capital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71,620</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279,151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341,961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Senior notes and debentures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1,976,594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1,732,551</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201,756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146,532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66,338</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Security deposits payable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16,285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15,439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 and deferred credits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115,817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121,787</w:t>
            </w:r>
          </w:p>
        </w:tc>
        <w:tc>
          <w:tcPr>
            <w:tcW w:w="0" w:type="dxa"/>
            <w:vAlign w:val="bottom"/>
          </w:tcPr>
          <w:p>
            <w:pPr>
              <w:spacing w:after="0"/>
              <w:rPr>
                <w:sz w:val="1"/>
                <w:szCs w:val="1"/>
                <w:color w:val="auto"/>
              </w:rPr>
            </w:pPr>
          </w:p>
        </w:tc>
      </w:tr>
      <w:tr>
        <w:trPr>
          <w:trHeight w:val="236"/>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3,203,750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2,977,312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143,694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137,316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8580" w:type="dxa"/>
            <w:vAlign w:val="bottom"/>
          </w:tcPr>
          <w:p>
            <w:pPr>
              <w:ind w:left="700"/>
              <w:spacing w:after="0"/>
              <w:rPr>
                <w:sz w:val="20"/>
                <w:szCs w:val="20"/>
                <w:color w:val="auto"/>
              </w:rPr>
            </w:pPr>
            <w:r>
              <w:rPr>
                <w:rFonts w:ascii="Arial" w:cs="Arial" w:eastAsia="Arial" w:hAnsi="Arial"/>
                <w:sz w:val="18"/>
                <w:szCs w:val="18"/>
                <w:color w:val="auto"/>
                <w:w w:val="90"/>
              </w:rPr>
              <w:t>Preferred shares, authorized 15,000,000 shares, $.01 par: 5.417% Series 1 Cumulative Convertible Preferred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0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1"/>
              </w:rPr>
              <w:t>Common shares of beneficial interest, $.01 par, 100,000,000 shares authorized, 71,995,897 and 69,493,392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shares issued and outstanding,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2,718,325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2,381,867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Accumulated dividends in excess of 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(724,701)</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1,976,733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1,663,749</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99,102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118,182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2,075,835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1,781,931</w:t>
            </w:r>
          </w:p>
        </w:tc>
        <w:tc>
          <w:tcPr>
            <w:tcW w:w="0" w:type="dxa"/>
            <w:vAlign w:val="bottom"/>
          </w:tcPr>
          <w:p>
            <w:pPr>
              <w:spacing w:after="0"/>
              <w:rPr>
                <w:sz w:val="1"/>
                <w:szCs w:val="1"/>
                <w:color w:val="auto"/>
              </w:rPr>
            </w:pP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5,423,279</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4,896,559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left="432"/>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4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190"/>
        </w:trPr>
        <w:tc>
          <w:tcPr>
            <w:tcW w:w="7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6"/>
          </w:tcPr>
          <w:p>
            <w:pPr>
              <w:jc w:val="center"/>
              <w:ind w:left="432"/>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42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786,583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727,812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666,322</w:t>
            </w:r>
          </w:p>
        </w:tc>
        <w:tc>
          <w:tcPr>
            <w:tcW w:w="0" w:type="dxa"/>
            <w:vAlign w:val="bottom"/>
          </w:tcPr>
          <w:p>
            <w:pPr>
              <w:spacing w:after="0"/>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11,810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36"/>
        </w:trPr>
        <w:tc>
          <w:tcPr>
            <w:tcW w:w="742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801,591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744,012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686,090</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158,326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147,593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135,417</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95,286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76,506</w:t>
            </w:r>
          </w:p>
        </w:tc>
        <w:tc>
          <w:tcPr>
            <w:tcW w:w="0" w:type="dxa"/>
            <w:vAlign w:val="bottom"/>
          </w:tcPr>
          <w:p>
            <w:pPr>
              <w:spacing w:after="0"/>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33,399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35,645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32,316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174,796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170,814</w:t>
            </w:r>
          </w:p>
        </w:tc>
        <w:tc>
          <w:tcPr>
            <w:tcW w:w="0" w:type="dxa"/>
            <w:vAlign w:val="bottom"/>
          </w:tcPr>
          <w:p>
            <w:pPr>
              <w:spacing w:after="0"/>
              <w:rPr>
                <w:sz w:val="1"/>
                <w:szCs w:val="1"/>
                <w:color w:val="auto"/>
              </w:rPr>
            </w:pPr>
          </w:p>
        </w:tc>
      </w:tr>
      <w:tr>
        <w:trPr>
          <w:trHeight w:val="236"/>
        </w:trPr>
        <w:tc>
          <w:tcPr>
            <w:tcW w:w="74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480,596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443,858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415,053</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320,995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300,154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271,037</w:t>
            </w:r>
          </w:p>
        </w:tc>
        <w:tc>
          <w:tcPr>
            <w:tcW w:w="0" w:type="dxa"/>
            <w:vAlign w:val="bottom"/>
          </w:tcPr>
          <w:p>
            <w:pPr>
              <w:spacing w:after="0"/>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(93,941)</w:t>
            </w:r>
          </w:p>
        </w:tc>
        <w:tc>
          <w:tcPr>
            <w:tcW w:w="0" w:type="dxa"/>
            <w:vAlign w:val="bottom"/>
          </w:tcPr>
          <w:p>
            <w:pPr>
              <w:spacing w:after="0"/>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(10,545)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226,425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190,094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167,888</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 and change in control of interests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28,330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258,883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218,424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172,289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249,910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210,219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164,535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249,369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209,678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163,994</w:t>
            </w:r>
          </w:p>
        </w:tc>
        <w:tc>
          <w:tcPr>
            <w:tcW w:w="0" w:type="dxa"/>
            <w:vAlign w:val="bottom"/>
          </w:tcPr>
          <w:p>
            <w:pPr>
              <w:spacing w:after="0"/>
              <w:rPr>
                <w:sz w:val="1"/>
                <w:szCs w:val="1"/>
                <w:color w:val="auto"/>
              </w:rPr>
            </w:pPr>
          </w:p>
        </w:tc>
      </w:tr>
      <w:tr>
        <w:trPr>
          <w:trHeight w:val="67"/>
        </w:trPr>
        <w:tc>
          <w:tcPr>
            <w:tcW w:w="74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6"/>
        </w:trPr>
        <w:tc>
          <w:tcPr>
            <w:tcW w:w="74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67"/>
        </w:trPr>
        <w:tc>
          <w:tcPr>
            <w:tcW w:w="74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4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basic</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67,322</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4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71,049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68,981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67,492</w:t>
            </w:r>
          </w:p>
        </w:tc>
        <w:tc>
          <w:tcPr>
            <w:tcW w:w="0" w:type="dxa"/>
            <w:vAlign w:val="bottom"/>
          </w:tcPr>
          <w:p>
            <w:pPr>
              <w:spacing w:after="0"/>
              <w:rPr>
                <w:sz w:val="1"/>
                <w:szCs w:val="1"/>
                <w:color w:val="auto"/>
              </w:rPr>
            </w:pPr>
          </w:p>
        </w:tc>
      </w:tr>
      <w:tr>
        <w:trPr>
          <w:trHeight w:val="67"/>
        </w:trPr>
        <w:tc>
          <w:tcPr>
            <w:tcW w:w="74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258,883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218,424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172,289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 change in value of interest rate swaps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260,416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217,829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170,191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251,443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209,624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162,437</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w w:val="95"/>
              </w:rPr>
              <w:t>Shareholders’ Equity of the Trust</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32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440" w:type="dxa"/>
            <w:vAlign w:val="bottom"/>
            <w:gridSpan w:val="4"/>
            <w:vMerge w:val="restart"/>
          </w:tcPr>
          <w:p>
            <w:pPr>
              <w:jc w:val="right"/>
              <w:ind w:right="128"/>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vMerge w:val="restart"/>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20" w:type="dxa"/>
            <w:vAlign w:val="bottom"/>
            <w:gridSpan w:val="4"/>
          </w:tcPr>
          <w:p>
            <w:pPr>
              <w:ind w:left="40"/>
              <w:spacing w:after="0" w:line="152"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3"/>
                <w:szCs w:val="13"/>
                <w:color w:val="auto"/>
              </w:rPr>
            </w:pPr>
          </w:p>
        </w:tc>
        <w:tc>
          <w:tcPr>
            <w:tcW w:w="1020" w:type="dxa"/>
            <w:vAlign w:val="bottom"/>
            <w:gridSpan w:val="2"/>
          </w:tcPr>
          <w:p>
            <w:pPr>
              <w:jc w:val="center"/>
              <w:ind w:right="200"/>
              <w:spacing w:after="0" w:line="152"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440" w:type="dxa"/>
            <w:vAlign w:val="bottom"/>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20" w:type="dxa"/>
            <w:vAlign w:val="bottom"/>
            <w:gridSpan w:val="4"/>
          </w:tcPr>
          <w:p>
            <w:pPr>
              <w:ind w:left="60"/>
              <w:spacing w:after="0" w:line="157" w:lineRule="exact"/>
              <w:rPr>
                <w:sz w:val="20"/>
                <w:szCs w:val="20"/>
                <w:color w:val="auto"/>
              </w:rPr>
            </w:pPr>
            <w:r>
              <w:rPr>
                <w:rFonts w:ascii="Arial" w:cs="Arial" w:eastAsia="Arial" w:hAnsi="Arial"/>
                <w:sz w:val="14"/>
                <w:szCs w:val="14"/>
                <w:b w:val="1"/>
                <w:bCs w:val="1"/>
                <w:color w:val="auto"/>
              </w:rPr>
              <w:t>Dividends in</w:t>
            </w:r>
          </w:p>
        </w:tc>
        <w:tc>
          <w:tcPr>
            <w:tcW w:w="80" w:type="dxa"/>
            <w:vAlign w:val="bottom"/>
          </w:tcPr>
          <w:p>
            <w:pPr>
              <w:spacing w:after="0"/>
              <w:rPr>
                <w:sz w:val="13"/>
                <w:szCs w:val="13"/>
                <w:color w:val="auto"/>
              </w:rPr>
            </w:pPr>
          </w:p>
        </w:tc>
        <w:tc>
          <w:tcPr>
            <w:tcW w:w="10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2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4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ind w:left="140"/>
              <w:spacing w:after="0"/>
              <w:rPr>
                <w:sz w:val="20"/>
                <w:szCs w:val="20"/>
                <w:color w:val="auto"/>
              </w:rPr>
            </w:pPr>
            <w:r>
              <w:rPr>
                <w:rFonts w:ascii="Arial" w:cs="Arial" w:eastAsia="Arial" w:hAnsi="Arial"/>
                <w:sz w:val="13"/>
                <w:szCs w:val="13"/>
                <w:b w:val="1"/>
                <w:bCs w:val="1"/>
                <w:color w:val="auto"/>
                <w:w w:val="85"/>
              </w:rPr>
              <w:t>(In thousands, except share data)</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2013</w:t>
            </w: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399,896</w:t>
            </w: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$ 9,997</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66,701,422</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$ 2,062,708</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(623,795)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23,137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1,471,297</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440" w:type="dxa"/>
            <w:vAlign w:val="bottom"/>
          </w:tcPr>
          <w:p>
            <w:pPr>
              <w:ind w:left="40"/>
              <w:spacing w:after="0" w:line="157" w:lineRule="exact"/>
              <w:rPr>
                <w:sz w:val="20"/>
                <w:szCs w:val="20"/>
                <w:color w:val="auto"/>
              </w:rPr>
            </w:pPr>
            <w:r>
              <w:rPr>
                <w:rFonts w:ascii="Arial" w:cs="Arial" w:eastAsia="Arial" w:hAnsi="Arial"/>
                <w:sz w:val="14"/>
                <w:szCs w:val="14"/>
                <w:color w:val="auto"/>
                <w:w w:val="96"/>
              </w:rPr>
              <w:t>Net income, excluding $3,452 attributable to redeemable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4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164,535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168,837</w:t>
            </w: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Other comprehensive loss - change in value of interest</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rate swaps</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(224,190)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(224,190)</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(4,620)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(4,620)</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issued</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1,768,703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213,562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213,580</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29,218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2,261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2,168</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Share-based compensation expense, net of forfeitures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117,647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12,940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12,941</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(29,912)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(3,335)</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Redemption of OP units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65,350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65,350</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Adjustment to redeemable noncontrolling interests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(9,032)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(9,032)</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2014</w:t>
            </w: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399,896</w:t>
            </w: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9,997</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68,605,783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687</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2,281,223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(683,991)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(3,515)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88,155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1,692,556</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440" w:type="dxa"/>
            <w:vAlign w:val="bottom"/>
          </w:tcPr>
          <w:p>
            <w:pPr>
              <w:ind w:left="40"/>
              <w:spacing w:after="0" w:line="157" w:lineRule="exact"/>
              <w:rPr>
                <w:sz w:val="20"/>
                <w:szCs w:val="20"/>
                <w:color w:val="auto"/>
              </w:rPr>
            </w:pPr>
            <w:r>
              <w:rPr>
                <w:rFonts w:ascii="Arial" w:cs="Arial" w:eastAsia="Arial" w:hAnsi="Arial"/>
                <w:sz w:val="14"/>
                <w:szCs w:val="14"/>
                <w:color w:val="auto"/>
                <w:w w:val="96"/>
              </w:rPr>
              <w:t>Net income, excluding $3,423 attributable to redeemable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4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210,219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4,782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215,001</w:t>
            </w: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Other comprehensive loss - change in value of interest</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rate swaps</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(250,388)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(250,388)</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(5,269)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(5,269)</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issued</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813,548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108,537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108,545</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29,940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1,991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1,991</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16,524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2,296</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Share-based compensation expense, net of forfeitures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52,213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12,073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12,074</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(64,227)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(9,211)</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Conversion and redemption of OP units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39,611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4,072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(4,223)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34,737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34,737</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Adjustment to redeemable noncontrolling interests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(19,114)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(19,114)</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BALANCE AT DECEMBER 31, 2015</w:t>
            </w: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399,896</w:t>
            </w: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$ 9,997</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69,493,392</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696</w:t>
            </w:r>
          </w:p>
        </w:tc>
        <w:tc>
          <w:tcPr>
            <w:tcW w:w="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$ 2,381,867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(724,701)</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(4,110)</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118,182</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1,781,931</w:t>
            </w:r>
          </w:p>
        </w:tc>
        <w:tc>
          <w:tcPr>
            <w:tcW w:w="0" w:type="dxa"/>
            <w:vAlign w:val="bottom"/>
          </w:tcPr>
          <w:p>
            <w:pPr>
              <w:spacing w:after="0"/>
              <w:rPr>
                <w:sz w:val="1"/>
                <w:szCs w:val="1"/>
                <w:color w:val="auto"/>
              </w:rPr>
            </w:pPr>
          </w:p>
        </w:tc>
      </w:tr>
      <w:tr>
        <w:trPr>
          <w:trHeight w:val="94"/>
        </w:trPr>
        <w:tc>
          <w:tcPr>
            <w:tcW w:w="344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440" w:type="dxa"/>
            <w:vAlign w:val="bottom"/>
          </w:tcPr>
          <w:p>
            <w:pPr>
              <w:ind w:left="40"/>
              <w:spacing w:after="0" w:line="157" w:lineRule="exact"/>
              <w:rPr>
                <w:sz w:val="20"/>
                <w:szCs w:val="20"/>
                <w:color w:val="auto"/>
              </w:rPr>
            </w:pPr>
            <w:r>
              <w:rPr>
                <w:rFonts w:ascii="Arial" w:cs="Arial" w:eastAsia="Arial" w:hAnsi="Arial"/>
                <w:sz w:val="14"/>
                <w:szCs w:val="14"/>
                <w:color w:val="auto"/>
                <w:w w:val="96"/>
              </w:rPr>
              <w:t>Net income, excluding $2,713 attributable to redeemable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4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249,910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256,170</w:t>
            </w: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Other comprehensive income - change in value of interest</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rate swaps</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(274,402)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(274,402)</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(7,546)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(7,546)</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issued</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2,156,671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324,170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324,191</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55,365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4,541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4,542</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Share-based compensation expense, net of forfeitures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134,913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11,225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11,227</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(4,451)</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Conversion and redemption of OP units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170,608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18,677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(18,679)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79"/>
        </w:trPr>
        <w:tc>
          <w:tcPr>
            <w:tcW w:w="34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40"/>
              <w:spacing w:after="0"/>
              <w:rPr>
                <w:sz w:val="20"/>
                <w:szCs w:val="20"/>
                <w:color w:val="auto"/>
              </w:rPr>
            </w:pPr>
            <w:r>
              <w:rPr>
                <w:rFonts w:ascii="Arial" w:cs="Arial" w:eastAsia="Arial" w:hAnsi="Arial"/>
                <w:sz w:val="14"/>
                <w:szCs w:val="14"/>
                <w:color w:val="auto"/>
              </w:rPr>
              <w:t>Adjustment to redeemable noncontrolling interests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(20,091)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(20,091)</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BALANCE AT DECEMBER 31, 2016</w:t>
            </w:r>
          </w:p>
        </w:tc>
        <w:tc>
          <w:tcPr>
            <w:tcW w:w="6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399,896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$ 9,997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71,995,897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$ 2,718,325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(749,734)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2,075,835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126" w:right="239" w:bottom="1440" w:gutter="0" w:footer="0" w:header="0"/>
          <w:type w:val="continuous"/>
        </w:sectPr>
      </w:pPr>
    </w:p>
    <w:bookmarkStart w:id="62" w:name="page63"/>
    <w:bookmarkEnd w:id="62"/>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71"/>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r>
      <w:tr>
        <w:trPr>
          <w:trHeight w:val="263"/>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172,289</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170,814</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Gain on sale of real estate and change in control of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Early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10,545</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Income from real estate partnerships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Decrease (increase) in 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Increase in prepaid expenses and other assets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Increase (decrease) in accounts payable and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4,253</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(Decrease) increase in security deposits and other liabilities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425</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346,130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(379,720)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(236,437)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(314,654)</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sale of real estate</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97,422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10,406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565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(35,286)</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Repayment of mortgage and other notes receivable, net</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10,333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5,008</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(590,221)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(396,150)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(repayments) borrowings under revolving credit facility, net of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241,795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456,151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244,579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and retirement of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(134,240)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Repayment of mortgages, capital leases, notes, and other payables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(94,422)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216,155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(267,694)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(243,314)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(215,216)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Redemption of redeemable noncontrolling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173,289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9,044</w:t>
            </w:r>
          </w:p>
        </w:tc>
      </w:tr>
      <w:tr>
        <w:trPr>
          <w:trHeight w:val="236"/>
        </w:trPr>
        <w:tc>
          <w:tcPr>
            <w:tcW w:w="77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(40,976)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88,927</w:t>
            </w:r>
          </w:p>
        </w:tc>
      </w:tr>
      <w:tr>
        <w:trPr>
          <w:trHeight w:val="236"/>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23,368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21,046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47,951</w:t>
            </w: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 2015 and 2014</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December 31, 2016, we owned or had a majority interest in community and neighborhood shopping centers and mixed-use properties which are operated as 96 predominantly retail real estate projects.</w:t>
      </w:r>
    </w:p>
    <w:p>
      <w:pPr>
        <w:spacing w:after="0" w:line="137"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2015 amounts have been reclassified to conform to current period presentation.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make estimates of the collectability of our accounts receivable related to minimum rents, straight-line rents, expense reimbursements and other revenue. Accounts receivable is carried net of this allowance for doubtful accounts. Our determination as to the collectability of accounts receivable and correspondingly, the adequacy of this allowance, is based primarily upon evaluations of individual receivables, current economic conditions, historical experience and other relevant factors. The allowance for doubtful accounts is increased or decreased through bad debt expense. Accounts receivable are written-off when they are deemed to be uncollectible and we are no longer actively pursuing collection. At December 31, 2016 and 2015, our allowance for doubtful accounts was $11.9 million and $11.7 million, respectively.</w:t>
      </w:r>
    </w:p>
    <w:p>
      <w:pPr>
        <w:spacing w:after="0" w:line="13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some cases, primarily relating to straight-line rents, the collection of accounts receivable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2016 and 2015, accounts receivable include approximately $80.6 million and $72.7 million, respectively, related to straight-line rents.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2016, 2015 and 2014, real estate depreciation expense was $173.2 million, $156.5 million and $155.7 million, respectively, including amounts from real estate sold and assets under capital lease obligations.</w:t>
      </w:r>
    </w:p>
    <w:p>
      <w:pPr>
        <w:spacing w:after="0" w:line="122"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color w:val="auto"/>
        </w:rPr>
        <w:t>Sales of real estate are recognized only when sufficient down payments have been obtained, possession and other attributes of ownership have been transferred to the buyer and we have no significant continuing involvement. The application of these criteria can be complex and requires us to make assumptions. We believe these criteria were met for all real estate sold during the periods presented.</w:t>
      </w:r>
    </w:p>
    <w:p>
      <w:pPr>
        <w:spacing w:after="0" w:line="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in-place leases, assumed debt, if any, and to current assets and liabilities acquired, if any. The value allocated to in-place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2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Transaction costs related to the acquisition of a business, such as broker fees, transfer taxes, legal, accounting, valuation, and other professional and consulting fees, are expensed as incurred and included in “general and administrative expenses” in our consolidated statements of comprehensive income. The acquisition of an operating shopping center typically qualifies as a business. For asset acquisitions not meeting the definition of a business, transaction costs are capitalized as part of the acquisition cost. See "Recently Issued Accounting Pronouncements" for further discussion.</w:t>
      </w:r>
    </w:p>
    <w:p>
      <w:pPr>
        <w:spacing w:after="0" w:line="1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capitalize certain costs related to the development and redevelopment of real estate including pre-construction costs, real estate taxes, insurance, construction costs and salaries and related costs of personnel directly involved.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12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define cash and cash equivalents as cash on hand, demand deposits with financial institutions and short term liquid investments with an initial maturity, when purchased, under three months. Cash balances in individual banks may exceed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6" w:right="25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federally insured limit by the Federal Deposit Insurance Corporation (the “FDIC”). At December 31, 2016, we had $19.7 million in excess of the FDIC insured limit.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Prepaid expenses and other assets consist primarily of lease costs, prepaid property taxes and acquired above market leases. Capitalized lease costs are direct costs incurred which were essential to originate a lease and would not have been incurred had the leasing transaction not taken place and include third party commissions and salaries and related costs of personnel directly related to time spent obtaining a lease. Capitalized lease costs are amortized over the life of the related lease. If a tenant vacates its space prior to the contractual termination of its lease, the unamortized balance of any previously capitalized lease costs are written off.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9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Costs related to the issuance of debt instruments are deferred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 Effective January 1, 2016, we adopted ASU 2015-03 "Simplifying the Presentation of Debt Issuance Costs," and ASU 2015-15 "Presentation and Subsequent Measurement of Debt Issuance Costs Associated with Line-of-Credit Arrangements," which impacts the balance sheet presentation of debt issuance costs. See "Recently Adopted Accounting Pronouncements" for further discussion.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4"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At times,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twelve months, we expect to reclassify an estimated $2.1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 worthiness of the counterparty. When ineffectiveness exists, the ineffective portion of changes in fair value of the interest rate swaps associated with our cash flow hedges is recognized in earnings in the period affected. Hedge ineffectiveness did not impact earnings in 2016, 2015 or 2014, and we do not anticipate it will have a significant effect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additional disclosures relating to our two existing interest rate swap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Notes Receivable</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made certain mortgage loans that, because of their nature, qualify as loan receivables. At the time the loans were made,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 We receive additional interest, however, we never receive in excess of 50% of the residual profit in the project, and because the borrower has either a substantial investment in the project or has guaranteed all or a portion of our loan (or a combination thereof), the loans qualify for loan accounting. The amounts under these arrangements are presented as mortgage notes receivable at December 31, 2016 and 2015.</w:t>
      </w:r>
    </w:p>
    <w:p>
      <w:pPr>
        <w:spacing w:after="0" w:line="12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Mortgage notes receivable are recorded at cost, net of any valuation adjustments. Interest income is accrued as earned. Mortgage notes receivable are considered past due based on the contractual terms of the note agreement. On a quarterly basis, we evaluate the collectability of each mortgage note receivable based on various factors which may include payment history, expected fair value of the collateral securing the loan, internal and external credit information and/or economic trends. A loan is considered impaired when, based upon current information and events,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flows. Since our loans are collateralized by a first mortgage, the loans have risk characteristics similar to the risks in owning commercial real estate.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9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grant share based compensation awards to employees and trustees typically in the form of restricted common shares, common shares, and options. We measure stock based compensation expense based on the grant date fair value of the award and recognize the expense ratably over the requisite service period, which is typically the vesting period. See Note 14 for further discussion regarding our share based compensation plans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9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Effective January 1, 2016, we adopted ASU 2015-02, "Amendments to the Consolidation Analysis," as further discussed in "Recently Adopted Accounting Pronouncements." 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spacing w:after="0" w:line="10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evaluated our investments in shopping center related ventures and identified 14 entities that meet the criteria of a VIE in which we hold a variable interest (including 10 entities newly deemed to be a VIE under ASU 2015-02, effective January 1, 2016). For each of these entities we control the significant operating decisions and consequently have the power to direct the activities that most significantly impact the economic performance of the entities. As we also have the obligation to absorb the majority of the losses and/or the right to receive a majority of the benefits for each of these entities, all are consolidated in our financial statements. As of December 31, 2016, net real estate assets and mortgage payables related to variable interest entities included in our consolidated balance sheet are approximately $1.0 billion and $439.1 million, respectively.</w:t>
      </w:r>
    </w:p>
    <w:p>
      <w:pPr>
        <w:spacing w:after="0" w:line="1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our equity method investment in the Pike &amp; Rose hotel joint venture is now considered a variable interest in a VIE under ASU 2015- 02 effective January 1, 2016. As we do not control the activities that most significantly impact the economic performance of the joint venture, we are not the primary beneficiary and do not consolidate. As of December 31, 2016 our investment in the joint venture and maximum exposure to loss was $13.5 million, which is our total required contribution to complete construction of the hotel.</w:t>
      </w:r>
    </w:p>
    <w:p>
      <w:pPr>
        <w:spacing w:after="0" w:line="132" w:lineRule="exact"/>
        <w:rPr>
          <w:sz w:val="20"/>
          <w:szCs w:val="20"/>
          <w:color w:val="auto"/>
        </w:rPr>
      </w:pPr>
    </w:p>
    <w:p>
      <w:pPr>
        <w:ind w:right="360"/>
        <w:spacing w:after="0" w:line="307" w:lineRule="auto"/>
        <w:rPr>
          <w:sz w:val="20"/>
          <w:szCs w:val="20"/>
          <w:color w:val="auto"/>
        </w:rPr>
      </w:pPr>
      <w:r>
        <w:rPr>
          <w:rFonts w:ascii="Arial" w:cs="Arial" w:eastAsia="Arial" w:hAnsi="Arial"/>
          <w:sz w:val="17"/>
          <w:szCs w:val="17"/>
          <w:color w:val="auto"/>
        </w:rPr>
        <w:t>We have also evaluated our mortgage notes receivable investments and determined that the entities obligated under the mortgage notes are not VIEs. Our equity method investment and mortgage notes receivable balances are presented separately in our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redeemable noncontrolling interests: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6"/>
                <w:szCs w:val="16"/>
                <w:color w:val="auto"/>
              </w:rPr>
            </w:pPr>
          </w:p>
        </w:tc>
      </w:tr>
      <w:tr>
        <w:trPr>
          <w:trHeight w:val="276"/>
        </w:trPr>
        <w:tc>
          <w:tcPr>
            <w:tcW w:w="39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23"/>
                <w:szCs w:val="23"/>
                <w:color w:val="auto"/>
              </w:rPr>
            </w:pPr>
          </w:p>
        </w:tc>
      </w:tr>
      <w:tr>
        <w:trPr>
          <w:trHeight w:val="263"/>
        </w:trPr>
        <w:tc>
          <w:tcPr>
            <w:tcW w:w="396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39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477"/>
              <w:spacing w:after="0"/>
              <w:rPr>
                <w:sz w:val="20"/>
                <w:szCs w:val="20"/>
                <w:color w:val="auto"/>
              </w:rPr>
            </w:pPr>
            <w:r>
              <w:rPr>
                <w:rFonts w:ascii="Arial" w:cs="Arial" w:eastAsia="Arial" w:hAnsi="Arial"/>
                <w:sz w:val="14"/>
                <w:szCs w:val="14"/>
                <w:color w:val="auto"/>
                <w:w w:val="91"/>
              </w:rPr>
              <w:t>(In thousands)</w:t>
            </w:r>
          </w:p>
        </w:tc>
        <w:tc>
          <w:tcPr>
            <w:tcW w:w="820" w:type="dxa"/>
            <w:vAlign w:val="bottom"/>
          </w:tcPr>
          <w:p>
            <w:pPr>
              <w:spacing w:after="0"/>
              <w:rPr>
                <w:sz w:val="21"/>
                <w:szCs w:val="21"/>
                <w:color w:val="auto"/>
              </w:rPr>
            </w:pPr>
          </w:p>
        </w:tc>
      </w:tr>
      <w:tr>
        <w:trPr>
          <w:trHeight w:val="25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5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137,316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119,053</w:t>
            </w: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4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3,423</w:t>
            </w:r>
          </w:p>
        </w:tc>
      </w:tr>
      <w:tr>
        <w:trPr>
          <w:trHeight w:val="27"/>
        </w:trPr>
        <w:tc>
          <w:tcPr>
            <w:tcW w:w="39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&amp; Redemptions</w:t>
            </w:r>
          </w:p>
        </w:tc>
        <w:tc>
          <w:tcPr>
            <w:tcW w:w="4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Contributions</w:t>
            </w:r>
          </w:p>
        </w:tc>
        <w:tc>
          <w:tcPr>
            <w:tcW w:w="4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39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redemption value</w:t>
            </w:r>
          </w:p>
        </w:tc>
        <w:tc>
          <w:tcPr>
            <w:tcW w:w="48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20,091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19,114</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48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143,694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137,316</w:t>
            </w:r>
          </w:p>
        </w:tc>
      </w:tr>
      <w:tr>
        <w:trPr>
          <w:trHeight w:val="20"/>
        </w:trPr>
        <w:tc>
          <w:tcPr>
            <w:tcW w:w="39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46"/>
        </w:trPr>
        <w:tc>
          <w:tcPr>
            <w:tcW w:w="3960" w:type="dxa"/>
            <w:vAlign w:val="bottom"/>
          </w:tcPr>
          <w:p>
            <w:pPr>
              <w:spacing w:after="0"/>
              <w:rPr>
                <w:sz w:val="24"/>
                <w:szCs w:val="24"/>
                <w:color w:val="auto"/>
              </w:rPr>
            </w:pPr>
          </w:p>
        </w:tc>
        <w:tc>
          <w:tcPr>
            <w:tcW w:w="5140" w:type="dxa"/>
            <w:vAlign w:val="bottom"/>
            <w:gridSpan w:val="2"/>
          </w:tcPr>
          <w:p>
            <w:pPr>
              <w:jc w:val="right"/>
              <w:ind w:right="3130"/>
              <w:spacing w:after="0"/>
              <w:rPr>
                <w:sz w:val="20"/>
                <w:szCs w:val="20"/>
                <w:color w:val="auto"/>
              </w:rPr>
            </w:pPr>
            <w:r>
              <w:rPr>
                <w:rFonts w:ascii="Arial" w:cs="Arial" w:eastAsia="Arial" w:hAnsi="Arial"/>
                <w:sz w:val="18"/>
                <w:szCs w:val="18"/>
                <w:color w:val="auto"/>
              </w:rPr>
              <w:t>F-12</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February 12, 2016, we acquired the 10% noncontrolling interest in the partnership that owns our Hollywood Blvd project for $13.0 million, bringing our ownership interest to 100%.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spacing w:after="0" w:line="1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With few exceptions, we are no longer subject to U.S. federal, state, and local tax examinations by tax authorities for years before 2012. As of December 31, 2016 and 2015, we had no material unrecognized tax benefits. While we currently have no material unrecognized tax benefits, as a policy, we recognize penalties and interest accrued related to unrecognized tax benefits as income tax expense.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other property income and mortgage interest income, less rental expenses and real estate taxes. No individual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February 2015, the FASB issued ASU 2015-02, which modifies the evaluation of whether limited partnerships and similar legal entities are variable or voting interest entities, eliminates the presumption that the general partner should consolidate a limited partnership, modifies the consolidation analysis for reporting entities that are involved in variable interest entities, particularly those that have fee arrangements and related party relationships, and provides a scope exception from consolidation guidance for reporting entities with interests in legal entities that operate as registered money market funds. We adopted the standard effective January 1, 2016, and as a result, partnerships controlling ten properties (previously consolidated as voting interest entities) are now considered to be variable interest entities. As we have the obligation to absorb losses and the right to receive benefits and control the activities that most significantly impact the economic performance of these entities, we are the primary beneficiary and we will continue to consolidate each of these entities. Net real estate assets of $566.1 million and mortgage payables of $194.9 million were included in our consolidated balance sheet at January 1, 2016 for these newly classified variable interest entities. In addition, our equity method investment in the Pike &amp; Rose hotel joint venture is now considered a variable interest in a variable interest entity. As we do not control the activities that most significantly impact the economic performance of the joint venture, we are not the primary beneficiary and do not consolidate. Our investment in the joint venture was $6.6 million at January 1, 2016, and our maximum exposure to loss is approximately $13.5 million.</w:t>
      </w:r>
    </w:p>
    <w:p>
      <w:pPr>
        <w:spacing w:after="0" w:line="13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April 2015, the FASB issued ASU 2015-03, which requires debt issuance costs related to a debt liability be presented in the balance sheet as a direct deduction from the carrying amount of the debt liability, rather than classified as an asset. Recognition and measurement of debt issuance costs are not affected. Subsequently, in August 2015, the FASB issued ASU 2015-15, which allows an entity to present the costs related to securing a line-of credit arrangement as an asset, regardless of whether there are any outstanding borrowings. We adopted the standards effective January 1, 2016 and have adjusted our balance sheet presentation in both periods to reflect the net debt issuance costs as a reduction of the respective liability. The adoption resulted in a $15.2 million decrease to total assets and liabilities at December 31, 2015, for this reclassification. Debt issuance costs related to our revolving credit facility continue to be classified as an asset and are included in "prepaids and other assets" in our consolidated balance sheets.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126" w:right="25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May 2014, the the FASB issued ASU 2014-09, "Revenue from Contracts with Customers." ASU 2014-09 supersedes nearly all existing revenue recognition guidance under GAAP and replaces it with a core revenue recognition principle, that an entity will recognize revenue when it transfers control of promised goods or services to customers in an amount that reflects the consideration to which the entity expects to be entitled in exchange for those goods or services, and creates a five-step model for revenue recognition in accordance with this principle. ASU 2014-09 also requires new disclosures in both interim and annual reporting periods. The guidance in ASU 2014-09 does not apply to contracts within the scope of ASC 840, Leases. In August 2015, the FASB issued ASU 2015-14, which deferred the effective date of ASU 2014-09 to the first quarter of 2018. In March 2016, April 2016, May 2016, and December 2016, the FASB issued ASU 2016-08, ASU 2016-10, ASU 2016-12, and ASU 2016-20, respectively, as clarifications to ASU 2014-09. ASU 2016-08 clarifies how to identify the unit of accounting for the principal versus agent evaluation, how to apply the control principle to certain types of arrangements, such as service transactions, and reframed the indicators in the guidance to focus on evidence that an entity is acting as a principal rather than as an agent. ASU 2016-10 clarifies the existing guidance on identifying performance obligations and licensing implementation. ASU 2016-12 adds practical expedients related to the transition for contract modifications and further defines a completed contract, clarifies the objective of the collectability assessment and how revenue is recognized if collectability is not probable, and when non-cash considerations should be measured. ASU 2016-20 corrects or improves guidance in thirteen narrow focus aspects of the guidance. ASU 2014-09, including all of the various ASUs noted above clarifying the revenue recognition guidance, are effective for us in the first quarter of 2018. While we are still completing the assessment of the impact of this standard to our consolidated financial statements, we believe the majority of our revenue falls outside of the scope of this guidance.We intend to implement the standard retrospectively with the cumulative effect recognized in retained earnings at the date of initial application.</w:t>
      </w:r>
    </w:p>
    <w:p>
      <w:pPr>
        <w:spacing w:after="0" w:line="11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February 2016, the FASB issued ASU 2016-02, "Leases." ASU 2016-02 significantly changes the accounting for leases by requiring lessees to recognize assets and liabilities for leases greater than 12 months on their balance sheet. The lessor model stays substantially the same; however, there were modifications to conform lessor accounting with the lessee model, eliminate real estate specific guidance, further define certain lease and non-lease components, and change the definition of initial direct costs of leases requiring significantly more leasing related costs to be expensed upfront. ASU 2016-02 is effective for us in the first quarter of 2019, and we are currently assessing the impact of this standard to our consolidated financial statements.</w:t>
      </w:r>
    </w:p>
    <w:p>
      <w:pPr>
        <w:spacing w:after="0" w:line="1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March 2016, the FASB issued ASU 2016-09, "Compensation - Stock Compensation." ASU 2016-09 simplifies the accounting for share-based payment transactions, including a policy election option with respect to accounting for forfeitures either as they occur or estimating forfeitures (as is currently required), as well as increasing the amount an employer can withhold to cover income taxes on equity awards. ASU 2016-09 is effective for us in the first quarter of 2017. We plan on accounting for forfeitures as they occur, and we do not expect the adoption will have a material effect on our financial position or results of operations.</w:t>
      </w:r>
    </w:p>
    <w:p>
      <w:pPr>
        <w:spacing w:after="0" w:line="13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June 2016, the FASB issued ASU 2016-13, "Financial Instruments - Credit Losses." ASU 2016-13 changes the impairment model for most financial assets and certain other instruments, requiring the use of an "expected credit loss" model and adding more disclosure requirements. ASU 2016-13 is effective for us in the first quarter of 2020, and we are currently assessing the impact of this standard to our consolidated financial statements.</w:t>
      </w:r>
    </w:p>
    <w:p>
      <w:pPr>
        <w:spacing w:after="0" w:line="1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ASU 2016-15 provides classification guidance for eight specific topics including debt extinguishment costs, contingent consideration payments made after a business combination, and distributions received from equity method investees. ASU 2016-15 is effective for us in the first quarter of 2018, and we are currently assessing the impact of this standard to our consolidated financial statements.</w:t>
      </w:r>
    </w:p>
    <w:p>
      <w:pPr>
        <w:spacing w:after="0" w:line="13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November 2016, the FASB issued ASU 2016-18, "Statement of Cash Flows - Restricted Cash." ASU 2016-18 requires that the statement of cash flows explain the change during the period in the total of cash, cash equivalents, and amounts generally described as restricted cash or cash equivalents. Therefore, amounts generally described as restricted cash and equivalents should be included with cash and cash equivalents when reconciling the beginning and end of period total amounts on the statement of cash flows. Currently, there is no specific guidance to address how to classify or present these changes. ASU 2016-18 is effective for us in the first quarter of 2018, and we are currently assessing the impact of this standard to our consolidated financial statements.</w:t>
      </w:r>
    </w:p>
    <w:p>
      <w:pPr>
        <w:spacing w:after="0" w:line="10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January 2017, the FASB issued ASU 2017-01, "Clarifying the Definition of a Business." ASU 2017-01 changes the definition of a business to exclude acquisitions where substantially all of the fair value of the assets acquired are concentrated in a single identifiable asset or a group of similar identifiable assets. Given this change in definition, we believe most of our shopping center acquisitions will no longer be considered business combinations but rather asset acquisitions. While there are various differences between the accounting for an asset acquisition and a business combination, we expect the largest impact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will be that transaction costs are capitalized for asset acquisitions rather than currently expensed when they are considered business combinations. Based on acquisitions in the past several years, transactions costs for a single shopping center acquisition have typically ranged from $0.2 to $2.4 million with significantly higher transaction costs expected for an acquisition of a larger portfolio. The new guidance will be applied prospectively to any transactions occurring in the period of adoption. ASU 2017-01 is effective January 1, 2019, however, we expect to early adopt this standard in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Total interest costs incurred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113,016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110,675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114,912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capitalized</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(20,971)</w:t>
            </w:r>
          </w:p>
        </w:tc>
        <w:tc>
          <w:tcPr>
            <w:tcW w:w="0" w:type="dxa"/>
            <w:vAlign w:val="bottom"/>
          </w:tcPr>
          <w:p>
            <w:pPr>
              <w:spacing w:after="0"/>
              <w:rPr>
                <w:sz w:val="1"/>
                <w:szCs w:val="1"/>
                <w:color w:val="auto"/>
              </w:rPr>
            </w:pPr>
          </w:p>
        </w:tc>
      </w:tr>
      <w:tr>
        <w:trPr>
          <w:trHeight w:val="236"/>
        </w:trPr>
        <w:tc>
          <w:tcPr>
            <w:tcW w:w="708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94,994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92,553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93,941</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interest,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90,185</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116,335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100,011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income taxes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NON-CASH INVESTING AND FINANCING TRANSACTIONS: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34,385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89,516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68,282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18,679</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DownREIT operating partnership units issued with acquisition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7,742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65,348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loans refinanced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64,205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w w:val="98"/>
              </w:rPr>
              <w:t>Repayment of note payable with public funding/related construction-in-progress offset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1,977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See Note 3 for additional disclosures relating to the Clarion Partners, San Antonio Center, CocoWalk, and The Shops at Sunset Place acquisitions.</w:t>
      </w:r>
    </w:p>
    <w:p>
      <w:pPr>
        <w:spacing w:after="0" w:line="18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Capitalized lease costs are direct costs incurred which were essential to originate a lease and would not have been incurred had the leasing transaction not taken place. These costs include third party commissions and salaries and personnel costs related to obtaining a lease. Capitalized lease costs are amortized over the initial term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real estate investments and related encumbrances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Depreciation and</w:t>
            </w:r>
          </w:p>
        </w:tc>
        <w:tc>
          <w:tcPr>
            <w:tcW w:w="260" w:type="dxa"/>
            <w:vAlign w:val="bottom"/>
          </w:tcPr>
          <w:p>
            <w:pPr>
              <w:spacing w:after="0"/>
              <w:rPr>
                <w:sz w:val="12"/>
                <w:szCs w:val="12"/>
                <w:color w:val="auto"/>
              </w:rPr>
            </w:pPr>
          </w:p>
        </w:tc>
        <w:tc>
          <w:tcPr>
            <w:tcW w:w="14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Encumbrances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45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Retail and mixed-use properties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6,621,170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(1,677,938)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449,896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Retail properties under capital leases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127,359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71,590</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10,544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21,221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6,759,073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(1,729,234)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542,707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3"/>
            <w:vMerge w:val="restart"/>
          </w:tcPr>
          <w:p>
            <w:pPr>
              <w:ind w:left="40"/>
              <w:spacing w:after="0" w:line="196" w:lineRule="exact"/>
              <w:rPr>
                <w:sz w:val="20"/>
                <w:szCs w:val="20"/>
                <w:color w:val="auto"/>
              </w:rPr>
            </w:pPr>
            <w:r>
              <w:rPr>
                <w:rFonts w:ascii="Arial" w:cs="Arial" w:eastAsia="Arial" w:hAnsi="Arial"/>
                <w:sz w:val="18"/>
                <w:szCs w:val="18"/>
                <w:b w:val="1"/>
                <w:bCs w:val="1"/>
                <w:color w:val="auto"/>
              </w:rPr>
              <w:t>December 31, 2015</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4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Retail and mixed-use properties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5,929,569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(1,526,934)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459,454</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Retail properties under capital leases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124,590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(38,509)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71,620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21,630</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6,064,406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(1,574,041)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552,704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Retail and mixed-use properties includes the residential portion of Santana Row, Bethesda Row, Pike &amp; Rose, Congressional Plaza and Chelsea Commons.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residential property investment is our investment in Rollingwood Apartments.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Property Acquisitions and Disposition</w:t>
      </w:r>
    </w:p>
    <w:p>
      <w:pPr>
        <w:spacing w:after="0" w:line="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January 13, 2016, we acquired our partner's 70% interest in our joint venture arrangement (the "Partnership") with affiliates of a discretionary fund created and advised by Clarion Partners ("Clarion") for $153.7 million, which included the payment of $130.0 million of cash and the assumption of mortgage loans totaling $34.4 million. As a result of the transaction, we gained control of the six underlying properties, and effective January 13, 2016, have consolidated the properties. We also recognized a gain on acquisition of the controlling interest of $25.7 million related to the difference between the carrying value and fair value of the previously held equity interest. Approximately $7.3 million and $4.9 million of net assets acquired were allocated to other assets for "above market leases," and other liabilities for "below market leases," respectively. We incurred $0.2 million of acquisition costs, of which $0.1 million were incurred in 2016, and included in "general and administrative expenses" on the consolidated statements of comprehensive income in 2016 and 2015.</w:t>
      </w:r>
    </w:p>
    <w:p>
      <w:pPr>
        <w:spacing w:after="0" w:line="3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May 12, 2016, an unconsolidated joint venture that we hold an interest in sold a building in Coconut Grove, Florida. Our share of the gain, net of noncontrolling interests, was $0.5 million.</w:t>
      </w:r>
    </w:p>
    <w:p>
      <w:pPr>
        <w:spacing w:after="0" w:line="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July 26, 2016, we acquired an additional building in the Coconut Grove neighborhood of Miami, Florida for $5.9 million through our CocoWalk LLC entity. We incurred $0.2 million in acquisition costs which are included in "general and administrative expenses" in 2016.</w:t>
      </w:r>
    </w:p>
    <w:p>
      <w:pPr>
        <w:spacing w:after="0" w:line="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November 7, 2016, we acquired a building adjacent to our Barcroft Plaza property for $5.3 million, and incurred $0.1 million of acquisition costs which are included in "general and administrative expenses" in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Significant Property Acquisitions and Dispositions</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January 2015, we acquired a controlling interest in San Antonio Center, a 376,000 square foot shopping center in Mountain View, California based on a total value of $62.2 million. Our effective interest approximates 80% and was funded by the assumption of our share of $18.7 million of mortgage debt, 58,000 downREIT operating partnership units, and $27 million of cash. A portion of the land is controlled under a long-term ground lease. Approximately $8.1 million of assets acquired were allocated to lease intangibles and included within other assets. Approximately $19.1 million was allocated to lease intangibles primarily related to "below market leases," and is included within other liabilities. Additionally, $16.3 million was allocated to noncontrolling interests. We incurred $1.8 million of acquisition costs, of which $1.1 million were incurred in 2015, and included in "general and administrative expense" in 2015 and 2014.</w:t>
      </w:r>
    </w:p>
    <w:p>
      <w:pPr>
        <w:spacing w:after="0" w:line="58" w:lineRule="exact"/>
        <w:rPr>
          <w:sz w:val="20"/>
          <w:szCs w:val="20"/>
          <w:color w:val="auto"/>
        </w:rPr>
      </w:pPr>
    </w:p>
    <w:p>
      <w:pPr>
        <w:ind w:right="960"/>
        <w:spacing w:after="0" w:line="307" w:lineRule="auto"/>
        <w:rPr>
          <w:sz w:val="20"/>
          <w:szCs w:val="20"/>
          <w:color w:val="auto"/>
        </w:rPr>
      </w:pPr>
      <w:r>
        <w:rPr>
          <w:rFonts w:ascii="Arial" w:cs="Arial" w:eastAsia="Arial" w:hAnsi="Arial"/>
          <w:sz w:val="17"/>
          <w:szCs w:val="17"/>
          <w:color w:val="auto"/>
        </w:rPr>
        <w:t>On February 25, 2015, we acquired the interest of one of the noncontrolling interest holders in The Grove at Shrewsbury for $8.8 million. As this noncontrolling interest was mandatorily redeemable, it was classified as a liability until it was settled in February 2015.</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On April 24, 2015, we sold our Houston Street property in San Antonio, Texas for a sales price of $46.1 million, resulting in a gain of $11.5 million.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May 4, 2015, we acquired CocoWalk, a 198,000 square foot retail property located in the Coconut Grove neighborhood of Miami, Florida for $87.5 million. The acquisition was completed through a newly formed entity ("CocoWalk LLC") for which we own a preferred interest and an 80% common interest. Approximately $1.5 million and $4.3 million of net assets acquired were allocated to other assets for "above market leases," and other liabilities for "below market leases," respectively. Additionally, approximately $6.9 million was allocated to noncontrolling interests. On July 1, 2015 and December 16, 2015, we acquired partial interests in eight buildings in the Coconut Grove neighborhood of Miami, Florida for $7.8 million through our CocoWalk LLC entity. In total, we incurred $1.1 million in acquisition costs which are included in "general and administrative expenses" in 2015.</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On July 8, 2015 we acquired a parcel of land adjacent to our Pike 7 Plaza property for $5.0 million.</w:t>
      </w:r>
    </w:p>
    <w:p>
      <w:pPr>
        <w:spacing w:after="0" w:line="90"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On October 1, 2015, we acquired The Shops at Sunset Place, a 515,000 square foot mixed-use property located in South Miami, Florida based on a gross value of $110.2 million. The acquisition was completed through a newly formed entity for which we own an 85% interest. Approximately $4.8 million and $6.6 million of net assets acquired were allocated to other assets for "above market leases," and other liabilities for "below market leases," respectively. Additionally, approximately $6.3 million was allocated to noncontrolling interests. We incurred $0.9 million of acquisition costs, which are included in "general and administrative expenses" in 2015. The transaction includes the assumption of an existing $70.8 million mortgage loan.</w:t>
      </w:r>
    </w:p>
    <w:p>
      <w:pPr>
        <w:spacing w:after="0" w:line="26" w:lineRule="exact"/>
        <w:rPr>
          <w:sz w:val="20"/>
          <w:szCs w:val="20"/>
          <w:color w:val="auto"/>
        </w:rPr>
      </w:pPr>
    </w:p>
    <w:p>
      <w:pPr>
        <w:ind w:right="160"/>
        <w:spacing w:after="0" w:line="437" w:lineRule="auto"/>
        <w:rPr>
          <w:sz w:val="20"/>
          <w:szCs w:val="20"/>
          <w:color w:val="auto"/>
        </w:rPr>
      </w:pPr>
      <w:r>
        <w:rPr>
          <w:rFonts w:ascii="Arial" w:cs="Arial" w:eastAsia="Arial" w:hAnsi="Arial"/>
          <w:sz w:val="18"/>
          <w:szCs w:val="18"/>
          <w:color w:val="auto"/>
        </w:rPr>
        <w:t xml:space="preserve">On November 19, 2015, we sold our Courtyard Shops property in Wellington, Florida for a sales price of $52.8 million, resulting in a gain of $16.8 million. </w:t>
      </w:r>
      <w:r>
        <w:rPr>
          <w:rFonts w:ascii="Arial" w:cs="Arial" w:eastAsia="Arial" w:hAnsi="Arial"/>
          <w:sz w:val="18"/>
          <w:szCs w:val="18"/>
          <w:b w:val="1"/>
          <w:bCs w:val="1"/>
          <w:color w:val="auto"/>
        </w:rPr>
        <w:t>Assets held for sale</w:t>
      </w:r>
    </w:p>
    <w:p>
      <w:pPr>
        <w:spacing w:after="0" w:line="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lease three parcels of land at our Assembly Row property to two ground lessees. During 2016, both lessees exercised purchase options under the related ground leases. We expect the related sale transactions to close in 2017. The total cost basis of the related land is $33.9 million and is included in "assets held for sale" on our consolidated balance sheet as of December 31, 2016.</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4—MORTGAGE NOTES RECEIVABLE</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December 31, 2016 and 2015, we had two and three mortgage notes receivable, respectively, with aggregate carrying amounts of $29.9 million and $41.6 million, respectively, and a weighted average interest rate of 9.9% and 9.0%, respectively. The loans were secured by first mortgages on retail buildings. Under the terms of the two remaining mortgages, we receive additional interest based upon the gross income of the secured properties and upon sale, share in the appreciation of the properties.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5—REAL ESTATE PARTNERSHIPS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2015, we had a joint venture arrangement (the “Partnership”) with affiliates of a discretionary fund created and advised by Clarion Partners (“Clarion”). We owned 30% of the equity in the Partnership and Clarion owned 70%. We held a general partnership interest, however, Clarion also held a general partnership interest and had substantive participating rights. We could not make significant decisions without Clarion’s approval. Accordingly, we accounted for our interest in the Partnership using the equity method. As of December 31, 2015, the Partnership owned six retail real estate properties. We were the manager of the Partnership and its properties, earning fees for acquisitions, dispositions, management, leasing, and financing. Intercompany profit generated from fees was eliminated in consolidation. We also had the opportunity to receive performance-based earnings through our Partnership interest. Accounting policies for the Partnership were similar to accounting policies followed by the Trust. On January 13, 2016, we acquired Clarion's 70% interest in the partnership, as further discussed in Note 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126" w:right="29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3"/>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69"/>
        </w:trPr>
        <w:tc>
          <w:tcPr>
            <w:tcW w:w="8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17,405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18,329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5,992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14,385</w:t>
            </w:r>
          </w:p>
        </w:tc>
        <w:tc>
          <w:tcPr>
            <w:tcW w:w="0" w:type="dxa"/>
            <w:vAlign w:val="bottom"/>
          </w:tcPr>
          <w:p>
            <w:pPr>
              <w:spacing w:after="0"/>
              <w:rPr>
                <w:sz w:val="1"/>
                <w:szCs w:val="1"/>
                <w:color w:val="auto"/>
              </w:rPr>
            </w:pP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Net income before gain on sale of real estate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14,507</w:t>
            </w:r>
          </w:p>
        </w:tc>
        <w:tc>
          <w:tcPr>
            <w:tcW w:w="0" w:type="dxa"/>
            <w:vAlign w:val="bottom"/>
          </w:tcPr>
          <w:p>
            <w:pPr>
              <w:spacing w:after="0"/>
              <w:rPr>
                <w:sz w:val="1"/>
                <w:szCs w:val="1"/>
                <w:color w:val="auto"/>
              </w:rPr>
            </w:pP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4,377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18,451</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share of net income from real estate partnership before gain on sale of real estate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share of gain on sale of real estate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BALANCE SHEETS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146,906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36"/>
        </w:trPr>
        <w:tc>
          <w:tcPr>
            <w:tcW w:w="85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155,091</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Mortgages payable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34,385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capital</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117,152</w:t>
            </w:r>
          </w:p>
        </w:tc>
        <w:tc>
          <w:tcPr>
            <w:tcW w:w="0" w:type="dxa"/>
            <w:vAlign w:val="bottom"/>
          </w:tcPr>
          <w:p>
            <w:pPr>
              <w:spacing w:after="0"/>
              <w:rPr>
                <w:sz w:val="1"/>
                <w:szCs w:val="1"/>
                <w:color w:val="auto"/>
              </w:rPr>
            </w:pPr>
          </w:p>
        </w:tc>
      </w:tr>
      <w:tr>
        <w:trPr>
          <w:trHeight w:val="236"/>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 and partners’ capital</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155,091</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share of unconsolidated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investment in real estate partnership</w:t>
            </w: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31,745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2014, the Partnership repaid $22.4 million of mortgage loans at par, which were funded by capital contributions totaling $22.4 million, of which our contribution was $6.7 million.</w:t>
      </w:r>
    </w:p>
    <w:p>
      <w:pPr>
        <w:spacing w:after="0" w:line="3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July 24, 2014, the Partnership sold the fee interest in Pleasant Shops in Weymouth, Massachusetts for a sales price of $34.3 million, resulting in a gain on sale of $14.5 million. Our share of the gain was $4.4 million. The partners received distributions totaling $32.8 million as a result of the sale, of which our distribution was $10.4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6—ACQUIRED IN-PLACE LEASES</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Acquired above market leases are included in prepaid expenses and other assets and had a balance of $45.3 million and $39.4 million and accumulated amortization of $28.1 million and $22.9 million at December 31, 2016 and 2015, respectively. Acquired below market leases are included in other liabilities and deferred credits and had a balance of $138.3 million and $133.4 million and accumulated amortization of $48.9 million and $40.7 million at December 31, 2016 and 2015, respectively. The value allocated to in-place leases is amortized over the related lease term and reflected as additional rental income for below market leases or a reduction of rental income for above market leases in the consolidated statements of comprehensive income. Rental income included amortization from acquired above market leases of $6.7 million, $4.4 million and $3.4 million in 2016, 2015 and 2014, respectively and amortization from acquired below market leases of $8.5 million, $7.1 million and $5.8 million in 2016, 2015 and 2014, respectively. The remaining weighted-average amortization period as of December 31, 2016, is 4.7 years and 19.5 years for above market leases and below market leases,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for acquired in-place leases during the next five years and thereafter, assuming no early lease terminations,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Above Market</w:t>
            </w:r>
          </w:p>
        </w:tc>
        <w:tc>
          <w:tcPr>
            <w:tcW w:w="480" w:type="dxa"/>
            <w:vAlign w:val="bottom"/>
          </w:tcPr>
          <w:p>
            <w:pPr>
              <w:spacing w:after="0"/>
              <w:rPr>
                <w:sz w:val="14"/>
                <w:szCs w:val="14"/>
                <w:color w:val="auto"/>
              </w:rPr>
            </w:pPr>
          </w:p>
        </w:tc>
        <w:tc>
          <w:tcPr>
            <w:tcW w:w="1440" w:type="dxa"/>
            <w:vAlign w:val="bottom"/>
          </w:tcPr>
          <w:p>
            <w:pPr>
              <w:jc w:val="right"/>
              <w:ind w:right="434"/>
              <w:spacing w:after="0"/>
              <w:rPr>
                <w:sz w:val="20"/>
                <w:szCs w:val="20"/>
                <w:color w:val="auto"/>
              </w:rPr>
            </w:pPr>
            <w:r>
              <w:rPr>
                <w:rFonts w:ascii="Arial" w:cs="Arial" w:eastAsia="Arial" w:hAnsi="Arial"/>
                <w:sz w:val="14"/>
                <w:szCs w:val="14"/>
                <w:b w:val="1"/>
                <w:bCs w:val="1"/>
                <w:color w:val="auto"/>
                <w:w w:val="99"/>
              </w:rPr>
              <w:t>Below Market</w:t>
            </w:r>
          </w:p>
        </w:tc>
      </w:tr>
      <w:tr>
        <w:trPr>
          <w:trHeight w:val="192"/>
        </w:trPr>
        <w:tc>
          <w:tcPr>
            <w:tcW w:w="3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4"/>
              </w:rPr>
              <w:t>Leases</w:t>
            </w: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Leases</w:t>
            </w:r>
          </w:p>
        </w:tc>
      </w:tr>
      <w:tr>
        <w:trPr>
          <w:trHeight w:val="250"/>
        </w:trPr>
        <w:tc>
          <w:tcPr>
            <w:tcW w:w="374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1"/>
                <w:szCs w:val="2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2017</w:t>
            </w:r>
          </w:p>
        </w:tc>
        <w:tc>
          <w:tcPr>
            <w:tcW w:w="41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7,538</w:t>
            </w:r>
          </w:p>
        </w:tc>
      </w:tr>
      <w:tr>
        <w:trPr>
          <w:trHeight w:val="27"/>
        </w:trPr>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6,345</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2019</w:t>
            </w: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5,951</w:t>
            </w:r>
          </w:p>
        </w:tc>
      </w:tr>
      <w:tr>
        <w:trPr>
          <w:trHeight w:val="27"/>
        </w:trPr>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4,993</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2021</w:t>
            </w: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4,377</w:t>
            </w:r>
          </w:p>
        </w:tc>
      </w:tr>
      <w:tr>
        <w:trPr>
          <w:trHeight w:val="27"/>
        </w:trPr>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8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5,551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60,122</w:t>
            </w:r>
          </w:p>
        </w:tc>
      </w:tr>
      <w:tr>
        <w:trPr>
          <w:trHeight w:val="236"/>
        </w:trPr>
        <w:tc>
          <w:tcPr>
            <w:tcW w:w="37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17,242</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89,326</w:t>
            </w:r>
          </w:p>
        </w:tc>
      </w:tr>
      <w:tr>
        <w:trPr>
          <w:trHeight w:val="27"/>
        </w:trPr>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55"/>
        </w:trPr>
        <w:tc>
          <w:tcPr>
            <w:tcW w:w="3740" w:type="dxa"/>
            <w:vAlign w:val="bottom"/>
          </w:tcPr>
          <w:p>
            <w:pPr>
              <w:spacing w:after="0"/>
              <w:rPr>
                <w:sz w:val="24"/>
                <w:szCs w:val="24"/>
                <w:color w:val="auto"/>
              </w:rPr>
            </w:pPr>
          </w:p>
        </w:tc>
        <w:tc>
          <w:tcPr>
            <w:tcW w:w="4100" w:type="dxa"/>
            <w:vAlign w:val="bottom"/>
            <w:gridSpan w:val="2"/>
          </w:tcPr>
          <w:p>
            <w:pPr>
              <w:jc w:val="right"/>
              <w:ind w:right="1870"/>
              <w:spacing w:after="0"/>
              <w:rPr>
                <w:sz w:val="20"/>
                <w:szCs w:val="20"/>
                <w:color w:val="auto"/>
              </w:rPr>
            </w:pPr>
            <w:r>
              <w:rPr>
                <w:rFonts w:ascii="Arial" w:cs="Arial" w:eastAsia="Arial" w:hAnsi="Arial"/>
                <w:sz w:val="18"/>
                <w:szCs w:val="18"/>
                <w:color w:val="auto"/>
              </w:rPr>
              <w:t>F-19</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2016 and 2015: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Principal Balance as of December 31,</w:t>
            </w:r>
          </w:p>
        </w:tc>
        <w:tc>
          <w:tcPr>
            <w:tcW w:w="1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1920" w:type="dxa"/>
            <w:vAlign w:val="bottom"/>
          </w:tcPr>
          <w:p>
            <w:pPr>
              <w:spacing w:after="0"/>
              <w:rPr>
                <w:sz w:val="16"/>
                <w:szCs w:val="16"/>
                <w:color w:val="auto"/>
              </w:rPr>
            </w:pPr>
          </w:p>
        </w:tc>
      </w:tr>
      <w:tr>
        <w:trPr>
          <w:trHeight w:val="190"/>
        </w:trPr>
        <w:tc>
          <w:tcPr>
            <w:tcW w:w="526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260" w:type="dxa"/>
            <w:vAlign w:val="bottom"/>
          </w:tcPr>
          <w:p>
            <w:pPr>
              <w:spacing w:after="0"/>
              <w:rPr>
                <w:sz w:val="16"/>
                <w:szCs w:val="16"/>
                <w:color w:val="auto"/>
              </w:rPr>
            </w:pPr>
          </w:p>
        </w:tc>
        <w:tc>
          <w:tcPr>
            <w:tcW w:w="900" w:type="dxa"/>
            <w:vAlign w:val="bottom"/>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December 31, 2016</w:t>
            </w:r>
          </w:p>
        </w:tc>
        <w:tc>
          <w:tcPr>
            <w:tcW w:w="1920" w:type="dxa"/>
            <w:vAlign w:val="bottom"/>
          </w:tcPr>
          <w:p>
            <w:pPr>
              <w:jc w:val="right"/>
              <w:ind w:right="219"/>
              <w:spacing w:after="0"/>
              <w:rPr>
                <w:sz w:val="20"/>
                <w:szCs w:val="20"/>
                <w:color w:val="auto"/>
              </w:rPr>
            </w:pPr>
            <w:r>
              <w:rPr>
                <w:rFonts w:ascii="Arial" w:cs="Arial" w:eastAsia="Arial" w:hAnsi="Arial"/>
                <w:sz w:val="14"/>
                <w:szCs w:val="14"/>
                <w:b w:val="1"/>
                <w:bCs w:val="1"/>
                <w:color w:val="auto"/>
              </w:rPr>
              <w:t>Stated Maturity Date</w:t>
            </w:r>
          </w:p>
        </w:tc>
      </w:tr>
      <w:tr>
        <w:trPr>
          <w:trHeight w:val="79"/>
        </w:trPr>
        <w:tc>
          <w:tcPr>
            <w:tcW w:w="4680" w:type="dxa"/>
            <w:vAlign w:val="bottom"/>
            <w:tcBorders>
              <w:bottom w:val="single" w:sz="8" w:color="auto"/>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gridSpan w:val="3"/>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r>
      <w:tr>
        <w:trPr>
          <w:trHeight w:val="243"/>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4"/>
            <w:shd w:val="clear" w:color="auto" w:fill="CCEEFF"/>
          </w:tcPr>
          <w:p>
            <w:pPr>
              <w:jc w:val="right"/>
              <w:ind w:right="41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Plaza El Segundo</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175,000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August 5, 2017</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Grove at Shrewsbury (East)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42,536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43,557</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2017</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The Grove at Shrewsbury (West)</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10,792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11,024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March 1, 2018</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Rollingwood Apartments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21,716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The Shops at Sunset Place</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68,634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70,542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September 1, 2020</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29</w:t>
            </w:r>
            <w:r>
              <w:rPr>
                <w:rFonts w:ascii="Arial" w:cs="Arial" w:eastAsia="Arial" w:hAnsi="Arial"/>
                <w:sz w:val="17"/>
                <w:szCs w:val="17"/>
                <w:color w:val="auto"/>
              </w:rPr>
              <w:t>th</w:t>
            </w:r>
            <w:r>
              <w:rPr>
                <w:rFonts w:ascii="Arial" w:cs="Arial" w:eastAsia="Arial" w:hAnsi="Arial"/>
                <w:sz w:val="16"/>
                <w:szCs w:val="16"/>
                <w:color w:val="auto"/>
              </w:rPr>
              <w:t xml:space="preserve"> Place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THE AVENUE at White Marsh</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52,705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January 1, 2022</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Montrose Crossing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72,726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74,329</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Brook 35</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July 1, 2029</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Chelsea</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r>
      <w:tr>
        <w:trPr>
          <w:trHeight w:val="217"/>
        </w:trPr>
        <w:tc>
          <w:tcPr>
            <w:tcW w:w="5260" w:type="dxa"/>
            <w:vAlign w:val="bottom"/>
            <w:gridSpan w:val="2"/>
          </w:tcPr>
          <w:p>
            <w:pPr>
              <w:ind w:left="700"/>
              <w:spacing w:after="0"/>
              <w:rPr>
                <w:sz w:val="20"/>
                <w:szCs w:val="20"/>
                <w:color w:val="auto"/>
              </w:rPr>
            </w:pPr>
            <w:r>
              <w:rPr>
                <w:rFonts w:ascii="Arial" w:cs="Arial" w:eastAsia="Arial" w:hAnsi="Arial"/>
                <w:sz w:val="16"/>
                <w:szCs w:val="16"/>
                <w:color w:val="auto"/>
              </w:rPr>
              <w:t>Subtotal</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466,305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471,994</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9,090</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r>
      <w:tr>
        <w:trPr>
          <w:trHeight w:val="217"/>
        </w:trPr>
        <w:tc>
          <w:tcPr>
            <w:tcW w:w="5260" w:type="dxa"/>
            <w:vAlign w:val="bottom"/>
            <w:gridSpan w:val="2"/>
          </w:tcPr>
          <w:p>
            <w:pPr>
              <w:ind w:left="700"/>
              <w:spacing w:after="0"/>
              <w:rPr>
                <w:sz w:val="20"/>
                <w:szCs w:val="20"/>
                <w:color w:val="auto"/>
              </w:rPr>
            </w:pPr>
            <w:r>
              <w:rPr>
                <w:rFonts w:ascii="Arial" w:cs="Arial" w:eastAsia="Arial" w:hAnsi="Arial"/>
                <w:sz w:val="16"/>
                <w:szCs w:val="16"/>
                <w:color w:val="auto"/>
              </w:rPr>
              <w:t>Total mortgages payable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471,117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481,084</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43"/>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Escondido (municipal bonds)</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October 1, 2016</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Revolving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53,500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+ 0.825%</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 2020</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Term loan</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1920" w:type="dxa"/>
            <w:vAlign w:val="bottom"/>
          </w:tcPr>
          <w:p>
            <w:pPr>
              <w:jc w:val="right"/>
              <w:spacing w:after="0"/>
              <w:rPr>
                <w:sz w:val="20"/>
                <w:szCs w:val="20"/>
                <w:color w:val="auto"/>
              </w:rPr>
            </w:pPr>
            <w:r>
              <w:rPr>
                <w:rFonts w:ascii="Arial" w:cs="Arial" w:eastAsia="Arial" w:hAnsi="Arial"/>
                <w:sz w:val="16"/>
                <w:szCs w:val="16"/>
                <w:color w:val="auto"/>
              </w:rPr>
              <w:t>November 21, 2018</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r>
      <w:tr>
        <w:trPr>
          <w:trHeight w:val="217"/>
        </w:trPr>
        <w:tc>
          <w:tcPr>
            <w:tcW w:w="5260" w:type="dxa"/>
            <w:vAlign w:val="bottom"/>
            <w:gridSpan w:val="2"/>
          </w:tcPr>
          <w:p>
            <w:pPr>
              <w:ind w:left="700"/>
              <w:spacing w:after="0"/>
              <w:rPr>
                <w:sz w:val="20"/>
                <w:szCs w:val="20"/>
                <w:color w:val="auto"/>
              </w:rPr>
            </w:pPr>
            <w:r>
              <w:rPr>
                <w:rFonts w:ascii="Arial" w:cs="Arial" w:eastAsia="Arial" w:hAnsi="Arial"/>
                <w:sz w:val="16"/>
                <w:szCs w:val="16"/>
                <w:color w:val="auto"/>
              </w:rPr>
              <w:t>Subtotal</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280,247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343,600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r>
      <w:tr>
        <w:trPr>
          <w:trHeight w:val="217"/>
        </w:trPr>
        <w:tc>
          <w:tcPr>
            <w:tcW w:w="5260" w:type="dxa"/>
            <w:vAlign w:val="bottom"/>
            <w:gridSpan w:val="2"/>
          </w:tcPr>
          <w:p>
            <w:pPr>
              <w:ind w:left="700"/>
              <w:spacing w:after="0"/>
              <w:rPr>
                <w:sz w:val="20"/>
                <w:szCs w:val="20"/>
                <w:color w:val="auto"/>
              </w:rPr>
            </w:pPr>
            <w:r>
              <w:rPr>
                <w:rFonts w:ascii="Arial" w:cs="Arial" w:eastAsia="Arial" w:hAnsi="Arial"/>
                <w:sz w:val="16"/>
                <w:szCs w:val="16"/>
                <w:color w:val="auto"/>
              </w:rPr>
              <w:t>Total notes payable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279,151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341,961</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43"/>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5.90% notes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April 1, 2020</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2.55%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3.00% notes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August 1, 2022</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3.95% notes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January 15, 2024</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6.82% medium term notes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August 1, 2027</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4.50%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2044</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3.625% notes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August 1, 2046</w:t>
            </w:r>
          </w:p>
        </w:tc>
      </w:tr>
      <w:tr>
        <w:trPr>
          <w:trHeight w:val="33"/>
        </w:trPr>
        <w:tc>
          <w:tcPr>
            <w:tcW w:w="4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30"/>
        </w:trPr>
        <w:tc>
          <w:tcPr>
            <w:tcW w:w="52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1,994,200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1,744,200</w:t>
            </w: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r>
      <w:tr>
        <w:trPr>
          <w:trHeight w:val="219"/>
        </w:trPr>
        <w:tc>
          <w:tcPr>
            <w:tcW w:w="5260" w:type="dxa"/>
            <w:vAlign w:val="bottom"/>
            <w:gridSpan w:val="2"/>
          </w:tcPr>
          <w:p>
            <w:pPr>
              <w:ind w:left="920"/>
              <w:spacing w:after="0"/>
              <w:rPr>
                <w:sz w:val="20"/>
                <w:szCs w:val="20"/>
                <w:color w:val="auto"/>
              </w:rPr>
            </w:pPr>
            <w:r>
              <w:rPr>
                <w:rFonts w:ascii="Arial" w:cs="Arial" w:eastAsia="Arial" w:hAnsi="Arial"/>
                <w:sz w:val="16"/>
                <w:szCs w:val="16"/>
                <w:color w:val="auto"/>
              </w:rPr>
              <w:t>Net unamortized (discount)/premium and debt issuance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06"/>
        </w:trPr>
        <w:tc>
          <w:tcPr>
            <w:tcW w:w="5260" w:type="dxa"/>
            <w:vAlign w:val="bottom"/>
            <w:gridSpan w:val="2"/>
          </w:tcPr>
          <w:p>
            <w:pPr>
              <w:ind w:left="920"/>
              <w:spacing w:after="0"/>
              <w:rPr>
                <w:sz w:val="20"/>
                <w:szCs w:val="20"/>
                <w:color w:val="auto"/>
              </w:rPr>
            </w:pPr>
            <w:r>
              <w:rPr>
                <w:rFonts w:ascii="Arial" w:cs="Arial" w:eastAsia="Arial" w:hAnsi="Arial"/>
                <w:sz w:val="16"/>
                <w:szCs w:val="16"/>
                <w:color w:val="auto"/>
              </w:rPr>
              <w:t>costs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(11,649)</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1,976,594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1,732,551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03"/>
        </w:trPr>
        <w:tc>
          <w:tcPr>
            <w:tcW w:w="526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60"/>
        </w:trPr>
        <w:tc>
          <w:tcPr>
            <w:tcW w:w="4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Pr>
          <w:p>
            <w:pPr>
              <w:spacing w:after="0"/>
              <w:rPr>
                <w:sz w:val="5"/>
                <w:szCs w:val="5"/>
                <w:color w:val="auto"/>
              </w:rPr>
            </w:pPr>
          </w:p>
        </w:tc>
      </w:tr>
      <w:tr>
        <w:trPr>
          <w:trHeight w:val="270"/>
        </w:trPr>
        <w:tc>
          <w:tcPr>
            <w:tcW w:w="5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Various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71,590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71,620</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Various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2106</w:t>
            </w:r>
          </w:p>
        </w:tc>
      </w:tr>
      <w:tr>
        <w:trPr>
          <w:trHeight w:val="217"/>
        </w:trPr>
        <w:tc>
          <w:tcPr>
            <w:tcW w:w="52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26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2,798,452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2,627,216</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6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January 13, 2016, in connection with the acquisition of our partner's 70% interest in our unconsolidated real estate partnership, we assumed interest only mortgage loans with a face amount of $34.4 million and a fair value of $34.7 million. These mortgage loans had a weighted average interest rate of 5.95% and were repaid at par on April 1, 2016.</w:t>
      </w:r>
    </w:p>
    <w:p>
      <w:pPr>
        <w:spacing w:after="0" w:line="4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April 20, 2016, we upsized our $600.0 million revolving credit facility to $800.0 million and extended the maturity date to April 20, 2020, subject to two six-month extensions at our option. Under the amended credit facility, the spread over LIBOR is 82.5 basis points based on our current credit rating. In addition, we have an option (subject to bank approval) to increase the credit facility through an accordion feature to $1.5 billion. The revolving credit facility requires an annual facility fee of $1.0 million. During 2016, 2015 and 2014, the maximum amount of borrowings outstanding under our revolving credit facility was $251.5 million, $324.0 million and $79.5 million, respectively. The weighted average amount of borrowings outstanding was $77.3 million, $109.7 million and $12.5 million, respectively, and the weighted average interest rate, before amortization of debt fees, was 1.3%, 1.1% and 1.1%, respectively. At December 31, 2016, our revolving credit facility had no balance outstanding, and had $53.5 million outstanding at December 31, 2015.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6" w:right="239" w:bottom="1022"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July 12, 2016, we issued $250.0 million of fixed rate senior unsecured notes that mature on August 1, 2046 and bear interest at 3.625%. The notes were offered at 97.756% of the principal amount with a yield to maturity of 3.75%. The net proceeds from this note offering after issuance discounts, underwriting fees, and other costs were $241.8 million.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2016 we repaid the $9.4 million Escondido municipal bonds at par.</w:t>
      </w:r>
    </w:p>
    <w:p>
      <w:pPr>
        <w:spacing w:after="0" w:line="90"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Our revolving credit facility and certain notes require us to comply with various financial covenants, including the maintenance of minimum shareholders’ equity and debt coverage ratios and a maximum ratio of debt to net worth. As of December 31, 2016, we were in compliance with all loan covenants.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on mortgages payable, notes payable, senior notes and debentures as of December 31, 2016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Mortgages</w:t>
            </w:r>
          </w:p>
        </w:tc>
        <w:tc>
          <w:tcPr>
            <w:tcW w:w="300" w:type="dxa"/>
            <w:vAlign w:val="bottom"/>
          </w:tcPr>
          <w:p>
            <w:pPr>
              <w:spacing w:after="0"/>
              <w:rPr>
                <w:sz w:val="14"/>
                <w:szCs w:val="14"/>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Notes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Senior Notes and</w:t>
            </w:r>
          </w:p>
        </w:tc>
        <w:tc>
          <w:tcPr>
            <w:tcW w:w="300" w:type="dxa"/>
            <w:vAlign w:val="bottom"/>
          </w:tcPr>
          <w:p>
            <w:pPr>
              <w:spacing w:after="0"/>
              <w:rPr>
                <w:sz w:val="14"/>
                <w:szCs w:val="14"/>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860"/>
              <w:spacing w:after="0"/>
              <w:rPr>
                <w:sz w:val="20"/>
                <w:szCs w:val="20"/>
                <w:color w:val="auto"/>
              </w:rPr>
            </w:pPr>
            <w:r>
              <w:rPr>
                <w:rFonts w:ascii="Arial" w:cs="Arial" w:eastAsia="Arial" w:hAnsi="Arial"/>
                <w:sz w:val="14"/>
                <w:szCs w:val="14"/>
                <w:b w:val="1"/>
                <w:bCs w:val="1"/>
                <w:color w:val="auto"/>
                <w:w w:val="90"/>
              </w:rPr>
              <w:t>Payable</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Payable</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Debentures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Principal</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222,445</w:t>
            </w:r>
          </w:p>
        </w:tc>
        <w:tc>
          <w:tcPr>
            <w:tcW w:w="5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462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222,907</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15,477</w:t>
            </w: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275,513</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290,990</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25,006</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567</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25,573</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64,687</w:t>
            </w: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629</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215,316</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5,984</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700</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256,684</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132,706</w:t>
            </w:r>
          </w:p>
        </w:tc>
        <w:tc>
          <w:tcPr>
            <w:tcW w:w="5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2,376</w:t>
            </w:r>
          </w:p>
        </w:tc>
        <w:tc>
          <w:tcPr>
            <w:tcW w:w="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1,594,200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1,729,282</w:t>
            </w:r>
          </w:p>
        </w:tc>
        <w:tc>
          <w:tcPr>
            <w:tcW w:w="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466,305</w:t>
            </w:r>
          </w:p>
        </w:tc>
        <w:tc>
          <w:tcPr>
            <w:tcW w:w="5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280,247</w:t>
            </w:r>
          </w:p>
        </w:tc>
        <w:tc>
          <w:tcPr>
            <w:tcW w:w="5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1,994,200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2,740,752</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$275.0 million unsecured term loan matures on November 21, 2018, subject to a one-year extension at our option.</w:t>
      </w:r>
    </w:p>
    <w:p>
      <w:pPr>
        <w:spacing w:after="0" w:line="8"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$800.0 million revolving credit facility matures on April 20, 2020, subject to two six-month extensions at our option. As of December 31, 2016, there was no outstanding balance under this credit facility.</w:t>
      </w:r>
    </w:p>
    <w:p>
      <w:pPr>
        <w:ind w:left="660" w:right="900" w:hanging="328"/>
        <w:spacing w:after="0" w:line="289"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total debt maturities differ from the total reported on the consolidated balance sheet as of December 31, 2016 due to the unamortized premium/(discount) and debt issuance costs on certain mortgages payable, notes payable, and senior notes.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and their present value for property under capital leases as of December 31, 2016, are as follows: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5,797</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5,800</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5,800</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148,235</w:t>
            </w:r>
          </w:p>
        </w:tc>
      </w:tr>
      <w:tr>
        <w:trPr>
          <w:trHeight w:val="236"/>
        </w:trPr>
        <w:tc>
          <w:tcPr>
            <w:tcW w:w="100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177,232</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(105,642)</w:t>
            </w:r>
          </w:p>
        </w:tc>
      </w:tr>
      <w:tr>
        <w:trPr>
          <w:trHeight w:val="236"/>
        </w:trPr>
        <w:tc>
          <w:tcPr>
            <w:tcW w:w="10060" w:type="dxa"/>
            <w:vAlign w:val="bottom"/>
          </w:tcPr>
          <w:p>
            <w:pPr>
              <w:ind w:left="40"/>
              <w:spacing w:after="0"/>
              <w:rPr>
                <w:sz w:val="20"/>
                <w:szCs w:val="20"/>
                <w:color w:val="auto"/>
              </w:rPr>
            </w:pPr>
            <w:r>
              <w:rPr>
                <w:rFonts w:ascii="Arial" w:cs="Arial" w:eastAsia="Arial" w:hAnsi="Arial"/>
                <w:sz w:val="18"/>
                <w:szCs w:val="18"/>
                <w:color w:val="auto"/>
              </w:rPr>
              <w:t>Present value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71,590</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8—FAIR VALUE OF FINANCIAL INSTRUMENTS</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fair value measurement is based on the assumptions that market participants would use in pricing an asset or liability in an orderly transaction. The hierarchy for inputs used in measuring fair value are as follows:</w:t>
      </w:r>
    </w:p>
    <w:p>
      <w:pPr>
        <w:spacing w:after="0" w:line="116" w:lineRule="exact"/>
        <w:rPr>
          <w:sz w:val="20"/>
          <w:szCs w:val="20"/>
          <w:color w:val="auto"/>
        </w:rPr>
      </w:pPr>
    </w:p>
    <w:p>
      <w:pPr>
        <w:ind w:left="580" w:hanging="545"/>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1 Inputs—quoted prices in active markets for identical assets or liabilities</w:t>
      </w:r>
    </w:p>
    <w:p>
      <w:pPr>
        <w:spacing w:after="0" w:line="197" w:lineRule="exact"/>
        <w:rPr>
          <w:rFonts w:ascii="Arial" w:cs="Arial" w:eastAsia="Arial" w:hAnsi="Arial"/>
          <w:sz w:val="18"/>
          <w:szCs w:val="18"/>
          <w:color w:val="auto"/>
        </w:rPr>
      </w:pPr>
    </w:p>
    <w:p>
      <w:pPr>
        <w:ind w:left="580" w:hanging="545"/>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2 Inputs—observable inputs other than quoted prices in active markets for identical assets and liabilities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left="580" w:right="3200" w:hanging="545"/>
        <w:spacing w:after="0" w:line="277"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3 Inputs—prices or valuation techniques that require inputs that are both significant to the fair value measurement and unobservable</w:t>
      </w:r>
    </w:p>
    <w:p>
      <w:pPr>
        <w:spacing w:after="0" w:line="143"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1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41"/>
              <w:spacing w:after="0" w:line="152"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21"/>
              <w:spacing w:after="0" w:line="152"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750,268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760,260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823,045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833,931</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61"/>
              <w:spacing w:after="0"/>
              <w:rPr>
                <w:sz w:val="20"/>
                <w:szCs w:val="20"/>
                <w:color w:val="auto"/>
              </w:rPr>
            </w:pPr>
            <w:r>
              <w:rPr>
                <w:rFonts w:ascii="Arial" w:cs="Arial" w:eastAsia="Arial" w:hAnsi="Arial"/>
                <w:sz w:val="18"/>
                <w:szCs w:val="18"/>
                <w:color w:val="auto"/>
              </w:rPr>
              <w:t>1,976,594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2,015,973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1,732,551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1,786,758</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we have two interest rate swap agreements with a notional amount of $275.0 million that are measured at fair value on a recurring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basis. The interest rate swap agreements fix the variable portion of our $275.0 million term loan at 1.72% through November 1, 2018. The fair values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swap agreements are based on the estimated amounts we would receive or pay to terminate the contracts at the reporting date and are determined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interest rate pricing models and interest rate related observable inputs. The fair value of our swaps at December 31, 2016 and 2015, was a liability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 million and $4.1 million, respectively, and are included in "accounts payable and accrued expenses" on our consolidated balance sheets. The value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rate swaps increased $1.5 million and decreased $0.6 million (including $3.5 million and $4.3 million respectively, reclassified from other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comprehensive loss to earnings) for 2016 and 2015, respectively. These changes in value are included in "accumulated other comprehensive income/loss."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summary of our financial liabilities that are measured at fair value on a recurring basis, by level within the fair value hierarchy is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December 31, 2016</w:t>
            </w:r>
          </w:p>
        </w:tc>
        <w:tc>
          <w:tcPr>
            <w:tcW w:w="6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2015</w:t>
            </w:r>
          </w:p>
        </w:tc>
        <w:tc>
          <w:tcPr>
            <w:tcW w:w="780" w:type="dxa"/>
            <w:vAlign w:val="bottom"/>
            <w:tcBorders>
              <w:bottom w:val="single" w:sz="8" w:color="auto"/>
            </w:tcBorders>
          </w:tcPr>
          <w:p>
            <w:pPr>
              <w:spacing w:after="0"/>
              <w:rPr>
                <w:sz w:val="16"/>
                <w:szCs w:val="16"/>
                <w:color w:val="auto"/>
              </w:rPr>
            </w:pPr>
          </w:p>
        </w:tc>
      </w:tr>
      <w:tr>
        <w:trPr>
          <w:trHeight w:val="263"/>
        </w:trPr>
        <w:tc>
          <w:tcPr>
            <w:tcW w:w="286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Level 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6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250"/>
        </w:trPr>
        <w:tc>
          <w:tcPr>
            <w:tcW w:w="2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2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9"/>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2,577</w:t>
            </w:r>
          </w:p>
        </w:tc>
        <w:tc>
          <w:tcPr>
            <w:tcW w:w="8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2,577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4,110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4,110</w:t>
            </w:r>
          </w:p>
        </w:tc>
      </w:tr>
      <w:tr>
        <w:trPr>
          <w:trHeight w:val="27"/>
        </w:trPr>
        <w:tc>
          <w:tcPr>
            <w:tcW w:w="28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w:t>
      </w:r>
    </w:p>
    <w:p>
      <w:pPr>
        <w:spacing w:after="0" w:line="3" w:lineRule="exact"/>
        <w:rPr>
          <w:sz w:val="20"/>
          <w:szCs w:val="20"/>
          <w:color w:val="auto"/>
        </w:rPr>
      </w:pPr>
    </w:p>
    <w:p>
      <w:pPr>
        <w:ind w:right="140" w:firstLine="8"/>
        <w:spacing w:after="0" w:line="260"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owner of the properties due to certain matters relating to the operation of the properties by the tenant, and (2) where appropriate, due to certain matters relating to the ownership of the properties prior to their acquisition by us.</w:t>
      </w:r>
    </w:p>
    <w:p>
      <w:pPr>
        <w:spacing w:after="0" w:line="13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November 2016, we were included as a defendant in a class action lawsuit related to predatory towing by a third party company we had retained to provide towing services at several of our properties in Montgomery County, Maryland. We were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not named as a defendant in the litigation prior to the certification of the defendant class. In December 2015, the towing company defendant reached a settlement with the plaintiff class that resulted in a $22 million judgment being entered against them. After the judgment was entered, the Circuit Court for Montgomery County, Maryland certified a defendant class of approximately 600 property owners, including us. We believe this is the first time a Maryland court has certified a defendant class that has resulted in a complete denial of due process to the members of that class and together with others in the defendant class, filed a Writ of Mandamus challenging the certification of the defendant class. The hearing of the Writ by the Court of Appeals is discretionary. Because of the specific facts and circumstances of our contractual relationship with the towing company, we do not believe we should have been included in the defendant class nor do we believe we should have any liability in this matter. We are currently pursuing all available legal remedies and intend to vigorously defend ourselves in the matter, including defenses based on the total lack of due process afforded to us to present our unique facts and circumstances. We believe our potential loss in this matter ranges from $0 to an undetermined share of the $22 million judgment. The judgment does not provide any guidance for how the judgment amount is to be shared amongst the defendant class.</w:t>
      </w:r>
    </w:p>
    <w:p>
      <w:pPr>
        <w:spacing w:after="0" w:line="1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previous experience in our portfolio, and future increases in costs of claims, when making these determinations. If our liability costs exceed these accruals, it will reduce our net income.</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During 2016, the legal liability period relating to our latent defect warranty on condominiums sold at Santana Row expired. Upon expiration, we released the remaining $4.9 million warranty reserve which is included in "gain on sale of real estate and change in control of interests" in the consolidated statement of comprehensive income for the year ended December 31, 2016.</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At December 31, 2016 and 2015, our reserves for warranties and general liability costs were $2.8 million and $7.7 million, respectively, and are included in “accounts payable and accrued expenses” in our consolidated balance sheets. Any potential losses which exceed our estimates would result in a decrease in our net income. During 2016 and 2015, we made payments from these reserves of $2.0 million and $1.8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we had letters of credit outstanding of approximately $1.3 million.</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2016 in connection with capital improvement, development, and redevelopment projects, the Trust has contractual obligations of approximately $445.3 million.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ground lease agreements on several shopping centers requiring minimum annual payments as follows, as of December 31, 2016:</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2,070</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3,174</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3,195</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170,698</w:t>
            </w:r>
          </w:p>
        </w:tc>
      </w:tr>
      <w:tr>
        <w:trPr>
          <w:trHeight w:val="236"/>
        </w:trPr>
        <w:tc>
          <w:tcPr>
            <w:tcW w:w="100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185,345</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terms of the Congressional Plaza partnership agreement, a minority partner has the right to require us and the other minority partner to purchase its 29.47% interest in Congressional Plaza at the interest’s then-current fair market value. If the other minority partner defaults in their obligation, we must purchase the full interest. Based on management’s current estimate of fair market value as of December 31, 2016, our estimated maximum liability upon exercise of the put option would range from approximately $89 million to $93 million.</w:t>
      </w:r>
    </w:p>
    <w:p>
      <w:pPr>
        <w:spacing w:after="0" w:line="5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master lease for Melville Mall includes a fixed purchase price option in 2021 for $5 million. If we fail to exercise our purchase option, the owner of Melville Mall has a put option which would require us to purchase Melville Mall in 2023 for $5 million.</w:t>
      </w:r>
    </w:p>
    <w:p>
      <w:pPr>
        <w:spacing w:after="0" w:line="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 Based on management’s current estimate of fair market value as of December 31, 2016, our estimated maximum liability upon exercise of the put option would range from approximately $9 million to $10 million.</w:t>
      </w:r>
    </w:p>
    <w:p>
      <w:pPr>
        <w:spacing w:after="0" w:line="5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2016, our estimated maximum liability upon exercise of the put option would range from approximately $21 million to $24 million. Also, we exercised our option to acquire the preferred interest of a member in our Plaza El Segundo partnership for $4.9 million. The transaction is expected to close in 2018.</w:t>
      </w:r>
    </w:p>
    <w:p>
      <w:pPr>
        <w:spacing w:after="0" w:line="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January 1, 2017, the other member in The Grove at Shrewsbury and Brook 35 has the right to require us to purchase all of its approximately 4.8% interest in The Grove at Shrewsbury and approximately 8.8% interest in Brook 35 at the interests' then-current fair market value. Based on management's current estimate of fair market value as of December 31, 2016, our estimated maximum liability upon exercise of the put option would range from $10 million to $11 million.</w:t>
      </w:r>
    </w:p>
    <w:p>
      <w:pPr>
        <w:spacing w:after="0" w:line="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763,797 downREIT operating partnership units are outstanding which have a total fair value of $108.5 million, based on our closing stock price on December 31, 2016.</w:t>
      </w:r>
    </w:p>
    <w:p>
      <w:pPr>
        <w:spacing w:after="0" w:line="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February 12, 2016, we acquired the 10% noncontrolling interest of a partnership which owns a project in southern California for $13.0 million, bringing our ownership interest to 100%.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EQUITY</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a Dividend Reinvestment Plan (the “Plan”), whereby shareholders may use their dividends and optional cash payments to purchase shares. In 2016, 2015 and 2014, 15,619 shares, 16,524 shares and 18,705 shares, respectively, were issued under the Plan.</w:t>
      </w:r>
    </w:p>
    <w:p>
      <w:pPr>
        <w:spacing w:after="0" w:line="3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As of December 31, 2016, 2015, and 2014, we had 399,896 shares of 5.417% Series 1 Cumulative Convertible Preferred Shares (“Series 1 Preferred Shares”) outstanding that have a liquidation preference of $25 per share and</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par value $0.01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7, 2016, we issued 1.0 million common shares at $149.43 per share, in an underwritten public offering, for cash proceeds of $149.3 million, net of expenses.</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November 4, 2016, we replaced our existing at-the-market (“ATM”) equity program with a new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of outstanding under our revolving credit facility and/or for general corporate purposes. For the year ended December 31, 2016, we issued 1,156,571 common shares at a weighted average price per share of $152.92 for net cash proceeds of $174.8 million and paid $1.8 million in commissions and $0.2 million in additional offering expenses related to the sales of these common shares. For the year ended December 31, 2015, we issued 813,414 common shares at a weighted average price per share of $135.01 for net cash proceeds of $108.5 million and paid $1.1 million in commissions and $0.2 million in additional offering expenses related to the sales of these common shares. As of December 31, 2016, we had the capacity to issue up to $370.9 million in common shares under our ATM equity program.</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126" w:right="25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11—DIVIDENDS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3"/>
        </w:trPr>
        <w:tc>
          <w:tcPr>
            <w:tcW w:w="5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2016</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2015</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2014</w:t>
            </w:r>
          </w:p>
        </w:tc>
        <w:tc>
          <w:tcPr>
            <w:tcW w:w="700" w:type="dxa"/>
            <w:vAlign w:val="bottom"/>
            <w:tcBorders>
              <w:bottom w:val="single" w:sz="8" w:color="auto"/>
            </w:tcBorders>
          </w:tcPr>
          <w:p>
            <w:pPr>
              <w:spacing w:after="0"/>
              <w:rPr>
                <w:sz w:val="22"/>
                <w:szCs w:val="22"/>
                <w:color w:val="auto"/>
              </w:rPr>
            </w:pPr>
          </w:p>
        </w:tc>
      </w:tr>
      <w:tr>
        <w:trPr>
          <w:trHeight w:val="263"/>
        </w:trPr>
        <w:tc>
          <w:tcPr>
            <w:tcW w:w="5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Paid</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49"/>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3.210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1.354</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income tax status of dividends per share paid is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Ordinary dividend</w:t>
            </w: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3.800</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3.515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3.178</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gain</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0.035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0.032</w:t>
            </w:r>
          </w:p>
        </w:tc>
      </w:tr>
      <w:tr>
        <w:trPr>
          <w:trHeight w:val="236"/>
        </w:trPr>
        <w:tc>
          <w:tcPr>
            <w:tcW w:w="7080" w:type="dxa"/>
            <w:vAlign w:val="bottom"/>
          </w:tcPr>
          <w:p>
            <w:pPr>
              <w:spacing w:after="0"/>
              <w:rPr>
                <w:sz w:val="20"/>
                <w:szCs w:val="20"/>
                <w:color w:val="auto"/>
              </w:rPr>
            </w:pPr>
          </w:p>
        </w:tc>
        <w:tc>
          <w:tcPr>
            <w:tcW w:w="8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3.800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3.550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3.210</w:t>
            </w:r>
          </w:p>
        </w:tc>
      </w:tr>
      <w:tr>
        <w:trPr>
          <w:trHeight w:val="67"/>
        </w:trPr>
        <w:tc>
          <w:tcPr>
            <w:tcW w:w="708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0"/>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5.417% Series 1 Cumulative Convertible Preferred shares</w:t>
            </w: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Ordinary dividend</w:t>
            </w: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1.354</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1.340</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gain</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0.014</w:t>
            </w:r>
          </w:p>
        </w:tc>
      </w:tr>
      <w:tr>
        <w:trPr>
          <w:trHeight w:val="236"/>
        </w:trPr>
        <w:tc>
          <w:tcPr>
            <w:tcW w:w="7080" w:type="dxa"/>
            <w:vAlign w:val="bottom"/>
          </w:tcPr>
          <w:p>
            <w:pPr>
              <w:spacing w:after="0"/>
              <w:rPr>
                <w:sz w:val="20"/>
                <w:szCs w:val="20"/>
                <w:color w:val="auto"/>
              </w:rPr>
            </w:pPr>
          </w:p>
        </w:tc>
        <w:tc>
          <w:tcPr>
            <w:tcW w:w="8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1.354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1.354</w:t>
            </w:r>
          </w:p>
        </w:tc>
      </w:tr>
      <w:tr>
        <w:trPr>
          <w:trHeight w:val="27"/>
        </w:trPr>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November 2, 2016, the Trustees declared a quarterly cash dividend of $0.98 per common share, payable January 17, 2017 to common shareholders of record on January 3,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12—OPERATING LEASES</w:t>
      </w:r>
    </w:p>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At December 31, 2016, our 96 predominantly retail shopping center and mixed-use properties are located in 12 states and the District of Columbia. There are approximately 2,900 leases with tenants providing a wide range of retail products and services. These tenants range from sole proprietorships to national retailers; no one tenant or corporate group of tenants accounts for more than 3.1% of annualized base rent.</w:t>
      </w:r>
    </w:p>
    <w:p>
      <w:pPr>
        <w:spacing w:after="0" w:line="111"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2016, minimum future commercial property rentals from noncancelable operating leases, before any reserve for uncollectible amounts and assuming no early lease terminations, at our operating properties are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6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2017</w:t>
            </w:r>
          </w:p>
        </w:tc>
        <w:tc>
          <w:tcPr>
            <w:tcW w:w="6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542,941</w:t>
            </w:r>
          </w:p>
        </w:tc>
      </w:tr>
      <w:tr>
        <w:trPr>
          <w:trHeight w:val="27"/>
        </w:trPr>
        <w:tc>
          <w:tcPr>
            <w:tcW w:w="37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488,668</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2019</w:t>
            </w:r>
          </w:p>
        </w:tc>
        <w:tc>
          <w:tcPr>
            <w:tcW w:w="6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427,595</w:t>
            </w:r>
          </w:p>
        </w:tc>
      </w:tr>
      <w:tr>
        <w:trPr>
          <w:trHeight w:val="27"/>
        </w:trPr>
        <w:tc>
          <w:tcPr>
            <w:tcW w:w="37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365,231</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2021</w:t>
            </w:r>
          </w:p>
        </w:tc>
        <w:tc>
          <w:tcPr>
            <w:tcW w:w="6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297,953</w:t>
            </w:r>
          </w:p>
        </w:tc>
      </w:tr>
      <w:tr>
        <w:trPr>
          <w:trHeight w:val="27"/>
        </w:trPr>
        <w:tc>
          <w:tcPr>
            <w:tcW w:w="37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6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1,681,024</w:t>
            </w:r>
          </w:p>
        </w:tc>
      </w:tr>
      <w:tr>
        <w:trPr>
          <w:trHeight w:val="236"/>
        </w:trPr>
        <w:tc>
          <w:tcPr>
            <w:tcW w:w="37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3,803,412</w:t>
            </w:r>
          </w:p>
        </w:tc>
      </w:tr>
      <w:tr>
        <w:trPr>
          <w:trHeight w:val="27"/>
        </w:trPr>
        <w:tc>
          <w:tcPr>
            <w:tcW w:w="37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71"/>
        </w:trPr>
        <w:tc>
          <w:tcPr>
            <w:tcW w:w="3740" w:type="dxa"/>
            <w:vAlign w:val="bottom"/>
          </w:tcPr>
          <w:p>
            <w:pPr>
              <w:spacing w:after="0"/>
              <w:rPr>
                <w:sz w:val="24"/>
                <w:szCs w:val="24"/>
                <w:color w:val="auto"/>
              </w:rPr>
            </w:pPr>
          </w:p>
        </w:tc>
        <w:tc>
          <w:tcPr>
            <w:tcW w:w="6500" w:type="dxa"/>
            <w:vAlign w:val="bottom"/>
            <w:gridSpan w:val="2"/>
          </w:tcPr>
          <w:p>
            <w:pPr>
              <w:jc w:val="right"/>
              <w:ind w:right="4270"/>
              <w:spacing w:after="0"/>
              <w:rPr>
                <w:sz w:val="20"/>
                <w:szCs w:val="20"/>
                <w:color w:val="auto"/>
              </w:rPr>
            </w:pPr>
            <w:r>
              <w:rPr>
                <w:rFonts w:ascii="Arial" w:cs="Arial" w:eastAsia="Arial" w:hAnsi="Arial"/>
                <w:sz w:val="18"/>
                <w:szCs w:val="18"/>
                <w:color w:val="auto"/>
              </w:rPr>
              <w:t>F-25</w:t>
            </w: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13—COMPONENTS OF RENTAL INCOME AND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080" w:type="dxa"/>
            <w:vAlign w:val="bottom"/>
          </w:tcPr>
          <w:p>
            <w:pPr>
              <w:ind w:left="40"/>
              <w:spacing w:after="0"/>
              <w:rPr>
                <w:sz w:val="20"/>
                <w:szCs w:val="20"/>
                <w:color w:val="auto"/>
              </w:rPr>
            </w:pPr>
            <w:r>
              <w:rPr>
                <w:rFonts w:ascii="Arial" w:cs="Arial" w:eastAsia="Arial" w:hAnsi="Arial"/>
                <w:sz w:val="18"/>
                <w:szCs w:val="18"/>
                <w:color w:val="auto"/>
              </w:rPr>
              <w:t>Minimum rents</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 and commercial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549,552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509,825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472,602</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42,797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36,099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reimbursement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148,110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135,592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Percentage rent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11,911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10,169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15,169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11,860</w:t>
            </w:r>
          </w:p>
        </w:tc>
        <w:tc>
          <w:tcPr>
            <w:tcW w:w="0" w:type="dxa"/>
            <w:vAlign w:val="bottom"/>
          </w:tcPr>
          <w:p>
            <w:pPr>
              <w:spacing w:after="0"/>
              <w:rPr>
                <w:sz w:val="1"/>
                <w:szCs w:val="1"/>
                <w:color w:val="auto"/>
              </w:rPr>
            </w:pP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Total rental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786,583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727,812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666,322</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Arial" w:cs="Arial" w:eastAsia="Arial" w:hAnsi="Arial"/>
                <w:sz w:val="18"/>
                <w:szCs w:val="18"/>
                <w:color w:val="auto"/>
              </w:rPr>
              <w:t>Minimum rents include the following:</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080" w:type="dxa"/>
            <w:vAlign w:val="bottom"/>
          </w:tcPr>
          <w:p>
            <w:pPr>
              <w:ind w:left="40"/>
              <w:spacing w:after="0"/>
              <w:rPr>
                <w:sz w:val="20"/>
                <w:szCs w:val="20"/>
                <w:color w:val="auto"/>
              </w:rPr>
            </w:pPr>
            <w:r>
              <w:rPr>
                <w:rFonts w:ascii="Arial" w:cs="Arial" w:eastAsia="Arial" w:hAnsi="Arial"/>
                <w:sz w:val="18"/>
                <w:szCs w:val="18"/>
                <w:color w:val="auto"/>
              </w:rPr>
              <w:t>Straight-line rents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of above and below market leases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78"/>
        </w:trPr>
        <w:tc>
          <w:tcPr>
            <w:tcW w:w="7080" w:type="dxa"/>
            <w:vAlign w:val="bottom"/>
          </w:tcPr>
          <w:p>
            <w:pPr>
              <w:spacing w:after="0"/>
              <w:rPr>
                <w:sz w:val="20"/>
                <w:szCs w:val="20"/>
                <w:color w:val="auto"/>
              </w:rPr>
            </w:pPr>
            <w:r>
              <w:rPr>
                <w:rFonts w:ascii="Arial" w:cs="Arial" w:eastAsia="Arial" w:hAnsi="Arial"/>
                <w:sz w:val="18"/>
                <w:szCs w:val="18"/>
                <w:color w:val="auto"/>
              </w:rPr>
              <w:t>The principal components of rental expenses are as follows: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Repairs and maintenance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64,942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62,420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55,444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Utilities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23,003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20,499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fees and costs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17,416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Payroll</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12,673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11,554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9,046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Insurance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7,875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6,462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Ground rent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10,229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Total rental expenses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158,326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147,593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135,417</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NOTE 14—SHARE-BASED COMPENSATION PLANS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gridSpan w:val="3"/>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common shares and options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11,227</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12,074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12,941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9,917</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11,206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11,753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December 31, 2016, we have grants outstanding under two share-based compensation plans. In May 2010, our shareholders approved the 2010 Performance Incentive Plan, as amended (“the 2010 Plan”), which authorized the grant of share options, common shares and other share-based awards for up to 2,450,000 common shares of beneficial interest. Our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2001 Long Term Incentive Plan (the “2001 Plan”), which expired in May 2010, authorized the grant of share options, common shares and other share-based awards of 3,250,000 common shares of beneficial interest.</w:t>
      </w:r>
    </w:p>
    <w:p>
      <w:pPr>
        <w:spacing w:after="0" w:line="11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Option awards under both plans are required to have an exercise price at least equal to the closing trading price of our common shares on the date of grant. Options and restricted share awards under these plans generally vest over three to seven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 or upon termination without cause.</w:t>
      </w:r>
    </w:p>
    <w:p>
      <w:pPr>
        <w:spacing w:after="0" w:line="10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2015 and 2014.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weighted-average assumption used to value options granted in 2016:</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Risk free interest rate</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05"/>
        </w:trPr>
        <w:tc>
          <w:tcPr>
            <w:tcW w:w="5100" w:type="dxa"/>
            <w:vAlign w:val="bottom"/>
            <w:gridSpan w:val="2"/>
          </w:tcPr>
          <w:p>
            <w:pPr>
              <w:spacing w:after="0"/>
              <w:rPr>
                <w:sz w:val="20"/>
                <w:szCs w:val="20"/>
                <w:color w:val="auto"/>
              </w:rPr>
            </w:pPr>
            <w:r>
              <w:rPr>
                <w:rFonts w:ascii="Arial" w:cs="Arial" w:eastAsia="Arial" w:hAnsi="Arial"/>
                <w:sz w:val="18"/>
                <w:szCs w:val="18"/>
                <w:color w:val="auto"/>
                <w:w w:val="96"/>
              </w:rPr>
              <w:t>The following table provides a summary of option activity for 2016:</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24"/>
                <w:szCs w:val="2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24"/>
                <w:szCs w:val="24"/>
                <w:color w:val="auto"/>
              </w:rPr>
            </w:pPr>
          </w:p>
        </w:tc>
        <w:tc>
          <w:tcPr>
            <w:tcW w:w="13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Under</w:t>
            </w: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3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years)</w:t>
            </w:r>
          </w:p>
        </w:tc>
        <w:tc>
          <w:tcPr>
            <w:tcW w:w="240" w:type="dxa"/>
            <w:vAlign w:val="bottom"/>
          </w:tcPr>
          <w:p>
            <w:pPr>
              <w:spacing w:after="0"/>
              <w:rPr>
                <w:sz w:val="21"/>
                <w:szCs w:val="21"/>
                <w:color w:val="auto"/>
              </w:rPr>
            </w:pPr>
          </w:p>
        </w:tc>
        <w:tc>
          <w:tcPr>
            <w:tcW w:w="136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313,802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60.93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152.34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82.03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259,119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56.66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22,148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2016</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258,437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56.41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22,148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weighted-average grant-date fair value of options granted during 2016 was $19.52 per share. The total cash received from options exercised during 2016, 2015 and 2014 was $4.5 million, $2.0 million and $2.3 million, respectively. The total intrinsic value of options exercised during the years ended December 31, 2016, 2015 and 2014 was $4.2 million, $2.1 million and $1.1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restricted share activity for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8120" w:type="dxa"/>
            <w:vAlign w:val="bottom"/>
          </w:tcPr>
          <w:p>
            <w:pPr>
              <w:spacing w:after="0"/>
              <w:rPr>
                <w:sz w:val="12"/>
                <w:szCs w:val="12"/>
                <w:color w:val="auto"/>
              </w:rPr>
            </w:pPr>
          </w:p>
        </w:tc>
        <w:tc>
          <w:tcPr>
            <w:tcW w:w="16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2015</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177,214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118.68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153,450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152.70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(18,537)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129.08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217,353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142.70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color w:val="auto"/>
        </w:rPr>
        <w:t>The weighted-average grant-date fair value of stock awarded in 2016, 2015 and 2014 was $152.70, $141.08 and $111.45, respectively. The total vesting-date fair value of shares vested during the year ended December 31, 2016, 2015 and 2014, was $13.8 million, $26.1 million and $12.1 million, respectively.</w:t>
      </w:r>
    </w:p>
    <w:p>
      <w:pPr>
        <w:spacing w:after="0" w:line="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of December 31, 2016, there was $15.0 million of total unrecognized compensation cost related to unvested share-based compensation arrangements (i.e. options and unvested shares) granted under our plans. This cost is expected to be recognized over the next 7.4 years with a weighted-average period of 2.5 years.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2016, common shares were awarded under various compensation plans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Date</w:t>
            </w:r>
          </w:p>
        </w:tc>
        <w:tc>
          <w:tcPr>
            <w:tcW w:w="1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Award</w:t>
            </w:r>
          </w:p>
        </w:tc>
        <w:tc>
          <w:tcPr>
            <w:tcW w:w="1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Vesting Term</w:t>
            </w:r>
          </w:p>
        </w:tc>
        <w:tc>
          <w:tcPr>
            <w:tcW w:w="14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Beneficiary</w:t>
            </w:r>
          </w:p>
        </w:tc>
      </w:tr>
      <w:tr>
        <w:trPr>
          <w:trHeight w:val="249"/>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3, 2017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2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Shares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Immediate</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Trustees</w:t>
            </w:r>
          </w:p>
        </w:tc>
      </w:tr>
      <w:tr>
        <w:trPr>
          <w:trHeight w:val="24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February 7, 2017</w:t>
            </w:r>
          </w:p>
        </w:tc>
        <w:tc>
          <w:tcPr>
            <w:tcW w:w="1080" w:type="dxa"/>
            <w:vAlign w:val="bottom"/>
          </w:tcPr>
          <w:p>
            <w:pPr>
              <w:jc w:val="right"/>
              <w:spacing w:after="0"/>
              <w:rPr>
                <w:sz w:val="20"/>
                <w:szCs w:val="20"/>
                <w:color w:val="auto"/>
              </w:rPr>
            </w:pPr>
            <w:r>
              <w:rPr>
                <w:rFonts w:ascii="Arial" w:cs="Arial" w:eastAsia="Arial" w:hAnsi="Arial"/>
                <w:sz w:val="18"/>
                <w:szCs w:val="18"/>
                <w:color w:val="auto"/>
              </w:rPr>
              <w:t>101,009</w:t>
            </w: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Restricted shares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3-4 years</w:t>
            </w:r>
          </w:p>
        </w:tc>
        <w:tc>
          <w:tcPr>
            <w:tcW w:w="3180" w:type="dxa"/>
            <w:vAlign w:val="bottom"/>
          </w:tcPr>
          <w:p>
            <w:pPr>
              <w:ind w:left="20"/>
              <w:spacing w:after="0"/>
              <w:rPr>
                <w:sz w:val="20"/>
                <w:szCs w:val="20"/>
                <w:color w:val="auto"/>
              </w:rPr>
            </w:pPr>
            <w:r>
              <w:rPr>
                <w:rFonts w:ascii="Arial" w:cs="Arial" w:eastAsia="Arial" w:hAnsi="Arial"/>
                <w:sz w:val="18"/>
                <w:szCs w:val="18"/>
                <w:color w:val="auto"/>
              </w:rPr>
              <w:t>Officers and key employees</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15—SAVINGS AND RETIREMENT PLANS</w:t>
      </w:r>
    </w:p>
    <w:p>
      <w:pPr>
        <w:spacing w:after="0" w:line="9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a savings and retirement plan in accordance with the provisions of Section 401(k) of the Code. Generally, employees can elect, at their discretion, to contribute a portion of their compensation up to a maximum of $18,000 for 2016 and 2015, and $17,500 for 2014.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Our expense for the years ended December 31, 2016, 2015 and 2014 was approximately $602,000, $504,000 and $442,000, respectively.</w:t>
      </w:r>
    </w:p>
    <w:p>
      <w:pPr>
        <w:spacing w:after="0" w:line="1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non-qualified deferred compensation plan for our officers and certain other employees was established in 1994 that allows the participants to defer a portion of their income. As of December 31, 2016 and 2015, we are liable to participants for approximately $10.5 million and $9.7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16—EARNINGS PER SHARE</w:t>
      </w:r>
    </w:p>
    <w:p>
      <w:pPr>
        <w:spacing w:after="0" w:line="94"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2016 and 2015, we had 0.2 million weighted average unvested shares outstanding, respectively, and in 2014, we had 0.3 million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0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no anti-dilutive stock options in 2016, 2015, or 2014.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33"/>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7"/>
          </w:tcPr>
          <w:p>
            <w:pPr>
              <w:jc w:val="center"/>
              <w:ind w:right="171"/>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190,094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167,888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Preferred share dividends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158,590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31,133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28,330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248,667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208,881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162,991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67,322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6"/>
        </w:trPr>
        <w:tc>
          <w:tcPr>
            <w:tcW w:w="778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71,049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67,492</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7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218,777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181,889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160,134</w:t>
            </w:r>
          </w:p>
        </w:tc>
        <w:tc>
          <w:tcPr>
            <w:tcW w:w="0" w:type="dxa"/>
            <w:vAlign w:val="bottom"/>
          </w:tcPr>
          <w:p>
            <w:pPr>
              <w:spacing w:after="0"/>
              <w:rPr>
                <w:sz w:val="1"/>
                <w:szCs w:val="1"/>
                <w:color w:val="auto"/>
              </w:rPr>
            </w:pPr>
          </w:p>
        </w:tc>
      </w:tr>
      <w:tr>
        <w:trPr>
          <w:trHeight w:val="917"/>
        </w:trPr>
        <w:tc>
          <w:tcPr>
            <w:tcW w:w="7780" w:type="dxa"/>
            <w:vAlign w:val="bottom"/>
          </w:tcPr>
          <w:p>
            <w:pPr>
              <w:ind w:left="5540"/>
              <w:spacing w:after="0"/>
              <w:rPr>
                <w:sz w:val="20"/>
                <w:szCs w:val="20"/>
                <w:color w:val="auto"/>
              </w:rPr>
            </w:pPr>
            <w:r>
              <w:rPr>
                <w:rFonts w:ascii="Arial" w:cs="Arial" w:eastAsia="Arial" w:hAnsi="Arial"/>
                <w:sz w:val="18"/>
                <w:szCs w:val="18"/>
                <w:color w:val="auto"/>
              </w:rPr>
              <w:t>F-29</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17—SELECTED QUARTERLY FINANCIAL DATA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right="194"/>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4"/>
                <w:szCs w:val="14"/>
                <w:color w:val="auto"/>
              </w:rPr>
            </w:pPr>
          </w:p>
        </w:tc>
        <w:tc>
          <w:tcPr>
            <w:tcW w:w="1180" w:type="dxa"/>
            <w:vAlign w:val="bottom"/>
          </w:tcPr>
          <w:p>
            <w:pPr>
              <w:jc w:val="center"/>
              <w:ind w:right="135"/>
              <w:spacing w:after="0"/>
              <w:rPr>
                <w:sz w:val="20"/>
                <w:szCs w:val="20"/>
                <w:color w:val="auto"/>
              </w:rPr>
            </w:pPr>
            <w:r>
              <w:rPr>
                <w:rFonts w:ascii="Arial" w:cs="Arial" w:eastAsia="Arial" w:hAnsi="Arial"/>
                <w:sz w:val="14"/>
                <w:szCs w:val="14"/>
                <w:b w:val="1"/>
                <w:bCs w:val="1"/>
                <w:color w:val="auto"/>
                <w:w w:val="86"/>
              </w:rPr>
              <w:t>Second</w:t>
            </w:r>
          </w:p>
        </w:tc>
        <w:tc>
          <w:tcPr>
            <w:tcW w:w="360" w:type="dxa"/>
            <w:vAlign w:val="bottom"/>
          </w:tcPr>
          <w:p>
            <w:pPr>
              <w:spacing w:after="0"/>
              <w:rPr>
                <w:sz w:val="14"/>
                <w:szCs w:val="14"/>
                <w:color w:val="auto"/>
              </w:rPr>
            </w:pPr>
          </w:p>
        </w:tc>
        <w:tc>
          <w:tcPr>
            <w:tcW w:w="1100" w:type="dxa"/>
            <w:vAlign w:val="bottom"/>
          </w:tcPr>
          <w:p>
            <w:pPr>
              <w:jc w:val="center"/>
              <w:ind w:right="214"/>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4"/>
                <w:szCs w:val="14"/>
                <w:color w:val="auto"/>
              </w:rPr>
            </w:pPr>
          </w:p>
        </w:tc>
        <w:tc>
          <w:tcPr>
            <w:tcW w:w="1080" w:type="dxa"/>
            <w:vAlign w:val="bottom"/>
          </w:tcPr>
          <w:p>
            <w:pPr>
              <w:jc w:val="center"/>
              <w:ind w:right="194"/>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Quarter</w:t>
            </w: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w w:val="93"/>
              </w:rPr>
              <w:t>(In thousands, except per share data)</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198,344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197,981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201,157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204,109</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76,922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80,135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80,461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83,477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79,063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58,898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61,198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59,724</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76,955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55,941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58,977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58,037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76,820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55,806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58,841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57,902</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share—basic(1)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Earnings per common share—diluted(1)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0.78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0.82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0.80</w:t>
            </w:r>
          </w:p>
        </w:tc>
      </w:tr>
      <w:tr>
        <w:trPr>
          <w:trHeight w:val="180"/>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194"/>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5"/>
                <w:szCs w:val="15"/>
                <w:color w:val="auto"/>
              </w:rPr>
            </w:pPr>
          </w:p>
        </w:tc>
        <w:tc>
          <w:tcPr>
            <w:tcW w:w="1180" w:type="dxa"/>
            <w:vAlign w:val="bottom"/>
          </w:tcPr>
          <w:p>
            <w:pPr>
              <w:jc w:val="center"/>
              <w:ind w:right="135"/>
              <w:spacing w:after="0"/>
              <w:rPr>
                <w:sz w:val="20"/>
                <w:szCs w:val="20"/>
                <w:color w:val="auto"/>
              </w:rPr>
            </w:pPr>
            <w:r>
              <w:rPr>
                <w:rFonts w:ascii="Arial" w:cs="Arial" w:eastAsia="Arial" w:hAnsi="Arial"/>
                <w:sz w:val="14"/>
                <w:szCs w:val="14"/>
                <w:b w:val="1"/>
                <w:bCs w:val="1"/>
                <w:color w:val="auto"/>
                <w:w w:val="86"/>
              </w:rPr>
              <w:t>Second</w:t>
            </w:r>
          </w:p>
        </w:tc>
        <w:tc>
          <w:tcPr>
            <w:tcW w:w="360" w:type="dxa"/>
            <w:vAlign w:val="bottom"/>
          </w:tcPr>
          <w:p>
            <w:pPr>
              <w:spacing w:after="0"/>
              <w:rPr>
                <w:sz w:val="15"/>
                <w:szCs w:val="15"/>
                <w:color w:val="auto"/>
              </w:rPr>
            </w:pPr>
          </w:p>
        </w:tc>
        <w:tc>
          <w:tcPr>
            <w:tcW w:w="1100" w:type="dxa"/>
            <w:vAlign w:val="bottom"/>
          </w:tcPr>
          <w:p>
            <w:pPr>
              <w:jc w:val="center"/>
              <w:ind w:right="214"/>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5"/>
                <w:szCs w:val="15"/>
                <w:color w:val="auto"/>
              </w:rPr>
            </w:pPr>
          </w:p>
        </w:tc>
        <w:tc>
          <w:tcPr>
            <w:tcW w:w="1080" w:type="dxa"/>
            <w:vAlign w:val="bottom"/>
          </w:tcPr>
          <w:p>
            <w:pPr>
              <w:jc w:val="center"/>
              <w:ind w:right="194"/>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Quarter</w:t>
            </w: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w w:val="93"/>
              </w:rPr>
              <w:t>(In thousands, except per share data)</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184,792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181,461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185,252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192,507</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72,122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76,201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75,917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75,914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48,203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45,673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54,550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69,998</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46,186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43,632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52,447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67,954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46,051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43,497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52,311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67,819</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share—basic(1)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0.67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0.98</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Earnings per common share—diluted(1)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0.63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0.75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0.97</w:t>
            </w:r>
          </w:p>
        </w:tc>
      </w:tr>
    </w:tbl>
    <w:p>
      <w:pPr>
        <w:spacing w:after="0" w:line="228" w:lineRule="exact"/>
        <w:rPr>
          <w:sz w:val="20"/>
          <w:szCs w:val="20"/>
          <w:color w:val="auto"/>
        </w:rPr>
      </w:pPr>
    </w:p>
    <w:p>
      <w:pPr>
        <w:ind w:left="660" w:right="20" w:hanging="652"/>
        <w:spacing w:after="0" w:line="259"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First quarter 2016 includes a $25.7 million gain on change in control of interests from our Clarion Partners acquisition as further discussed in Note 3. Third quarter 2016 includes a $4.9 million gain on sale from the reversal of our warranty reserve on condominiums sold at Santana Row as further discussed in Note 9. Second and fourth quarter 2015 include an $11.5 million and $16.8 million gain on sale, respectively, from our Houston Street and Courtyard Shops properties as further discussed in Note 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18—SUBSEQUENT EVENTS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January 12, 2017, we exercised our purchase option on non-controlling interests in San Antonio Center for $2.6 million of cash and 44,195 of downREIT operating partnership units.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February 1, 2017, we acquired a leasehold interest in Hastings Ranch Plaza, a 274,000 square foot shopping center in Pasadena, California for $29.5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0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D</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COLUMN G</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COLUMN H</w:t>
            </w:r>
          </w:p>
        </w:tc>
        <w:tc>
          <w:tcPr>
            <w:tcW w:w="76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2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0"/>
              </w:rPr>
              <w:t>depreciation</w:t>
            </w: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86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Building and</w:t>
            </w: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4"/>
              </w:rPr>
              <w:t>statements is</w:t>
            </w:r>
          </w:p>
        </w:tc>
        <w:tc>
          <w:tcPr>
            <w:tcW w:w="0" w:type="dxa"/>
            <w:vAlign w:val="bottom"/>
          </w:tcPr>
          <w:p>
            <w:pPr>
              <w:spacing w:after="0"/>
              <w:rPr>
                <w:sz w:val="1"/>
                <w:szCs w:val="1"/>
                <w:color w:val="auto"/>
              </w:rPr>
            </w:pPr>
          </w:p>
        </w:tc>
      </w:tr>
      <w:tr>
        <w:trPr>
          <w:trHeight w:val="174"/>
        </w:trPr>
        <w:tc>
          <w:tcPr>
            <w:tcW w:w="120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12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780" w:type="dxa"/>
            <w:vAlign w:val="bottom"/>
          </w:tcPr>
          <w:p>
            <w:pPr>
              <w:jc w:val="right"/>
              <w:ind w:right="170"/>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600" w:type="dxa"/>
            <w:vAlign w:val="bottom"/>
          </w:tcPr>
          <w:p>
            <w:pPr>
              <w:jc w:val="right"/>
              <w:ind w:right="8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Construction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20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150 POST</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STREET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(California)</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CA</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   11,685</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w w:val="91"/>
              </w:rPr>
              <w:t>$9,181</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   15,243</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   11,685</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   24,424</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$ 36,109</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   16,232</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1908/1965</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10/23/1997</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29TH PLACE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40"/>
              <w:spacing w:after="0"/>
              <w:rPr>
                <w:sz w:val="20"/>
                <w:szCs w:val="20"/>
                <w:color w:val="auto"/>
              </w:rPr>
            </w:pPr>
            <w:r>
              <w:rPr>
                <w:rFonts w:ascii="Arial" w:cs="Arial" w:eastAsia="Arial" w:hAnsi="Arial"/>
                <w:sz w:val="14"/>
                <w:szCs w:val="14"/>
                <w:color w:val="auto"/>
              </w:rPr>
              <w:t>(Virginia)</w:t>
            </w:r>
          </w:p>
        </w:tc>
        <w:tc>
          <w:tcPr>
            <w:tcW w:w="500" w:type="dxa"/>
            <w:vAlign w:val="bottom"/>
            <w:gridSpan w:val="3"/>
          </w:tcPr>
          <w:p>
            <w:pPr>
              <w:ind w:left="120"/>
              <w:spacing w:after="0"/>
              <w:rPr>
                <w:sz w:val="20"/>
                <w:szCs w:val="20"/>
                <w:color w:val="auto"/>
              </w:rPr>
            </w:pPr>
            <w:r>
              <w:rPr>
                <w:rFonts w:ascii="Arial" w:cs="Arial" w:eastAsia="Arial" w:hAnsi="Arial"/>
                <w:sz w:val="14"/>
                <w:szCs w:val="14"/>
                <w:color w:val="auto"/>
              </w:rPr>
              <w:t>VA</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4,514</w:t>
            </w: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10,211</w:t>
            </w:r>
          </w:p>
        </w:tc>
        <w:tc>
          <w:tcPr>
            <w:tcW w:w="12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18,863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11,730</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10,195</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30,609</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40,804</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10,522</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1975 - 2001</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5/30/2007</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ANDORRA</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(Pennsylvania)</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PA</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2,432</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12,346</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11,013</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2,432</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23,359</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25,791</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18,269</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1953</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1/12/1988</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ASSEMBLY</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9" w:lineRule="exact"/>
              <w:rPr>
                <w:sz w:val="20"/>
                <w:szCs w:val="20"/>
                <w:color w:val="auto"/>
              </w:rPr>
            </w:pPr>
            <w:r>
              <w:rPr>
                <w:rFonts w:ascii="Arial" w:cs="Arial" w:eastAsia="Arial" w:hAnsi="Arial"/>
                <w:sz w:val="14"/>
                <w:szCs w:val="14"/>
                <w:color w:val="auto"/>
              </w:rPr>
              <w:t>ROW/ASSEMBLY</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9" w:lineRule="exact"/>
              <w:rPr>
                <w:sz w:val="20"/>
                <w:szCs w:val="20"/>
                <w:color w:val="auto"/>
              </w:rPr>
            </w:pPr>
            <w:r>
              <w:rPr>
                <w:rFonts w:ascii="Arial" w:cs="Arial" w:eastAsia="Arial" w:hAnsi="Arial"/>
                <w:sz w:val="14"/>
                <w:szCs w:val="14"/>
                <w:color w:val="auto"/>
              </w:rPr>
              <w:t>SQUARE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9" w:lineRule="exact"/>
              <w:rPr>
                <w:sz w:val="20"/>
                <w:szCs w:val="20"/>
                <w:color w:val="auto"/>
              </w:rPr>
            </w:pPr>
            <w:r>
              <w:rPr>
                <w:rFonts w:ascii="Arial" w:cs="Arial" w:eastAsia="Arial" w:hAnsi="Arial"/>
                <w:sz w:val="14"/>
                <w:szCs w:val="14"/>
                <w:color w:val="auto"/>
              </w:rPr>
              <w:t>MARKETPLACE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2005, 2012-</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00" w:type="dxa"/>
            <w:vAlign w:val="bottom"/>
            <w:gridSpan w:val="3"/>
          </w:tcPr>
          <w:p>
            <w:pPr>
              <w:ind w:left="120"/>
              <w:spacing w:after="0"/>
              <w:rPr>
                <w:sz w:val="20"/>
                <w:szCs w:val="20"/>
                <w:color w:val="auto"/>
              </w:rPr>
            </w:pPr>
            <w:r>
              <w:rPr>
                <w:rFonts w:ascii="Arial" w:cs="Arial" w:eastAsia="Arial" w:hAnsi="Arial"/>
                <w:sz w:val="14"/>
                <w:szCs w:val="14"/>
                <w:color w:val="auto"/>
              </w:rPr>
              <w:t>MA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93,252</w:t>
            </w:r>
          </w:p>
        </w:tc>
        <w:tc>
          <w:tcPr>
            <w:tcW w:w="12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34,196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500,278</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94,552</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533,174</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627,726</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36,044</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2005-2013</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ATLANTIC</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PLAZA</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(Massachusetts)</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MA</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6,293</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17,109</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1,780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6,293</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18,889</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25,182</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885</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1960</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BALA CYNWYD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00" w:type="dxa"/>
            <w:vAlign w:val="bottom"/>
            <w:gridSpan w:val="3"/>
          </w:tcPr>
          <w:p>
            <w:pPr>
              <w:ind w:left="120"/>
              <w:spacing w:after="0"/>
              <w:rPr>
                <w:sz w:val="20"/>
                <w:szCs w:val="20"/>
                <w:color w:val="auto"/>
              </w:rPr>
            </w:pPr>
            <w:r>
              <w:rPr>
                <w:rFonts w:ascii="Arial" w:cs="Arial" w:eastAsia="Arial" w:hAnsi="Arial"/>
                <w:sz w:val="14"/>
                <w:szCs w:val="14"/>
                <w:color w:val="auto"/>
              </w:rPr>
              <w:t>PA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3,565</w:t>
            </w:r>
          </w:p>
        </w:tc>
        <w:tc>
          <w:tcPr>
            <w:tcW w:w="12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14,466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22,502</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2,581</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37,952</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40,533</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18,950</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1955</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9/22/1993</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BARCROFT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1963, 1972,</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1/13/16 &amp;</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PLAZA (Virginia)</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VA</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12,617</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29,603</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630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12,617</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30,233</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42,850</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984</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1990, &amp; 2000</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11/7/16</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BARRACKS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40"/>
              <w:spacing w:after="0"/>
              <w:rPr>
                <w:sz w:val="20"/>
                <w:szCs w:val="20"/>
                <w:color w:val="auto"/>
              </w:rPr>
            </w:pPr>
            <w:r>
              <w:rPr>
                <w:rFonts w:ascii="Arial" w:cs="Arial" w:eastAsia="Arial" w:hAnsi="Arial"/>
                <w:sz w:val="14"/>
                <w:szCs w:val="14"/>
                <w:color w:val="auto"/>
              </w:rPr>
              <w:t>ROAD (Virginia)</w:t>
            </w:r>
          </w:p>
        </w:tc>
        <w:tc>
          <w:tcPr>
            <w:tcW w:w="500" w:type="dxa"/>
            <w:vAlign w:val="bottom"/>
            <w:gridSpan w:val="3"/>
          </w:tcPr>
          <w:p>
            <w:pPr>
              <w:ind w:left="12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4,363</w:t>
            </w:r>
          </w:p>
        </w:tc>
        <w:tc>
          <w:tcPr>
            <w:tcW w:w="12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16,459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42,978</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4,363</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59,437</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63,800</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39,882</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1958</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12/31/1985</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12/31/93,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6/2/97,</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1/20/06,</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9/25/08,</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BETHESDA ROW</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9/30/08, &amp;</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35 - 50</w:t>
            </w:r>
          </w:p>
        </w:tc>
        <w:tc>
          <w:tcPr>
            <w:tcW w:w="0" w:type="dxa"/>
            <w:vAlign w:val="bottom"/>
          </w:tcPr>
          <w:p>
            <w:pPr>
              <w:spacing w:after="0"/>
              <w:rPr>
                <w:sz w:val="1"/>
                <w:szCs w:val="1"/>
                <w:color w:val="auto"/>
              </w:rPr>
            </w:pPr>
          </w:p>
        </w:tc>
      </w:tr>
      <w:tr>
        <w:trPr>
          <w:trHeight w:val="174"/>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(Maryland)</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MD</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46,579</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35,406</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144,090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44,880</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181,195</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226,075</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67,697</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1945-2008</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12/27/10</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57"/>
        </w:trPr>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BRICK PLAZA</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40"/>
              <w:spacing w:after="0"/>
              <w:rPr>
                <w:sz w:val="20"/>
                <w:szCs w:val="20"/>
                <w:color w:val="auto"/>
              </w:rPr>
            </w:pPr>
            <w:r>
              <w:rPr>
                <w:rFonts w:ascii="Arial" w:cs="Arial" w:eastAsia="Arial" w:hAnsi="Arial"/>
                <w:sz w:val="14"/>
                <w:szCs w:val="14"/>
                <w:color w:val="auto"/>
              </w:rPr>
              <w:t>(New Jersey)</w:t>
            </w:r>
          </w:p>
        </w:tc>
        <w:tc>
          <w:tcPr>
            <w:tcW w:w="500" w:type="dxa"/>
            <w:vAlign w:val="bottom"/>
            <w:gridSpan w:val="3"/>
          </w:tcPr>
          <w:p>
            <w:pPr>
              <w:ind w:left="120"/>
              <w:spacing w:after="0"/>
              <w:rPr>
                <w:sz w:val="20"/>
                <w:szCs w:val="20"/>
                <w:color w:val="auto"/>
              </w:rPr>
            </w:pPr>
            <w:r>
              <w:rPr>
                <w:rFonts w:ascii="Arial" w:cs="Arial" w:eastAsia="Arial" w:hAnsi="Arial"/>
                <w:sz w:val="14"/>
                <w:szCs w:val="14"/>
                <w:color w:val="auto"/>
              </w:rPr>
              <w:t>NJ</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24,715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45,437</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3,945</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66,207</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70,152</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45,645</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1958</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12/28/1989</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BRISTOL PLAZA</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(Connecticut)</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CT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3,856</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15,959</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10,963</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3,856</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26,922</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30,778</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16,623</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1959</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9/22/1995</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BROOK 35 (New</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40"/>
              <w:spacing w:after="0"/>
              <w:rPr>
                <w:sz w:val="20"/>
                <w:szCs w:val="20"/>
                <w:color w:val="auto"/>
              </w:rPr>
            </w:pPr>
            <w:r>
              <w:rPr>
                <w:rFonts w:ascii="Arial" w:cs="Arial" w:eastAsia="Arial" w:hAnsi="Arial"/>
                <w:sz w:val="14"/>
                <w:szCs w:val="14"/>
                <w:color w:val="auto"/>
              </w:rPr>
              <w:t>Jersey)</w:t>
            </w:r>
          </w:p>
        </w:tc>
        <w:tc>
          <w:tcPr>
            <w:tcW w:w="500" w:type="dxa"/>
            <w:vAlign w:val="bottom"/>
            <w:gridSpan w:val="3"/>
          </w:tcPr>
          <w:p>
            <w:pPr>
              <w:ind w:left="120"/>
              <w:spacing w:after="0"/>
              <w:rPr>
                <w:sz w:val="20"/>
                <w:szCs w:val="20"/>
                <w:color w:val="auto"/>
              </w:rPr>
            </w:pPr>
            <w:r>
              <w:rPr>
                <w:rFonts w:ascii="Arial" w:cs="Arial" w:eastAsia="Arial" w:hAnsi="Arial"/>
                <w:sz w:val="14"/>
                <w:szCs w:val="14"/>
                <w:color w:val="auto"/>
              </w:rPr>
              <w:t>NJ</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11,242</w:t>
            </w: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7,128</w:t>
            </w:r>
          </w:p>
        </w:tc>
        <w:tc>
          <w:tcPr>
            <w:tcW w:w="12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38,355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1,635</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7,128</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39,990</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47,118</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4,070</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1986/2004</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1/1/2014</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CAMPUS PLAZA</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shd w:val="clear" w:color="auto" w:fill="CCEEFF"/>
              </w:rPr>
              <w:t>MA</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16,710</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13,412</w:t>
            </w:r>
          </w:p>
        </w:tc>
        <w:tc>
          <w:tcPr>
            <w:tcW w:w="880" w:type="dxa"/>
            <w:vAlign w:val="bottom"/>
            <w:gridSpan w:val="2"/>
            <w:vMerge w:val="restart"/>
            <w:shd w:val="clear" w:color="auto" w:fill="CCEEFF"/>
          </w:tcPr>
          <w:p>
            <w:pPr>
              <w:jc w:val="right"/>
              <w:ind w:right="37"/>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16,710</w:t>
            </w:r>
          </w:p>
        </w:tc>
        <w:tc>
          <w:tcPr>
            <w:tcW w:w="92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4"/>
                <w:szCs w:val="14"/>
                <w:color w:val="auto"/>
              </w:rPr>
              <w:t>13,677</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30,387</w:t>
            </w:r>
          </w:p>
        </w:tc>
        <w:tc>
          <w:tcPr>
            <w:tcW w:w="900" w:type="dxa"/>
            <w:vAlign w:val="bottom"/>
            <w:gridSpan w:val="2"/>
            <w:vMerge w:val="restart"/>
            <w:shd w:val="clear" w:color="auto" w:fill="CCEEFF"/>
          </w:tcPr>
          <w:p>
            <w:pPr>
              <w:jc w:val="right"/>
              <w:ind w:right="37"/>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1970</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5"/>
        </w:trPr>
        <w:tc>
          <w:tcPr>
            <w:tcW w:w="1200" w:type="dxa"/>
            <w:vAlign w:val="bottom"/>
            <w:tcBorders>
              <w:bottom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(Massachusetts)</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vMerge w:val="continue"/>
            <w:shd w:val="clear" w:color="auto" w:fill="CCEEFF"/>
          </w:tcPr>
          <w:p>
            <w:pPr>
              <w:spacing w:after="0"/>
              <w:rPr>
                <w:sz w:val="13"/>
                <w:szCs w:val="13"/>
                <w:color w:val="auto"/>
              </w:rPr>
            </w:pPr>
          </w:p>
        </w:tc>
        <w:tc>
          <w:tcPr>
            <w:tcW w:w="8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92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vMerge w:val="continue"/>
            <w:shd w:val="clear" w:color="auto" w:fill="CCEEFF"/>
          </w:tcPr>
          <w:p>
            <w:pPr>
              <w:spacing w:after="0"/>
              <w:rPr>
                <w:sz w:val="13"/>
                <w:szCs w:val="13"/>
                <w:color w:val="auto"/>
              </w:rPr>
            </w:pPr>
          </w:p>
        </w:tc>
        <w:tc>
          <w:tcPr>
            <w:tcW w:w="90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CHELSEA</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8/25/06,</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9" w:lineRule="exact"/>
              <w:rPr>
                <w:sz w:val="20"/>
                <w:szCs w:val="20"/>
                <w:color w:val="auto"/>
              </w:rPr>
            </w:pPr>
            <w:r>
              <w:rPr>
                <w:rFonts w:ascii="Arial" w:cs="Arial" w:eastAsia="Arial" w:hAnsi="Arial"/>
                <w:sz w:val="14"/>
                <w:szCs w:val="14"/>
                <w:color w:val="auto"/>
              </w:rPr>
              <w:t>COMMONS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1/30/07, &amp;</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00" w:type="dxa"/>
            <w:vAlign w:val="bottom"/>
            <w:gridSpan w:val="3"/>
          </w:tcPr>
          <w:p>
            <w:pPr>
              <w:ind w:left="120"/>
              <w:spacing w:after="0"/>
              <w:rPr>
                <w:sz w:val="20"/>
                <w:szCs w:val="20"/>
                <w:color w:val="auto"/>
              </w:rPr>
            </w:pPr>
            <w:r>
              <w:rPr>
                <w:rFonts w:ascii="Arial" w:cs="Arial" w:eastAsia="Arial" w:hAnsi="Arial"/>
                <w:sz w:val="14"/>
                <w:szCs w:val="14"/>
                <w:color w:val="auto"/>
              </w:rPr>
              <w:t>MA</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6,328</w:t>
            </w: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9,417</w:t>
            </w:r>
          </w:p>
        </w:tc>
        <w:tc>
          <w:tcPr>
            <w:tcW w:w="12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19,466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13,958</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9,396</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33,445</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42,841</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7,486</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w w:val="94"/>
              </w:rPr>
              <w:t>1962/1969/2008</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7/16/08</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COCOWALK</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1990/1994,</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12/16/15, &amp;</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(Florida)</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FL</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33,160</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71,001</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2,716</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32,504</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74,373</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106,877</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4,276</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1922-1973</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7/26/16</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COLORADO</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12/31/96 &amp;</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40"/>
              <w:spacing w:after="0"/>
              <w:rPr>
                <w:sz w:val="20"/>
                <w:szCs w:val="20"/>
                <w:color w:val="auto"/>
              </w:rPr>
            </w:pPr>
            <w:r>
              <w:rPr>
                <w:rFonts w:ascii="Arial" w:cs="Arial" w:eastAsia="Arial" w:hAnsi="Arial"/>
                <w:sz w:val="14"/>
                <w:szCs w:val="14"/>
                <w:color w:val="auto"/>
              </w:rPr>
              <w:t>BLVD (California)</w:t>
            </w:r>
          </w:p>
        </w:tc>
        <w:tc>
          <w:tcPr>
            <w:tcW w:w="500" w:type="dxa"/>
            <w:vAlign w:val="bottom"/>
            <w:gridSpan w:val="3"/>
          </w:tcPr>
          <w:p>
            <w:pPr>
              <w:ind w:left="12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5,262</w:t>
            </w:r>
          </w:p>
        </w:tc>
        <w:tc>
          <w:tcPr>
            <w:tcW w:w="120" w:type="dxa"/>
            <w:vAlign w:val="bottom"/>
          </w:tcPr>
          <w:p>
            <w:pPr>
              <w:spacing w:after="0"/>
              <w:rPr>
                <w:sz w:val="15"/>
                <w:szCs w:val="15"/>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4,071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10,032</w:t>
            </w:r>
          </w:p>
        </w:tc>
        <w:tc>
          <w:tcPr>
            <w:tcW w:w="100" w:type="dxa"/>
            <w:vAlign w:val="bottom"/>
          </w:tcPr>
          <w:p>
            <w:pPr>
              <w:spacing w:after="0"/>
              <w:rPr>
                <w:sz w:val="15"/>
                <w:szCs w:val="15"/>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5,262</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14,103</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19,365</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10,262</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1905-1988</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8/14/98</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6" w:right="2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60" w:type="dxa"/>
            <w:vAlign w:val="bottom"/>
            <w:gridSpan w:val="3"/>
          </w:tcPr>
          <w:p>
            <w:pPr>
              <w:ind w:left="40"/>
              <w:spacing w:after="0"/>
              <w:rPr>
                <w:sz w:val="20"/>
                <w:szCs w:val="20"/>
                <w:color w:val="auto"/>
              </w:rPr>
            </w:pPr>
            <w:r>
              <w:rPr>
                <w:rFonts w:ascii="Arial" w:cs="Arial" w:eastAsia="Arial" w:hAnsi="Arial"/>
                <w:sz w:val="13"/>
                <w:szCs w:val="13"/>
                <w:b w:val="1"/>
                <w:bCs w:val="1"/>
                <w:color w:val="auto"/>
              </w:rPr>
              <w:t>COLUMN A</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COLUMN D</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COLUMN G</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COLUMN H</w:t>
            </w:r>
          </w:p>
        </w:tc>
        <w:tc>
          <w:tcPr>
            <w:tcW w:w="76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0"/>
              </w:rPr>
              <w:t>depreciation</w:t>
            </w:r>
          </w:p>
        </w:tc>
        <w:tc>
          <w:tcPr>
            <w:tcW w:w="0" w:type="dxa"/>
            <w:vAlign w:val="bottom"/>
          </w:tcPr>
          <w:p>
            <w:pPr>
              <w:spacing w:after="0"/>
              <w:rPr>
                <w:sz w:val="1"/>
                <w:szCs w:val="1"/>
                <w:color w:val="auto"/>
              </w:rPr>
            </w:pPr>
          </w:p>
        </w:tc>
      </w:tr>
      <w:tr>
        <w:trPr>
          <w:trHeight w:val="54"/>
        </w:trPr>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gridSpan w:val="2"/>
            <w:vMerge w:val="restart"/>
          </w:tcPr>
          <w:p>
            <w:pPr>
              <w:jc w:val="center"/>
              <w:ind w:right="8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4"/>
              </w:rPr>
              <w:t>statements is</w:t>
            </w:r>
          </w:p>
        </w:tc>
        <w:tc>
          <w:tcPr>
            <w:tcW w:w="0" w:type="dxa"/>
            <w:vAlign w:val="bottom"/>
          </w:tcPr>
          <w:p>
            <w:pPr>
              <w:spacing w:after="0"/>
              <w:rPr>
                <w:sz w:val="1"/>
                <w:szCs w:val="1"/>
                <w:color w:val="auto"/>
              </w:rPr>
            </w:pPr>
          </w:p>
        </w:tc>
      </w:tr>
      <w:tr>
        <w:trPr>
          <w:trHeight w:val="174"/>
        </w:trPr>
        <w:tc>
          <w:tcPr>
            <w:tcW w:w="1260" w:type="dxa"/>
            <w:vAlign w:val="bottom"/>
            <w:gridSpan w:val="3"/>
          </w:tcPr>
          <w:p>
            <w:pPr>
              <w:ind w:left="40"/>
              <w:spacing w:after="0"/>
              <w:rPr>
                <w:sz w:val="20"/>
                <w:szCs w:val="20"/>
                <w:color w:val="auto"/>
              </w:rPr>
            </w:pPr>
            <w:r>
              <w:rPr>
                <w:rFonts w:ascii="Arial" w:cs="Arial" w:eastAsia="Arial" w:hAnsi="Arial"/>
                <w:sz w:val="13"/>
                <w:szCs w:val="13"/>
                <w:b w:val="1"/>
                <w:bCs w:val="1"/>
                <w:color w:val="auto"/>
              </w:rPr>
              <w:t>Descriptions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780" w:type="dxa"/>
            <w:vAlign w:val="bottom"/>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560" w:type="dxa"/>
            <w:vAlign w:val="bottom"/>
          </w:tcPr>
          <w:p>
            <w:pPr>
              <w:jc w:val="right"/>
              <w:ind w:right="6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Construction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260" w:type="dxa"/>
            <w:vAlign w:val="bottom"/>
            <w:tcBorders>
              <w:top w:val="single" w:sz="8" w:color="auto"/>
            </w:tcBorders>
            <w:gridSpan w:val="3"/>
            <w:shd w:val="clear" w:color="auto" w:fill="CCEEFF"/>
          </w:tcPr>
          <w:p>
            <w:pPr>
              <w:ind w:left="40"/>
              <w:spacing w:after="0" w:line="157" w:lineRule="exact"/>
              <w:rPr>
                <w:sz w:val="20"/>
                <w:szCs w:val="20"/>
                <w:color w:val="auto"/>
              </w:rPr>
            </w:pPr>
            <w:r>
              <w:rPr>
                <w:rFonts w:ascii="Arial" w:cs="Arial" w:eastAsia="Arial" w:hAnsi="Arial"/>
                <w:sz w:val="14"/>
                <w:szCs w:val="14"/>
                <w:color w:val="auto"/>
                <w:w w:val="98"/>
                <w:shd w:val="clear" w:color="auto" w:fill="CCEEFF"/>
              </w:rPr>
              <w:t>CONGRESSIONAL</w:t>
            </w: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PLAZA (Maryland)</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MD</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2,793</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7,424</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90,748</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1,020</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99,945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100,965</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50,640</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1965/2003</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4/1/1965</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COURTHOUSE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CENTER</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gridSpan w:val="3"/>
          </w:tcPr>
          <w:p>
            <w:pPr>
              <w:ind w:left="40"/>
              <w:spacing w:after="0"/>
              <w:rPr>
                <w:sz w:val="20"/>
                <w:szCs w:val="20"/>
                <w:color w:val="auto"/>
              </w:rPr>
            </w:pPr>
            <w:r>
              <w:rPr>
                <w:rFonts w:ascii="Arial" w:cs="Arial" w:eastAsia="Arial" w:hAnsi="Arial"/>
                <w:sz w:val="14"/>
                <w:szCs w:val="14"/>
                <w:color w:val="auto"/>
              </w:rPr>
              <w:t>(Maryland)</w:t>
            </w:r>
          </w:p>
        </w:tc>
        <w:tc>
          <w:tcPr>
            <w:tcW w:w="140" w:type="dxa"/>
            <w:vAlign w:val="bottom"/>
          </w:tcPr>
          <w:p>
            <w:pPr>
              <w:spacing w:after="0"/>
              <w:rPr>
                <w:sz w:val="16"/>
                <w:szCs w:val="16"/>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1,869</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1,286</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1,750</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3,155</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4,905</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1,793</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1975</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12/17/1997</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CROSSROADS</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(Illinois)</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IL</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4,635</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11,611</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15,879</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4,635</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27,490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32,125</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15,719</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1959</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7/19/1993</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CROW CANYON</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Late 1970's/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12/29/05 &amp;</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gridSpan w:val="3"/>
          </w:tcPr>
          <w:p>
            <w:pPr>
              <w:ind w:left="40"/>
              <w:spacing w:after="0"/>
              <w:rPr>
                <w:sz w:val="20"/>
                <w:szCs w:val="20"/>
                <w:color w:val="auto"/>
              </w:rPr>
            </w:pPr>
            <w:r>
              <w:rPr>
                <w:rFonts w:ascii="Arial" w:cs="Arial" w:eastAsia="Arial" w:hAnsi="Arial"/>
                <w:sz w:val="14"/>
                <w:szCs w:val="14"/>
                <w:color w:val="auto"/>
              </w:rPr>
              <w:t>(California)</w:t>
            </w:r>
          </w:p>
        </w:tc>
        <w:tc>
          <w:tcPr>
            <w:tcW w:w="140" w:type="dxa"/>
            <w:vAlign w:val="bottom"/>
          </w:tcPr>
          <w:p>
            <w:pPr>
              <w:spacing w:after="0"/>
              <w:rPr>
                <w:sz w:val="16"/>
                <w:szCs w:val="16"/>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27,245</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54,575</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7,679</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27,245</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62,254</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89,499</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19,516</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1998/2006</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2/28/07</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DARIEN</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(Connecticut)</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CT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29,809</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18,302</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810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29,809</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19,112</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48,921</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2,424</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1920-2009</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4/3/2013</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DEDHAM PLAZA</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12/31/93 &amp;</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gridSpan w:val="3"/>
          </w:tcPr>
          <w:p>
            <w:pPr>
              <w:ind w:left="40"/>
              <w:spacing w:after="0"/>
              <w:rPr>
                <w:sz w:val="20"/>
                <w:szCs w:val="20"/>
                <w:color w:val="auto"/>
              </w:rPr>
            </w:pPr>
            <w:r>
              <w:rPr>
                <w:rFonts w:ascii="Arial" w:cs="Arial" w:eastAsia="Arial" w:hAnsi="Arial"/>
                <w:sz w:val="14"/>
                <w:szCs w:val="14"/>
                <w:color w:val="auto"/>
              </w:rPr>
              <w:t>(Massachusetts)</w:t>
            </w:r>
          </w:p>
        </w:tc>
        <w:tc>
          <w:tcPr>
            <w:tcW w:w="140" w:type="dxa"/>
            <w:vAlign w:val="bottom"/>
          </w:tcPr>
          <w:p>
            <w:pPr>
              <w:spacing w:after="0"/>
              <w:rPr>
                <w:sz w:val="16"/>
                <w:szCs w:val="16"/>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MA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14,834</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12,918</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10,564</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14,834</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23,482</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38,316</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14,734</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1959</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12/14/16</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5/30/08,</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9"/>
                <w:shd w:val="clear" w:color="auto" w:fill="CCEEFF"/>
              </w:rPr>
              <w:t>DEL MAR</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7/11/08, &amp;</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VILLAGE</w:t>
            </w: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(Florida)</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FL</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15,624</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41,712</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5,252</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15,587</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47,001</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62,588</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18,573</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4"/>
                <w:shd w:val="clear" w:color="auto" w:fill="CCEEFF"/>
              </w:rPr>
              <w:t>1982/1994/2007</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10/14/14</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EAST BAY</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BRIDGE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1994-2001,</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gridSpan w:val="3"/>
          </w:tcPr>
          <w:p>
            <w:pPr>
              <w:ind w:left="40"/>
              <w:spacing w:after="0"/>
              <w:rPr>
                <w:sz w:val="20"/>
                <w:szCs w:val="20"/>
                <w:color w:val="auto"/>
              </w:rPr>
            </w:pPr>
            <w:r>
              <w:rPr>
                <w:rFonts w:ascii="Arial" w:cs="Arial" w:eastAsia="Arial" w:hAnsi="Arial"/>
                <w:sz w:val="14"/>
                <w:szCs w:val="14"/>
                <w:color w:val="auto"/>
              </w:rPr>
              <w:t>(California)</w:t>
            </w:r>
          </w:p>
        </w:tc>
        <w:tc>
          <w:tcPr>
            <w:tcW w:w="140" w:type="dxa"/>
            <w:vAlign w:val="bottom"/>
          </w:tcPr>
          <w:p>
            <w:pPr>
              <w:spacing w:after="0"/>
              <w:rPr>
                <w:sz w:val="16"/>
                <w:szCs w:val="16"/>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29,079</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138,035</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10,487</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29,079</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148,522</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177,601</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19,797</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2011/2012</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12/21/2012</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3"/>
                <w:shd w:val="clear" w:color="auto" w:fill="CCEEFF"/>
              </w:rPr>
              <w:t>EASTGATE</w:t>
            </w: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3"/>
                <w:shd w:val="clear" w:color="auto" w:fill="CCEEFF"/>
              </w:rPr>
              <w:t>CROSSING</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(North</w:t>
            </w:r>
          </w:p>
        </w:tc>
        <w:tc>
          <w:tcPr>
            <w:tcW w:w="14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NC</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1,608</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5,775</w:t>
            </w:r>
          </w:p>
        </w:tc>
        <w:tc>
          <w:tcPr>
            <w:tcW w:w="860" w:type="dxa"/>
            <w:vAlign w:val="bottom"/>
            <w:gridSpan w:val="2"/>
            <w:vMerge w:val="restart"/>
            <w:shd w:val="clear" w:color="auto" w:fill="CCEEFF"/>
          </w:tcPr>
          <w:p>
            <w:pPr>
              <w:jc w:val="right"/>
              <w:ind w:right="37"/>
              <w:spacing w:after="0"/>
              <w:rPr>
                <w:sz w:val="20"/>
                <w:szCs w:val="20"/>
                <w:color w:val="auto"/>
              </w:rPr>
            </w:pPr>
            <w:r>
              <w:rPr>
                <w:rFonts w:ascii="Arial" w:cs="Arial" w:eastAsia="Arial" w:hAnsi="Arial"/>
                <w:sz w:val="14"/>
                <w:szCs w:val="14"/>
                <w:color w:val="auto"/>
              </w:rPr>
              <w:t>23,647</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1,608</w:t>
            </w:r>
          </w:p>
        </w:tc>
        <w:tc>
          <w:tcPr>
            <w:tcW w:w="92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4"/>
                <w:szCs w:val="14"/>
                <w:color w:val="auto"/>
              </w:rPr>
              <w:t>29,422</w:t>
            </w:r>
          </w:p>
        </w:tc>
        <w:tc>
          <w:tcPr>
            <w:tcW w:w="1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31,030</w:t>
            </w:r>
          </w:p>
        </w:tc>
        <w:tc>
          <w:tcPr>
            <w:tcW w:w="900" w:type="dxa"/>
            <w:vAlign w:val="bottom"/>
            <w:gridSpan w:val="2"/>
            <w:vMerge w:val="restart"/>
            <w:shd w:val="clear" w:color="auto" w:fill="CCEEFF"/>
          </w:tcPr>
          <w:p>
            <w:pPr>
              <w:jc w:val="right"/>
              <w:ind w:right="37"/>
              <w:spacing w:after="0"/>
              <w:rPr>
                <w:sz w:val="20"/>
                <w:szCs w:val="20"/>
                <w:color w:val="auto"/>
              </w:rPr>
            </w:pPr>
            <w:r>
              <w:rPr>
                <w:rFonts w:ascii="Arial" w:cs="Arial" w:eastAsia="Arial" w:hAnsi="Arial"/>
                <w:sz w:val="14"/>
                <w:szCs w:val="14"/>
                <w:color w:val="auto"/>
              </w:rPr>
              <w:t>18,859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1963</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12/18/1986</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5"/>
        </w:trPr>
        <w:tc>
          <w:tcPr>
            <w:tcW w:w="680" w:type="dxa"/>
            <w:vAlign w:val="bottom"/>
            <w:tcBorders>
              <w:bottom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Carolina)</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86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92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vMerge w:val="continue"/>
            <w:shd w:val="clear" w:color="auto" w:fill="CCEEFF"/>
          </w:tcPr>
          <w:p>
            <w:pPr>
              <w:spacing w:after="0"/>
              <w:rPr>
                <w:sz w:val="13"/>
                <w:szCs w:val="13"/>
                <w:color w:val="auto"/>
              </w:rPr>
            </w:pPr>
          </w:p>
        </w:tc>
        <w:tc>
          <w:tcPr>
            <w:tcW w:w="90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ELLISBURG (New</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gridSpan w:val="3"/>
          </w:tcPr>
          <w:p>
            <w:pPr>
              <w:ind w:left="40"/>
              <w:spacing w:after="0"/>
              <w:rPr>
                <w:sz w:val="20"/>
                <w:szCs w:val="20"/>
                <w:color w:val="auto"/>
              </w:rPr>
            </w:pPr>
            <w:r>
              <w:rPr>
                <w:rFonts w:ascii="Arial" w:cs="Arial" w:eastAsia="Arial" w:hAnsi="Arial"/>
                <w:sz w:val="14"/>
                <w:szCs w:val="14"/>
                <w:color w:val="auto"/>
              </w:rPr>
              <w:t>Jersey)</w:t>
            </w:r>
          </w:p>
        </w:tc>
        <w:tc>
          <w:tcPr>
            <w:tcW w:w="140" w:type="dxa"/>
            <w:vAlign w:val="bottom"/>
          </w:tcPr>
          <w:p>
            <w:pPr>
              <w:spacing w:after="0"/>
              <w:rPr>
                <w:sz w:val="16"/>
                <w:szCs w:val="16"/>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NJ</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4,028</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11,309</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19,112</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4,013</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30,436</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34,449</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19,374</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1959</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10/16/1992</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ESCONDIDO</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PROMENADE</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12/31/96 &amp;</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(California)</w:t>
            </w: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CA</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19,117</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15,829</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12,402</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19,117</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28,231</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47,348</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14,590</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1987</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11/10/10</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FALLS PLAZA</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9/30/67 &amp;</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gridSpan w:val="3"/>
          </w:tcPr>
          <w:p>
            <w:pPr>
              <w:ind w:left="40"/>
              <w:spacing w:after="0"/>
              <w:rPr>
                <w:sz w:val="20"/>
                <w:szCs w:val="20"/>
                <w:color w:val="auto"/>
              </w:rPr>
            </w:pPr>
            <w:r>
              <w:rPr>
                <w:rFonts w:ascii="Arial" w:cs="Arial" w:eastAsia="Arial" w:hAnsi="Arial"/>
                <w:sz w:val="14"/>
                <w:szCs w:val="14"/>
                <w:color w:val="auto"/>
              </w:rPr>
              <w:t>(Virginia)</w:t>
            </w:r>
          </w:p>
        </w:tc>
        <w:tc>
          <w:tcPr>
            <w:tcW w:w="140" w:type="dxa"/>
            <w:vAlign w:val="bottom"/>
          </w:tcPr>
          <w:p>
            <w:pPr>
              <w:spacing w:after="0"/>
              <w:rPr>
                <w:sz w:val="16"/>
                <w:szCs w:val="16"/>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1,798</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1,270</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10,900</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1,819</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12,149</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13,968</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8,287</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1960/1962</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10/05/72</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63"/>
        </w:trPr>
        <w:tc>
          <w:tcPr>
            <w:tcW w:w="1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FEDERAL PLAZA</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(Maryland)</w:t>
            </w: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MD</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10,216</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17,895</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39,531</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10,216</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57,426</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67,642</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40,896</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1970</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6/29/1989</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FINLEY SQUARE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gridSpan w:val="3"/>
          </w:tcPr>
          <w:p>
            <w:pPr>
              <w:ind w:left="40"/>
              <w:spacing w:after="0"/>
              <w:rPr>
                <w:sz w:val="20"/>
                <w:szCs w:val="20"/>
                <w:color w:val="auto"/>
              </w:rPr>
            </w:pPr>
            <w:r>
              <w:rPr>
                <w:rFonts w:ascii="Arial" w:cs="Arial" w:eastAsia="Arial" w:hAnsi="Arial"/>
                <w:sz w:val="14"/>
                <w:szCs w:val="14"/>
                <w:color w:val="auto"/>
              </w:rPr>
              <w:t>(Illinois)</w:t>
            </w:r>
          </w:p>
        </w:tc>
        <w:tc>
          <w:tcPr>
            <w:tcW w:w="140" w:type="dxa"/>
            <w:vAlign w:val="bottom"/>
          </w:tcPr>
          <w:p>
            <w:pPr>
              <w:spacing w:after="0"/>
              <w:rPr>
                <w:sz w:val="16"/>
                <w:szCs w:val="16"/>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IL</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9,252</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9,544</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17,995</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9,252</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27,539</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36,791</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18,537</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1974</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4/27/1995</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FLOURTOWN</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(Pennsylvania)</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PA</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1,345</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3,943</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11,604</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1,345</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15,547</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16,892</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5,424</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1957</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4/25/1980</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FREE STATE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SHOPPING</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CENTER</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gridSpan w:val="3"/>
          </w:tcPr>
          <w:p>
            <w:pPr>
              <w:ind w:left="40"/>
              <w:spacing w:after="0"/>
              <w:rPr>
                <w:sz w:val="20"/>
                <w:szCs w:val="20"/>
                <w:color w:val="auto"/>
              </w:rPr>
            </w:pPr>
            <w:r>
              <w:rPr>
                <w:rFonts w:ascii="Arial" w:cs="Arial" w:eastAsia="Arial" w:hAnsi="Arial"/>
                <w:sz w:val="14"/>
                <w:szCs w:val="14"/>
                <w:color w:val="auto"/>
              </w:rPr>
              <w:t>(Maryland)</w:t>
            </w:r>
          </w:p>
        </w:tc>
        <w:tc>
          <w:tcPr>
            <w:tcW w:w="140" w:type="dxa"/>
            <w:vAlign w:val="bottom"/>
          </w:tcPr>
          <w:p>
            <w:pPr>
              <w:spacing w:after="0"/>
              <w:rPr>
                <w:sz w:val="16"/>
                <w:szCs w:val="16"/>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18,581</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41,658</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3,739</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18,581</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45,397</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63,978</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1,864</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1970</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1/13/2016</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FRESH</w:t>
            </w:r>
          </w:p>
        </w:tc>
        <w:tc>
          <w:tcPr>
            <w:tcW w:w="580" w:type="dxa"/>
            <w:vAlign w:val="bottom"/>
            <w:gridSpan w:val="2"/>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MEADOWS (New</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York)</w:t>
            </w:r>
          </w:p>
        </w:tc>
        <w:tc>
          <w:tcPr>
            <w:tcW w:w="58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NY</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24,625</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25,255</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36,465</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24,633</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61,712</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86,345</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35,528</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1946-1949</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12/5/1997</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FRIENDSHIP</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CENTER (District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gridSpan w:val="3"/>
          </w:tcPr>
          <w:p>
            <w:pPr>
              <w:ind w:left="40"/>
              <w:spacing w:after="0"/>
              <w:rPr>
                <w:sz w:val="20"/>
                <w:szCs w:val="20"/>
                <w:color w:val="auto"/>
              </w:rPr>
            </w:pPr>
            <w:r>
              <w:rPr>
                <w:rFonts w:ascii="Arial" w:cs="Arial" w:eastAsia="Arial" w:hAnsi="Arial"/>
                <w:sz w:val="14"/>
                <w:szCs w:val="14"/>
                <w:color w:val="auto"/>
              </w:rPr>
              <w:t>of Columbia)</w:t>
            </w:r>
          </w:p>
        </w:tc>
        <w:tc>
          <w:tcPr>
            <w:tcW w:w="140" w:type="dxa"/>
            <w:vAlign w:val="bottom"/>
          </w:tcPr>
          <w:p>
            <w:pPr>
              <w:spacing w:after="0"/>
              <w:rPr>
                <w:sz w:val="16"/>
                <w:szCs w:val="16"/>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DC</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12,696</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20,803</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4,071</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12,696</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24,874</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37,570</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10,909</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9/21/2001</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GAITHERSBURG</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SQUARE</w:t>
            </w:r>
          </w:p>
        </w:tc>
        <w:tc>
          <w:tcPr>
            <w:tcW w:w="580" w:type="dxa"/>
            <w:vAlign w:val="bottom"/>
            <w:gridSpan w:val="2"/>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2"/>
                <w:shd w:val="clear" w:color="auto" w:fill="CCEEFF"/>
              </w:rPr>
              <w:t>(Maryland)</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MD</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7,701</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5,271</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13,929</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5,973</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20,928</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26,901</w:t>
            </w:r>
          </w:p>
        </w:tc>
        <w:tc>
          <w:tcPr>
            <w:tcW w:w="9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17,291</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GARDEN</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60" w:type="dxa"/>
            <w:vAlign w:val="bottom"/>
            <w:gridSpan w:val="3"/>
          </w:tcPr>
          <w:p>
            <w:pPr>
              <w:ind w:left="40"/>
              <w:spacing w:after="0"/>
              <w:rPr>
                <w:sz w:val="20"/>
                <w:szCs w:val="20"/>
                <w:color w:val="auto"/>
              </w:rPr>
            </w:pPr>
            <w:r>
              <w:rPr>
                <w:rFonts w:ascii="Arial" w:cs="Arial" w:eastAsia="Arial" w:hAnsi="Arial"/>
                <w:sz w:val="14"/>
                <w:szCs w:val="14"/>
                <w:color w:val="auto"/>
              </w:rPr>
              <w:t>MARKET (Illinois)</w:t>
            </w:r>
          </w:p>
        </w:tc>
        <w:tc>
          <w:tcPr>
            <w:tcW w:w="14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IL</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2,677</w:t>
            </w:r>
          </w:p>
        </w:tc>
        <w:tc>
          <w:tcPr>
            <w:tcW w:w="1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4,829</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6,089</w:t>
            </w:r>
          </w:p>
        </w:tc>
        <w:tc>
          <w:tcPr>
            <w:tcW w:w="1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2,677</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10,918</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13,595</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7,016</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1958</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7/28/1994</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6" w:right="2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4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COLUMN D</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COLUMN 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F</w:t>
            </w:r>
          </w:p>
        </w:tc>
        <w:tc>
          <w:tcPr>
            <w:tcW w:w="9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0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Cost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8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Subsequent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Depreciation</w:t>
            </w:r>
          </w:p>
        </w:tc>
        <w:tc>
          <w:tcPr>
            <w:tcW w:w="90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to</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and</w:t>
            </w:r>
          </w:p>
        </w:tc>
        <w:tc>
          <w:tcPr>
            <w:tcW w:w="90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04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w w:val="99"/>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10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Acquisition</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Land</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Improvements</w:t>
            </w: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9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04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GOVERNOR</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PLAZA</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(Maryland)</w:t>
            </w: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MD</w:t>
            </w: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2,068</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4,905</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20,401</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2,068</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25,306</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27,374</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19,389</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1963</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10/1/1985</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GRAHAM</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PARK PLAZA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(Virginia)</w:t>
            </w:r>
          </w:p>
        </w:tc>
        <w:tc>
          <w:tcPr>
            <w:tcW w:w="14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VA</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15,096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18,523</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1,169</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33,687</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34,856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27,137</w:t>
            </w:r>
          </w:p>
        </w:tc>
        <w:tc>
          <w:tcPr>
            <w:tcW w:w="12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1971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7/21/1983</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81"/>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GRATIOT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0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shd w:val="clear" w:color="auto" w:fill="CCEEFF"/>
              </w:rPr>
              <w:t>PLAZA</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(Michigan)</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MI</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525</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1,601</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17,694</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525</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19,295</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19,820</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16,620</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1964</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3/29/1973</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25.75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GREENLAWN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PLAZA (New</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York)</w:t>
            </w:r>
          </w:p>
        </w:tc>
        <w:tc>
          <w:tcPr>
            <w:tcW w:w="14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NY</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10,590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20,869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10,590</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21,082</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31,672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875</w:t>
            </w:r>
          </w:p>
        </w:tc>
        <w:tc>
          <w:tcPr>
            <w:tcW w:w="12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1975/2004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1/13/2016</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GREENWICH</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AVENUE</w:t>
            </w:r>
          </w:p>
        </w:tc>
        <w:tc>
          <w:tcPr>
            <w:tcW w:w="14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6"/>
                <w:shd w:val="clear" w:color="auto" w:fill="CCEEFF"/>
              </w:rPr>
              <w:t>CT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7,484</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5,444</w:t>
            </w:r>
          </w:p>
        </w:tc>
        <w:tc>
          <w:tcPr>
            <w:tcW w:w="880" w:type="dxa"/>
            <w:vAlign w:val="bottom"/>
            <w:gridSpan w:val="2"/>
            <w:vMerge w:val="restart"/>
            <w:shd w:val="clear" w:color="auto" w:fill="CCEEFF"/>
          </w:tcPr>
          <w:p>
            <w:pPr>
              <w:jc w:val="right"/>
              <w:ind w:right="37"/>
              <w:spacing w:after="0"/>
              <w:rPr>
                <w:sz w:val="20"/>
                <w:szCs w:val="20"/>
                <w:color w:val="auto"/>
              </w:rPr>
            </w:pPr>
            <w:r>
              <w:rPr>
                <w:rFonts w:ascii="Arial" w:cs="Arial" w:eastAsia="Arial" w:hAnsi="Arial"/>
                <w:sz w:val="14"/>
                <w:szCs w:val="14"/>
                <w:color w:val="auto"/>
              </w:rPr>
              <w:t>1,199</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7,484</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6,643</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14,127</w:t>
            </w:r>
          </w:p>
        </w:tc>
        <w:tc>
          <w:tcPr>
            <w:tcW w:w="880" w:type="dxa"/>
            <w:vAlign w:val="bottom"/>
            <w:gridSpan w:val="2"/>
            <w:vMerge w:val="restart"/>
            <w:shd w:val="clear" w:color="auto" w:fill="CCEEFF"/>
          </w:tcPr>
          <w:p>
            <w:pPr>
              <w:jc w:val="right"/>
              <w:ind w:right="37"/>
              <w:spacing w:after="0"/>
              <w:rPr>
                <w:sz w:val="20"/>
                <w:szCs w:val="20"/>
                <w:color w:val="auto"/>
              </w:rPr>
            </w:pPr>
            <w:r>
              <w:rPr>
                <w:rFonts w:ascii="Arial" w:cs="Arial" w:eastAsia="Arial" w:hAnsi="Arial"/>
                <w:sz w:val="14"/>
                <w:szCs w:val="14"/>
                <w:color w:val="auto"/>
              </w:rPr>
              <w:t>3,980</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1968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4/12/1995</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5"/>
        </w:trPr>
        <w:tc>
          <w:tcPr>
            <w:tcW w:w="1040" w:type="dxa"/>
            <w:vAlign w:val="bottom"/>
            <w:tcBorders>
              <w:bottom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(Connecticut)</w:t>
            </w: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vMerge w:val="continue"/>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8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88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HAUPPAUGE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(New York)</w:t>
            </w:r>
          </w:p>
        </w:tc>
        <w:tc>
          <w:tcPr>
            <w:tcW w:w="14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NY</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8,791</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15,262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4,577</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8,419</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20,211</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28,630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10,977</w:t>
            </w:r>
          </w:p>
        </w:tc>
        <w:tc>
          <w:tcPr>
            <w:tcW w:w="12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8/6/1998</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81"/>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HERMOSA</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0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shd w:val="clear" w:color="auto" w:fill="CCEEFF"/>
              </w:rPr>
              <w:t>AVENUE</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(California)</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CA</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1,116</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280</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4,459</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1,368</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4,487</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5,855</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3,129</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1922</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9/17/1997</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HOLLYWOOD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BLVD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3/22/99 &amp;</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14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CA</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8,300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16,920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21,502</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8,370</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38,352</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46,722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13,294</w:t>
            </w:r>
          </w:p>
        </w:tc>
        <w:tc>
          <w:tcPr>
            <w:tcW w:w="12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1929/1991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6/18/99</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12/12/88,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HUNTINGTON</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10/26/07,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(New York)</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NY</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12,195</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16,008</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18,372</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12,195</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34,380</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46,575</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14,516</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1962</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11/24/15</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HUNTINGTON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SQUARE (New</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1980/2004-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York)</w:t>
            </w:r>
          </w:p>
        </w:tc>
        <w:tc>
          <w:tcPr>
            <w:tcW w:w="14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NY</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10,075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2,101</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12,176</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12,176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2,777</w:t>
            </w:r>
          </w:p>
        </w:tc>
        <w:tc>
          <w:tcPr>
            <w:tcW w:w="12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8/16/2010</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81"/>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IDYLWOOD</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0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shd w:val="clear" w:color="auto" w:fill="CCEEFF"/>
              </w:rPr>
              <w:t>PLAZA</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(Virginia)</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6"/>
                <w:shd w:val="clear" w:color="auto" w:fill="CCEEFF"/>
              </w:rPr>
              <w:t>VA</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4,308</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10,026</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2,453</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4,308</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12,479</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16,787</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8,505</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1991</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4/15/1994</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KINGS COURT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14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CA</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10,714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952</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11,666</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11,666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8,331</w:t>
            </w:r>
          </w:p>
        </w:tc>
        <w:tc>
          <w:tcPr>
            <w:tcW w:w="12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8/24/1998</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26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LANCASTER</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(Pennsylvania)</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6"/>
                <w:shd w:val="clear" w:color="auto" w:fill="CCEEFF"/>
              </w:rPr>
              <w:t>PA</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4,907</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2,103</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11,759</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13,787</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13,862</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7,992</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1958</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4/24/1980</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LANGHORNE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SQUARE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14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PA</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2,974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18,236</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21,210</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21,930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14,439</w:t>
            </w:r>
          </w:p>
        </w:tc>
        <w:tc>
          <w:tcPr>
            <w:tcW w:w="12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1966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1/31/1985</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LAUREL</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(Maryland)</w:t>
            </w: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MD</w:t>
            </w: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7,458</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22,525</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25,986</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7,464</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48,505</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55,969</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35,839</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1956</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8/15/1986</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LAWRENCE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PARK</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14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PA</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5,723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7,160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20,117</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5,734</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27,266</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33,000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24,029</w:t>
            </w:r>
          </w:p>
        </w:tc>
        <w:tc>
          <w:tcPr>
            <w:tcW w:w="12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1972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7/23/1980</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81"/>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LEESBURG</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0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shd w:val="clear" w:color="auto" w:fill="CCEEFF"/>
              </w:rPr>
              <w:t>PLAZA</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(Virginia)</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6"/>
                <w:shd w:val="clear" w:color="auto" w:fill="CCEEFF"/>
              </w:rPr>
              <w:t>VA</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8,184</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10,722</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17,120</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8,184</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27,842</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36,026</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13,920</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1967</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9/15/1998</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LINDEN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SQUARE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w w:val="95"/>
              </w:rPr>
              <w:t>(Massachusetts)</w:t>
            </w:r>
          </w:p>
        </w:tc>
        <w:tc>
          <w:tcPr>
            <w:tcW w:w="14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MA</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79,382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19,247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49,410</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79,269</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68,770</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148,039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19,737</w:t>
            </w:r>
          </w:p>
        </w:tc>
        <w:tc>
          <w:tcPr>
            <w:tcW w:w="12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1960-2008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8/24/2006</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MELVILLE</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MALL (New</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York)</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NY</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35,622</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32,882</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15,370</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35,622</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48,252</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83,874</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10,403</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3"/>
                <w:shd w:val="clear" w:color="auto" w:fill="CCEEFF"/>
              </w:rPr>
              <w:t>1974</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10/16/2006</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MERCER</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MALL (New</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ind w:left="40"/>
              <w:spacing w:after="0" w:line="149" w:lineRule="exact"/>
              <w:rPr>
                <w:sz w:val="20"/>
                <w:szCs w:val="20"/>
                <w:color w:val="auto"/>
              </w:rPr>
            </w:pPr>
            <w:r>
              <w:rPr>
                <w:rFonts w:ascii="Arial" w:cs="Arial" w:eastAsia="Arial" w:hAnsi="Arial"/>
                <w:sz w:val="14"/>
                <w:szCs w:val="14"/>
                <w:color w:val="auto"/>
              </w:rPr>
              <w:t>25 - 35</w:t>
            </w:r>
          </w:p>
        </w:tc>
        <w:tc>
          <w:tcPr>
            <w:tcW w:w="0" w:type="dxa"/>
            <w:vAlign w:val="bottom"/>
          </w:tcPr>
          <w:p>
            <w:pPr>
              <w:spacing w:after="0"/>
              <w:rPr>
                <w:sz w:val="1"/>
                <w:szCs w:val="1"/>
                <w:color w:val="auto"/>
              </w:rPr>
            </w:pPr>
          </w:p>
        </w:tc>
      </w:tr>
      <w:tr>
        <w:trPr>
          <w:trHeight w:val="182"/>
        </w:trPr>
        <w:tc>
          <w:tcPr>
            <w:tcW w:w="1040" w:type="dxa"/>
            <w:vAlign w:val="bottom"/>
          </w:tcPr>
          <w:p>
            <w:pPr>
              <w:ind w:left="40"/>
              <w:spacing w:after="0"/>
              <w:rPr>
                <w:sz w:val="20"/>
                <w:szCs w:val="20"/>
                <w:color w:val="auto"/>
              </w:rPr>
            </w:pPr>
            <w:r>
              <w:rPr>
                <w:rFonts w:ascii="Arial" w:cs="Arial" w:eastAsia="Arial" w:hAnsi="Arial"/>
                <w:sz w:val="14"/>
                <w:szCs w:val="14"/>
                <w:color w:val="auto"/>
              </w:rPr>
              <w:t>Jersey)</w:t>
            </w:r>
          </w:p>
        </w:tc>
        <w:tc>
          <w:tcPr>
            <w:tcW w:w="14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NJ</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55,618</w:t>
            </w:r>
          </w:p>
        </w:tc>
        <w:tc>
          <w:tcPr>
            <w:tcW w:w="12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28,684</w:t>
            </w:r>
          </w:p>
        </w:tc>
        <w:tc>
          <w:tcPr>
            <w:tcW w:w="10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48,028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44,258</w:t>
            </w:r>
          </w:p>
        </w:tc>
        <w:tc>
          <w:tcPr>
            <w:tcW w:w="1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28,717</w:t>
            </w:r>
          </w:p>
        </w:tc>
        <w:tc>
          <w:tcPr>
            <w:tcW w:w="10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92,253</w:t>
            </w:r>
          </w:p>
        </w:tc>
        <w:tc>
          <w:tcPr>
            <w:tcW w:w="12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120,970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37,484</w:t>
            </w:r>
          </w:p>
        </w:tc>
        <w:tc>
          <w:tcPr>
            <w:tcW w:w="120" w:type="dxa"/>
            <w:vAlign w:val="bottom"/>
          </w:tcPr>
          <w:p>
            <w:pPr>
              <w:spacing w:after="0"/>
              <w:rPr>
                <w:sz w:val="15"/>
                <w:szCs w:val="15"/>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10/14/2003</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6" w:right="2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COLUMN D</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COLUMN F</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COLUMN G</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COLUMN H</w:t>
            </w:r>
          </w:p>
        </w:tc>
        <w:tc>
          <w:tcPr>
            <w:tcW w:w="720" w:type="dxa"/>
            <w:vAlign w:val="bottom"/>
          </w:tcPr>
          <w:p>
            <w:pPr>
              <w:ind w:lef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1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6"/>
            <w:vMerge w:val="restart"/>
          </w:tcPr>
          <w:p>
            <w:pPr>
              <w:jc w:val="center"/>
              <w:ind w:right="60"/>
              <w:spacing w:after="0"/>
              <w:rPr>
                <w:sz w:val="20"/>
                <w:szCs w:val="20"/>
                <w:color w:val="auto"/>
              </w:rPr>
            </w:pPr>
            <w:r>
              <w:rPr>
                <w:rFonts w:ascii="Arial" w:cs="Arial" w:eastAsia="Arial" w:hAnsi="Arial"/>
                <w:sz w:val="13"/>
                <w:szCs w:val="13"/>
                <w:b w:val="1"/>
                <w:bCs w:val="1"/>
                <w:color w:val="auto"/>
                <w:w w:val="87"/>
              </w:rPr>
              <w:t>Gross amount at which carried at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6"/>
            <w:vMerge w:val="continue"/>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bottom w:val="single" w:sz="8" w:color="auto"/>
            </w:tcBorders>
            <w:gridSpan w:val="3"/>
          </w:tcPr>
          <w:p>
            <w:pPr>
              <w:ind w:left="240"/>
              <w:spacing w:after="0" w:line="149"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3"/>
                <w:szCs w:val="13"/>
                <w:b w:val="1"/>
                <w:bCs w:val="1"/>
                <w:color w:val="auto"/>
                <w:w w:val="82"/>
              </w:rPr>
              <w:t>Cost</w:t>
            </w:r>
          </w:p>
        </w:tc>
        <w:tc>
          <w:tcPr>
            <w:tcW w:w="7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right="240"/>
              <w:spacing w:after="0" w:line="149" w:lineRule="exact"/>
              <w:rPr>
                <w:sz w:val="20"/>
                <w:szCs w:val="20"/>
                <w:color w:val="auto"/>
              </w:rPr>
            </w:pPr>
            <w:r>
              <w:rPr>
                <w:rFonts w:ascii="Arial" w:cs="Arial" w:eastAsia="Arial" w:hAnsi="Arial"/>
                <w:sz w:val="13"/>
                <w:szCs w:val="13"/>
                <w:b w:val="1"/>
                <w:bCs w:val="1"/>
                <w:color w:val="auto"/>
                <w:w w:val="84"/>
              </w:rPr>
              <w:t>close of period</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7"/>
              </w:rPr>
              <w:t>Capitalized</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statements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to</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and</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3"/>
              </w:rPr>
              <w:t>is</w:t>
            </w:r>
          </w:p>
        </w:tc>
        <w:tc>
          <w:tcPr>
            <w:tcW w:w="0" w:type="dxa"/>
            <w:vAlign w:val="bottom"/>
          </w:tcPr>
          <w:p>
            <w:pPr>
              <w:spacing w:after="0"/>
              <w:rPr>
                <w:sz w:val="1"/>
                <w:szCs w:val="1"/>
                <w:color w:val="auto"/>
              </w:rPr>
            </w:pPr>
          </w:p>
        </w:tc>
      </w:tr>
      <w:tr>
        <w:trPr>
          <w:trHeight w:val="174"/>
        </w:trPr>
        <w:tc>
          <w:tcPr>
            <w:tcW w:w="118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760" w:type="dxa"/>
            <w:vAlign w:val="bottom"/>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12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Improvements</w:t>
            </w: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Total</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Amortization</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Construction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18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MONTROSE</w:t>
            </w:r>
          </w:p>
        </w:tc>
        <w:tc>
          <w:tcPr>
            <w:tcW w:w="5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CROSSING</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1960s, 1970s, 1996 &amp;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12/27/11,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(Maryland)</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shd w:val="clear" w:color="auto" w:fill="CCEEFF"/>
              </w:rPr>
              <w:t>MD</w:t>
            </w: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72,726</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48,624</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91,819</w:t>
            </w: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13,772</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48,624</w:t>
            </w:r>
          </w:p>
        </w:tc>
        <w:tc>
          <w:tcPr>
            <w:tcW w:w="9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105,591</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0"/>
              </w:rPr>
              <w:t>154,215</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20,987</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12/19/13</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MOUNT</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w w:val="99"/>
              </w:rPr>
              <w:t>VERNON/SOUTH</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VALLEY/7770</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3/31/03,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RICHMOND</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3/21/03, &amp;</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HWY.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10,068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33,501</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40,545</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10,230</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73,884</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84,114</w:t>
            </w:r>
          </w:p>
        </w:tc>
        <w:tc>
          <w:tcPr>
            <w:tcW w:w="10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31,396</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w w:val="93"/>
              </w:rPr>
              <w:t>1966/1972/1987/2001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1/27/06</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DARTMOUTH</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9,366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9,366</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9,368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8/24/2006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NORTHEAST</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Pr>
          <w:p>
            <w:pPr>
              <w:ind w:left="140"/>
              <w:spacing w:after="0"/>
              <w:rPr>
                <w:sz w:val="20"/>
                <w:szCs w:val="20"/>
                <w:color w:val="auto"/>
              </w:rPr>
            </w:pPr>
            <w:r>
              <w:rPr>
                <w:rFonts w:ascii="Arial" w:cs="Arial" w:eastAsia="Arial" w:hAnsi="Arial"/>
                <w:sz w:val="14"/>
                <w:szCs w:val="14"/>
                <w:color w:val="auto"/>
              </w:rPr>
              <w:t>PA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1,152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10,596</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16,482</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1,153</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27,077</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28,230</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19,721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8/30/1983</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LAKE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COMMONS</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IL</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8,604</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5,638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2,628</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14,396</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17,024</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8,106</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4/27/1994</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OLD KEENE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MILL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998</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5,625</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638</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6,623</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7,261</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5,159</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6/15/1976</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w w:val="92"/>
              </w:rPr>
              <w:t>33.33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OLD TOWN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3,420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2,765</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30,571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3,420</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33,336</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36,756</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20,065</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 1997-1998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10/22/1997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PAN AM</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8,694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12,929</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7,262</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8,695</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20,190</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28,885</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14,504</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1979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2/5/1993</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PENTAGON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 &amp;</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ROW (Virginia)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2,955</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95,154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98,109</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98,109</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42,881</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1999 - 2002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11/22/10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w w:val="99"/>
              </w:rPr>
              <w:t>PERRING PLAZA</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6,461</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21,677</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2,800</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28,138</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30,938</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22,232</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10/1/1985</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5/18/82,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PIKE &amp; ROSE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10/26/07, &amp;</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31,471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10,335</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427,582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26,199</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443,189</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0"/>
              </w:rPr>
              <w:t>469,388</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13,498</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 &amp; 2012-2014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7/31/12</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PIKE 7 PLAZA</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3/31/1997</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14,970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22,799</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4,564</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14,914</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27,419</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42,333</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15,818</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&amp; 7/8/2015</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PLAZA DEL</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MERCADO</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10,305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21,553</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10,558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10,305</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32,111</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42,416</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PLAZA EL</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12/30/11,</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SEGUNDO/THE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6/14/13,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POINT</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7/26/13 &amp;</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176,209</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62,127</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153,556</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63,039</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64,463</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214,259</w:t>
            </w:r>
          </w:p>
        </w:tc>
        <w:tc>
          <w:tcPr>
            <w:tcW w:w="100" w:type="dxa"/>
            <w:vAlign w:val="bottom"/>
          </w:tcPr>
          <w:p>
            <w:pPr>
              <w:spacing w:after="0"/>
              <w:rPr>
                <w:sz w:val="16"/>
                <w:szCs w:val="16"/>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278,722</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32,104</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2006/2007/2016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12/27/13</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QUEEN ANNE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3,319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8,457</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6,504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3,319</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14,961</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18,280</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9,386</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12/23/1994</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QUINCE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ORCHARD</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3,197</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7,949</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26,927</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2,928</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35,145</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38,073</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17,738</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4/22/1993</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ROCKVILLE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TOWN SQUARE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4,474</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8,092</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41,924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50,016</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50,016</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14,806</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2005 - 2007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2006 - 2007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520"/>
          </w:cols>
          <w:pgMar w:left="240" w:top="126" w:right="1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4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D</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F</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760" w:type="dxa"/>
            <w:vAlign w:val="bottom"/>
          </w:tcPr>
          <w:p>
            <w:pPr>
              <w:ind w:lef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1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3"/>
              </w:rPr>
              <w:t>Life on</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2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0"/>
              </w:rPr>
              <w:t>depreciation</w:t>
            </w: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86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Depreciation</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Building and</w:t>
            </w: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and</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4"/>
              </w:rPr>
              <w:t>statements is</w:t>
            </w:r>
          </w:p>
        </w:tc>
        <w:tc>
          <w:tcPr>
            <w:tcW w:w="0" w:type="dxa"/>
            <w:vAlign w:val="bottom"/>
          </w:tcPr>
          <w:p>
            <w:pPr>
              <w:spacing w:after="0"/>
              <w:rPr>
                <w:sz w:val="1"/>
                <w:szCs w:val="1"/>
                <w:color w:val="auto"/>
              </w:rPr>
            </w:pPr>
          </w:p>
        </w:tc>
      </w:tr>
      <w:tr>
        <w:trPr>
          <w:trHeight w:val="174"/>
        </w:trPr>
        <w:tc>
          <w:tcPr>
            <w:tcW w:w="114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12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780" w:type="dxa"/>
            <w:vAlign w:val="bottom"/>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640" w:type="dxa"/>
            <w:vAlign w:val="bottom"/>
          </w:tcPr>
          <w:p>
            <w:pPr>
              <w:jc w:val="right"/>
              <w:ind w:right="10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14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ROLLINGWOOD</w:t>
            </w:r>
          </w:p>
        </w:tc>
        <w:tc>
          <w:tcPr>
            <w:tcW w:w="5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w w:val="97"/>
              </w:rPr>
              <w:t>APTS. (Maryland)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21,221</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2,246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7,746</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572</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9,972</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10,544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8,988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1/15/1971</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SAM'S PARK &amp;</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SHOP (District of</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Columbia)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DC</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4,840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6,319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1,585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4,840</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7,904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12,744</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4,925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12/1/1995</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1958, 1964-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SAN ANTONIO</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1965, 1974-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1975, 1995-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39,920</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32,466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39,920</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33,580</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73,500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3,206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1/9/2015</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7/13/12,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1999-2006,</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SANTANA ROW</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2009, 2011,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4/30/13 &amp;</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40 - 50</w:t>
            </w: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66,682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7,502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732,733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57,578</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749,339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806,917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166,872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2014, 2016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9/23/13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SAUGUS PLAZA</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Pr>
          <w:p>
            <w:pPr>
              <w:ind w:left="140"/>
              <w:spacing w:after="0"/>
              <w:rPr>
                <w:sz w:val="20"/>
                <w:szCs w:val="20"/>
                <w:color w:val="auto"/>
              </w:rPr>
            </w:pPr>
            <w:r>
              <w:rPr>
                <w:rFonts w:ascii="Arial" w:cs="Arial" w:eastAsia="Arial" w:hAnsi="Arial"/>
                <w:sz w:val="14"/>
                <w:szCs w:val="14"/>
                <w:color w:val="auto"/>
              </w:rPr>
              <w:t>MA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4,383</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8,291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2,583</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4,383</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10,874</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15,257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6,274</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10/1/1996</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AVENUE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AT WHITE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MARSH</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52,436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20,682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72,432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12,961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20,685</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85,390</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106,075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28,432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THE GROVE AT</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SHREWSBURY</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1/1/2014 &amp;</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(New Jersey)</w:t>
            </w:r>
          </w:p>
        </w:tc>
        <w:tc>
          <w:tcPr>
            <w:tcW w:w="520" w:type="dxa"/>
            <w:vAlign w:val="bottom"/>
          </w:tcPr>
          <w:p>
            <w:pPr>
              <w:ind w:left="140"/>
              <w:spacing w:after="0"/>
              <w:rPr>
                <w:sz w:val="20"/>
                <w:szCs w:val="20"/>
                <w:color w:val="auto"/>
              </w:rPr>
            </w:pPr>
            <w:r>
              <w:rPr>
                <w:rFonts w:ascii="Arial" w:cs="Arial" w:eastAsia="Arial" w:hAnsi="Arial"/>
                <w:sz w:val="14"/>
                <w:szCs w:val="14"/>
                <w:color w:val="auto"/>
              </w:rPr>
              <w:t>NJ</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54,212</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18,016</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103,115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2,625</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18,021</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105,735</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123,756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10,395</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w w:val="92"/>
              </w:rPr>
              <w:t>1988/1993/2007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10/6/14</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SHOPPES</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AT</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NOTTINGHAM</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SQUARE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4,441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12,849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4,441</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13,019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4,447</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2005 - 2006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THE SHOPS AT</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SUNSET PLACE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(Florida)</w:t>
            </w:r>
          </w:p>
        </w:tc>
        <w:tc>
          <w:tcPr>
            <w:tcW w:w="520" w:type="dxa"/>
            <w:vAlign w:val="bottom"/>
          </w:tcPr>
          <w:p>
            <w:pPr>
              <w:ind w:left="140"/>
              <w:spacing w:after="0"/>
              <w:rPr>
                <w:sz w:val="20"/>
                <w:szCs w:val="20"/>
                <w:color w:val="auto"/>
              </w:rPr>
            </w:pPr>
            <w:r>
              <w:rPr>
                <w:rFonts w:ascii="Arial" w:cs="Arial" w:eastAsia="Arial" w:hAnsi="Arial"/>
                <w:sz w:val="14"/>
                <w:szCs w:val="14"/>
                <w:color w:val="auto"/>
              </w:rPr>
              <w:t>FL</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72,229</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64,499</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50,853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5,425</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64,499</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56,278</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120,777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3,697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10/1/2015</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THIRD STREET</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PROMENADE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22,645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12,709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43,693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25,125</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53,922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79,047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31,389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1888-2000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1996-2000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TOWER</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7,170</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10,518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4,019</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7,280</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14,427</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21,707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8,465</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1953-1960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8/24/1998</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TOWER SHOPS</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1/19/11 &amp;</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FL</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29,940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43,390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22,840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29,962</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66,208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96,170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13,142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6/13/14</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TOWN CENTER</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OF NEW</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BRITAIN</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Pr>
          <w:p>
            <w:pPr>
              <w:ind w:left="140"/>
              <w:spacing w:after="0"/>
              <w:rPr>
                <w:sz w:val="20"/>
                <w:szCs w:val="20"/>
                <w:color w:val="auto"/>
              </w:rPr>
            </w:pPr>
            <w:r>
              <w:rPr>
                <w:rFonts w:ascii="Arial" w:cs="Arial" w:eastAsia="Arial" w:hAnsi="Arial"/>
                <w:sz w:val="14"/>
                <w:szCs w:val="14"/>
                <w:color w:val="auto"/>
              </w:rPr>
              <w:t>PA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1,282</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12,285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1,575</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1,470</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13,672</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15,142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4,659</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6/29/2006</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TROY (New</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Jersey)</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shd w:val="clear" w:color="auto" w:fill="CCEEFF"/>
              </w:rPr>
              <w:t>NJ</w:t>
            </w: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3,126</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5,193</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26,770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4,501</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30,588</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35,089</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20,415</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7/23/1980</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TYSON'S</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STATION</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453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3,782</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475</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4,148</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4,623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3,583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1/17/1978</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17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VILLAGE AT</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SHIRLINGTON</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1940, 2006-</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(Virginia)</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shd w:val="clear" w:color="auto" w:fill="CCEEFF"/>
              </w:rPr>
              <w:t>VA</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6,591</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9,761</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14,808</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38,650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4,234</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58,985</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63,219</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24,877</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12/21/1995</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WESTGATE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6,319</w:t>
            </w:r>
          </w:p>
        </w:tc>
        <w:tc>
          <w:tcPr>
            <w:tcW w:w="12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107,284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35,823</w:t>
            </w:r>
          </w:p>
        </w:tc>
        <w:tc>
          <w:tcPr>
            <w:tcW w:w="10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6,319</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143,107</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149,426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42,865</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1960-1966</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3/31/2004</w:t>
            </w:r>
          </w:p>
        </w:tc>
        <w:tc>
          <w:tcPr>
            <w:tcW w:w="12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6" w:right="2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4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B</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COLUMN D</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Arial" w:cs="Arial" w:eastAsia="Arial" w:hAnsi="Arial"/>
                <w:sz w:val="13"/>
                <w:szCs w:val="13"/>
                <w:b w:val="1"/>
                <w:bCs w:val="1"/>
                <w:color w:val="auto"/>
                <w:w w:val="99"/>
              </w:rPr>
              <w:t>COLUMN F</w:t>
            </w:r>
          </w:p>
        </w:tc>
        <w:tc>
          <w:tcPr>
            <w:tcW w:w="12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0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87"/>
              </w:rPr>
              <w:t>Gross amount at which carried at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4"/>
          </w:tcPr>
          <w:p>
            <w:pPr>
              <w:ind w:left="26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04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Encumbrance</w:t>
            </w: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Land</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Improvements</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Land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12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04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WHITE</w:t>
            </w: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MARSH</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shd w:val="clear" w:color="auto" w:fill="CCEEFF"/>
              </w:rPr>
              <w:t>PLAZA</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(Maryland)</w:t>
            </w: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MD</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3,478</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21,413</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337</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3,478</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21,750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25,228</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7,932</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WHITE</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MARSH</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(Maryland)</w:t>
            </w:r>
          </w:p>
        </w:tc>
        <w:tc>
          <w:tcPr>
            <w:tcW w:w="14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34,281</w:t>
            </w:r>
          </w:p>
        </w:tc>
        <w:tc>
          <w:tcPr>
            <w:tcW w:w="100" w:type="dxa"/>
            <w:vAlign w:val="bottom"/>
          </w:tcPr>
          <w:p>
            <w:pPr>
              <w:spacing w:after="0"/>
              <w:rPr>
                <w:sz w:val="16"/>
                <w:szCs w:val="16"/>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1,843</w:t>
            </w:r>
          </w:p>
        </w:tc>
        <w:tc>
          <w:tcPr>
            <w:tcW w:w="12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8,432</w:t>
            </w:r>
          </w:p>
        </w:tc>
        <w:tc>
          <w:tcPr>
            <w:tcW w:w="10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34,311</w:t>
            </w:r>
          </w:p>
        </w:tc>
        <w:tc>
          <w:tcPr>
            <w:tcW w:w="10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10,245</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44,556</w:t>
            </w:r>
          </w:p>
        </w:tc>
        <w:tc>
          <w:tcPr>
            <w:tcW w:w="1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752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1985</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81"/>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WILDWOOD</w:t>
            </w:r>
          </w:p>
        </w:tc>
        <w:tc>
          <w:tcPr>
            <w:tcW w:w="14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shd w:val="clear" w:color="auto" w:fill="CCEEFF"/>
              </w:rPr>
              <w:t>MD</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9,111</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1,061</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9,484</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9,111</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10,545</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19,656</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8,484</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5/5/1969</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33.33 years</w:t>
            </w:r>
          </w:p>
        </w:tc>
        <w:tc>
          <w:tcPr>
            <w:tcW w:w="0" w:type="dxa"/>
            <w:vAlign w:val="bottom"/>
          </w:tcPr>
          <w:p>
            <w:pPr>
              <w:spacing w:after="0"/>
              <w:rPr>
                <w:sz w:val="1"/>
                <w:szCs w:val="1"/>
                <w:color w:val="auto"/>
              </w:rPr>
            </w:pPr>
          </w:p>
        </w:tc>
      </w:tr>
      <w:tr>
        <w:trPr>
          <w:trHeight w:val="155"/>
        </w:trPr>
        <w:tc>
          <w:tcPr>
            <w:tcW w:w="1040" w:type="dxa"/>
            <w:vAlign w:val="bottom"/>
            <w:tcBorders>
              <w:bottom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(Maryland)</w:t>
            </w: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92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WILLOW</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GROVE</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14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PA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1,499</w:t>
            </w:r>
          </w:p>
        </w:tc>
        <w:tc>
          <w:tcPr>
            <w:tcW w:w="100" w:type="dxa"/>
            <w:vAlign w:val="bottom"/>
          </w:tcPr>
          <w:p>
            <w:pPr>
              <w:spacing w:after="0"/>
              <w:rPr>
                <w:sz w:val="16"/>
                <w:szCs w:val="16"/>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6,643</w:t>
            </w:r>
          </w:p>
        </w:tc>
        <w:tc>
          <w:tcPr>
            <w:tcW w:w="12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21,954</w:t>
            </w:r>
          </w:p>
        </w:tc>
        <w:tc>
          <w:tcPr>
            <w:tcW w:w="10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1,499</w:t>
            </w:r>
          </w:p>
        </w:tc>
        <w:tc>
          <w:tcPr>
            <w:tcW w:w="10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28,597</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30,096</w:t>
            </w:r>
          </w:p>
        </w:tc>
        <w:tc>
          <w:tcPr>
            <w:tcW w:w="12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25,190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11/20/1984</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WILLOW</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LAWN</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(Virginia)</w:t>
            </w: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VA</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3,192</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7,723</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82,479</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7,790</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85,604</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93,394</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55,812</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12/5/1983</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WYNNEWOOD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(Pennsylvania)</w:t>
            </w:r>
          </w:p>
        </w:tc>
        <w:tc>
          <w:tcPr>
            <w:tcW w:w="1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PA</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8,055</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13,759</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21,001</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8,055</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34,760</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42,815</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21,597</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10/29/1996</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42"/>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TOTALS</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  542,707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89"/>
              </w:rPr>
              <w:t>$ 1,305,525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91"/>
              </w:rPr>
              <w:t>$ 2,055,800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89"/>
              </w:rPr>
              <w:t>$ 3,397,748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89"/>
              </w:rPr>
              <w:t>$ 1,294,800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1"/>
              </w:rPr>
              <w:t>$ 5,464,273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1"/>
              </w:rPr>
              <w:t>$ 6,759,073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89"/>
              </w:rPr>
              <w:t>$ 1,729,234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6"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EE"/>
              </w:rPr>
            </w:pPr>
            <w:hyperlink w:anchor="page56">
              <w:r>
                <w:rPr>
                  <w:rFonts w:ascii="Arial" w:cs="Arial" w:eastAsia="Arial" w:hAnsi="Arial"/>
                  <w:sz w:val="16"/>
                  <w:szCs w:val="16"/>
                  <w:b w:val="1"/>
                  <w:bCs w:val="1"/>
                  <w:color w:val="0000EE"/>
                </w:rPr>
                <w:t>Table of Contents</w:t>
              </w:r>
            </w:hyperlink>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6"/>
        </w:trPr>
        <w:tc>
          <w:tcPr>
            <w:tcW w:w="1220" w:type="dxa"/>
            <w:vAlign w:val="bottom"/>
            <w:tcBorders>
              <w:top w:val="single" w:sz="8" w:color="0000EE"/>
            </w:tcBorders>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FEDERAL REALTY INVESTMENT TRUST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rPr>
              <w:t>SCHEDULE III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SUMMARY OF REAL ESTATE AND ACCUMULATED DEPRECIATION - CONTINUED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Three Years Ended December 31, 2016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Reconciliation of Total Cost</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8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5,149,463</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174,328</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329,674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 during period—dispositions and retirements of property and transfer to joint venture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(44,467)</w:t>
            </w:r>
          </w:p>
        </w:tc>
        <w:tc>
          <w:tcPr>
            <w:tcW w:w="0" w:type="dxa"/>
            <w:vAlign w:val="bottom"/>
          </w:tcPr>
          <w:p>
            <w:pPr>
              <w:spacing w:after="0"/>
              <w:rPr>
                <w:sz w:val="1"/>
                <w:szCs w:val="1"/>
                <w:color w:val="auto"/>
              </w:rPr>
            </w:pPr>
          </w:p>
        </w:tc>
      </w:tr>
      <w:tr>
        <w:trPr>
          <w:trHeight w:val="236"/>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2014</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5,608,998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291,726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281,471</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(117,789)</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6,064,406</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229,296</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483,932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(18,561)</w:t>
            </w:r>
          </w:p>
        </w:tc>
        <w:tc>
          <w:tcPr>
            <w:tcW w:w="0" w:type="dxa"/>
            <w:vAlign w:val="bottom"/>
          </w:tcPr>
          <w:p>
            <w:pPr>
              <w:spacing w:after="0"/>
              <w:rPr>
                <w:sz w:val="1"/>
                <w:szCs w:val="1"/>
                <w:color w:val="auto"/>
              </w:rPr>
            </w:pP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2016</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6,759,073</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0060" w:type="dxa"/>
            <w:vAlign w:val="bottom"/>
            <w:gridSpan w:val="2"/>
          </w:tcPr>
          <w:p>
            <w:pPr>
              <w:spacing w:after="0"/>
              <w:rPr>
                <w:sz w:val="20"/>
                <w:szCs w:val="20"/>
                <w:color w:val="auto"/>
              </w:rPr>
            </w:pPr>
            <w:r>
              <w:rPr>
                <w:rFonts w:ascii="Arial" w:cs="Arial" w:eastAsia="Arial" w:hAnsi="Arial"/>
                <w:sz w:val="18"/>
                <w:szCs w:val="18"/>
                <w:color w:val="auto"/>
              </w:rPr>
              <w:t>(1)  For Federal tax purposes, the aggregate cost basis is approximately $6.0 billion as of December 31, 2016.</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220" w:type="dxa"/>
            <w:vAlign w:val="bottom"/>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color w:val="auto"/>
                <w:w w:val="91"/>
              </w:rPr>
              <w:t>F-37</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EE"/>
              </w:rPr>
            </w:pPr>
            <w:hyperlink w:anchor="page56">
              <w:r>
                <w:rPr>
                  <w:rFonts w:ascii="Arial" w:cs="Arial" w:eastAsia="Arial" w:hAnsi="Arial"/>
                  <w:sz w:val="16"/>
                  <w:szCs w:val="16"/>
                  <w:b w:val="1"/>
                  <w:bCs w:val="1"/>
                  <w:color w:val="0000EE"/>
                </w:rPr>
                <w:t>Table of Contents</w:t>
              </w:r>
            </w:hyperlink>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6"/>
        </w:trPr>
        <w:tc>
          <w:tcPr>
            <w:tcW w:w="1220" w:type="dxa"/>
            <w:vAlign w:val="bottom"/>
            <w:tcBorders>
              <w:top w:val="single" w:sz="8" w:color="0000EE"/>
            </w:tcBorders>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FEDERAL REALTY INVESTMENT TRUST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rPr>
              <w:t>SCHEDULE III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SUMMARY OF REAL ESTATE AND ACCUMULATED DEPRECIATION - CONTINUED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Three Years Ended December 31, 2016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Reconciliation of Accumulated Depreciation and Amortization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8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1,350,471</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155,662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(39,083)</w:t>
            </w:r>
          </w:p>
        </w:tc>
        <w:tc>
          <w:tcPr>
            <w:tcW w:w="0" w:type="dxa"/>
            <w:vAlign w:val="bottom"/>
          </w:tcPr>
          <w:p>
            <w:pPr>
              <w:spacing w:after="0"/>
              <w:rPr>
                <w:sz w:val="1"/>
                <w:szCs w:val="1"/>
                <w:color w:val="auto"/>
              </w:rPr>
            </w:pPr>
          </w:p>
        </w:tc>
      </w:tr>
      <w:tr>
        <w:trPr>
          <w:trHeight w:val="236"/>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2014</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1,467,050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156,513</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(49,522)</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1,574,041</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173,244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(18,051)</w:t>
            </w:r>
          </w:p>
        </w:tc>
        <w:tc>
          <w:tcPr>
            <w:tcW w:w="0" w:type="dxa"/>
            <w:vAlign w:val="bottom"/>
          </w:tcPr>
          <w:p>
            <w:pPr>
              <w:spacing w:after="0"/>
              <w:rPr>
                <w:sz w:val="1"/>
                <w:szCs w:val="1"/>
                <w:color w:val="auto"/>
              </w:rPr>
            </w:pP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2016</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1,729,234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840" w:type="dxa"/>
            <w:vAlign w:val="bottom"/>
            <w:vMerge w:val="restart"/>
          </w:tcPr>
          <w:p>
            <w:pPr>
              <w:jc w:val="center"/>
              <w:ind w:left="50"/>
              <w:spacing w:after="0"/>
              <w:rPr>
                <w:sz w:val="20"/>
                <w:szCs w:val="20"/>
                <w:color w:val="auto"/>
              </w:rPr>
            </w:pPr>
            <w:r>
              <w:rPr>
                <w:rFonts w:ascii="Arial" w:cs="Arial" w:eastAsia="Arial" w:hAnsi="Arial"/>
                <w:sz w:val="18"/>
                <w:szCs w:val="18"/>
                <w:color w:val="auto"/>
                <w:w w:val="91"/>
              </w:rPr>
              <w:t>F-38</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1220" w:type="dxa"/>
            <w:vAlign w:val="bottom"/>
          </w:tcPr>
          <w:p>
            <w:pPr>
              <w:spacing w:after="0"/>
              <w:rPr>
                <w:sz w:val="24"/>
                <w:szCs w:val="24"/>
                <w:color w:val="auto"/>
              </w:rPr>
            </w:pPr>
          </w:p>
        </w:tc>
        <w:tc>
          <w:tcPr>
            <w:tcW w:w="8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40" w:type="dxa"/>
            <w:vAlign w:val="bottom"/>
            <w:gridSpan w:val="2"/>
          </w:tcPr>
          <w:p>
            <w:pPr>
              <w:ind w:left="500"/>
              <w:spacing w:after="0"/>
              <w:rPr>
                <w:sz w:val="20"/>
                <w:szCs w:val="20"/>
                <w:color w:val="auto"/>
              </w:rPr>
            </w:pPr>
            <w:r>
              <w:rPr>
                <w:rFonts w:ascii="Arial" w:cs="Arial" w:eastAsia="Arial" w:hAnsi="Arial"/>
                <w:sz w:val="14"/>
                <w:szCs w:val="14"/>
                <w:b w:val="1"/>
                <w:bCs w:val="1"/>
                <w:color w:val="auto"/>
              </w:rPr>
              <w:t>Column A</w:t>
            </w: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Column B</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Column C</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Column D</w:t>
            </w:r>
          </w:p>
        </w:tc>
        <w:tc>
          <w:tcPr>
            <w:tcW w:w="220" w:type="dxa"/>
            <w:vAlign w:val="bottom"/>
          </w:tcPr>
          <w:p>
            <w:pPr>
              <w:spacing w:after="0"/>
              <w:rPr>
                <w:sz w:val="16"/>
                <w:szCs w:val="16"/>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Column E</w:t>
            </w:r>
          </w:p>
        </w:tc>
        <w:tc>
          <w:tcPr>
            <w:tcW w:w="16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Column F</w:t>
            </w:r>
          </w:p>
        </w:tc>
        <w:tc>
          <w:tcPr>
            <w:tcW w:w="12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Column G</w:t>
            </w:r>
          </w:p>
        </w:tc>
        <w:tc>
          <w:tcPr>
            <w:tcW w:w="140" w:type="dxa"/>
            <w:vAlign w:val="bottom"/>
          </w:tcPr>
          <w:p>
            <w:pPr>
              <w:spacing w:after="0"/>
              <w:rPr>
                <w:sz w:val="16"/>
                <w:szCs w:val="16"/>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Column H</w:t>
            </w:r>
          </w:p>
        </w:tc>
        <w:tc>
          <w:tcPr>
            <w:tcW w:w="0" w:type="dxa"/>
            <w:vAlign w:val="bottom"/>
          </w:tcPr>
          <w:p>
            <w:pPr>
              <w:spacing w:after="0"/>
              <w:rPr>
                <w:sz w:val="1"/>
                <w:szCs w:val="1"/>
                <w:color w:val="auto"/>
              </w:rPr>
            </w:pPr>
          </w:p>
        </w:tc>
      </w:tr>
      <w:tr>
        <w:trPr>
          <w:trHeight w:val="152"/>
        </w:trPr>
        <w:tc>
          <w:tcPr>
            <w:tcW w:w="1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480"/>
              <w:spacing w:after="0" w:line="152"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of Loans</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Periodic Payment</w:t>
            </w:r>
          </w:p>
        </w:tc>
        <w:tc>
          <w:tcPr>
            <w:tcW w:w="220" w:type="dxa"/>
            <w:vAlign w:val="bottom"/>
          </w:tcPr>
          <w:p>
            <w:pPr>
              <w:spacing w:after="0"/>
              <w:rPr>
                <w:sz w:val="12"/>
                <w:szCs w:val="12"/>
                <w:color w:val="auto"/>
              </w:rPr>
            </w:pPr>
          </w:p>
        </w:tc>
        <w:tc>
          <w:tcPr>
            <w:tcW w:w="11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7"/>
              </w:rPr>
              <w:t>Prior</w:t>
            </w:r>
          </w:p>
        </w:tc>
        <w:tc>
          <w:tcPr>
            <w:tcW w:w="160" w:type="dxa"/>
            <w:vAlign w:val="bottom"/>
          </w:tcPr>
          <w:p>
            <w:pPr>
              <w:spacing w:after="0"/>
              <w:rPr>
                <w:sz w:val="12"/>
                <w:szCs w:val="12"/>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Face Amount</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delinquent</w:t>
            </w:r>
          </w:p>
        </w:tc>
        <w:tc>
          <w:tcPr>
            <w:tcW w:w="0" w:type="dxa"/>
            <w:vAlign w:val="bottom"/>
          </w:tcPr>
          <w:p>
            <w:pPr>
              <w:spacing w:after="0"/>
              <w:rPr>
                <w:sz w:val="1"/>
                <w:szCs w:val="1"/>
                <w:color w:val="auto"/>
              </w:rPr>
            </w:pPr>
          </w:p>
        </w:tc>
      </w:tr>
      <w:tr>
        <w:trPr>
          <w:trHeight w:val="148"/>
        </w:trPr>
        <w:tc>
          <w:tcPr>
            <w:tcW w:w="1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Lien</w:t>
            </w:r>
          </w:p>
        </w:tc>
        <w:tc>
          <w:tcPr>
            <w:tcW w:w="120" w:type="dxa"/>
            <w:vAlign w:val="bottom"/>
            <w:vMerge w:val="restart"/>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vMerge w:val="restart"/>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Liens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of Mortgages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of Mortgages(1)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3"/>
              </w:rPr>
              <w:t>or Interest</w:t>
            </w:r>
          </w:p>
        </w:tc>
        <w:tc>
          <w:tcPr>
            <w:tcW w:w="0" w:type="dxa"/>
            <w:vAlign w:val="bottom"/>
          </w:tcPr>
          <w:p>
            <w:pPr>
              <w:spacing w:after="0"/>
              <w:rPr>
                <w:sz w:val="1"/>
                <w:szCs w:val="1"/>
                <w:color w:val="auto"/>
              </w:rPr>
            </w:pPr>
          </w:p>
        </w:tc>
      </w:tr>
      <w:tr>
        <w:trPr>
          <w:trHeight w:val="219"/>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 on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 or 10%</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2021</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only</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20,654</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20,654   (2)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retail buildings in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on</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monthly; balloon</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Philadelphia, PA</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timing of</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payment due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draws, plus</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at maturity</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participation</w:t>
            </w: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Mortgage on retail</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10% plus</w:t>
            </w:r>
          </w:p>
        </w:tc>
        <w:tc>
          <w:tcPr>
            <w:tcW w:w="1400" w:type="dxa"/>
            <w:vAlign w:val="bottom"/>
            <w:gridSpan w:val="2"/>
          </w:tcPr>
          <w:p>
            <w:pPr>
              <w:ind w:left="20"/>
              <w:spacing w:after="0"/>
              <w:rPr>
                <w:sz w:val="20"/>
                <w:szCs w:val="20"/>
                <w:color w:val="auto"/>
              </w:rPr>
            </w:pPr>
            <w:r>
              <w:rPr>
                <w:rFonts w:ascii="Arial" w:cs="Arial" w:eastAsia="Arial" w:hAnsi="Arial"/>
                <w:sz w:val="16"/>
                <w:szCs w:val="16"/>
                <w:color w:val="auto"/>
              </w:rPr>
              <w:t>May 2021</w:t>
            </w: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Interest only</w:t>
            </w:r>
          </w:p>
        </w:tc>
        <w:tc>
          <w:tcPr>
            <w:tcW w:w="22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20" w:type="dxa"/>
            <w:vAlign w:val="bottom"/>
          </w:tcPr>
          <w:p>
            <w:pPr>
              <w:jc w:val="right"/>
              <w:ind w:right="24"/>
              <w:spacing w:after="0"/>
              <w:rPr>
                <w:sz w:val="20"/>
                <w:szCs w:val="20"/>
                <w:color w:val="auto"/>
              </w:rPr>
            </w:pPr>
            <w:r>
              <w:rPr>
                <w:rFonts w:ascii="Arial" w:cs="Arial" w:eastAsia="Arial" w:hAnsi="Arial"/>
                <w:sz w:val="16"/>
                <w:szCs w:val="16"/>
                <w:color w:val="auto"/>
              </w:rPr>
              <w:t>9,250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16"/>
                <w:szCs w:val="16"/>
                <w:color w:val="auto"/>
              </w:rPr>
              <w:t>9,250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buildings in</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participation</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monthly;</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Philadelphia, PA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balloon payment due</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at maturity</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29,904</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29,904</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Federal tax purposes, the aggregate tax basis is approximately $29.9 million as of December 31, 2016.</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This mortgage is available for up to $25.0 million.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6"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3220" w:type="dxa"/>
            <w:vAlign w:val="bottom"/>
            <w:gridSpan w:val="2"/>
          </w:tcPr>
          <w:p>
            <w:pPr>
              <w:spacing w:after="0"/>
              <w:rPr>
                <w:rFonts w:ascii="Arial" w:cs="Arial" w:eastAsia="Arial" w:hAnsi="Arial"/>
                <w:sz w:val="16"/>
                <w:szCs w:val="16"/>
                <w:b w:val="1"/>
                <w:bCs w:val="1"/>
                <w:color w:val="0000EE"/>
              </w:rPr>
            </w:pPr>
            <w:hyperlink w:anchor="page56">
              <w:r>
                <w:rPr>
                  <w:rFonts w:ascii="Arial" w:cs="Arial" w:eastAsia="Arial" w:hAnsi="Arial"/>
                  <w:sz w:val="16"/>
                  <w:szCs w:val="16"/>
                  <w:b w:val="1"/>
                  <w:bCs w:val="1"/>
                  <w:color w:val="0000EE"/>
                </w:rPr>
                <w:t>Table of Contents</w:t>
              </w:r>
            </w:hyperlink>
          </w:p>
        </w:tc>
        <w:tc>
          <w:tcPr>
            <w:tcW w:w="6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36"/>
        </w:trPr>
        <w:tc>
          <w:tcPr>
            <w:tcW w:w="12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rPr>
              <w:t>FEDERAL REALTY INVESTMENT TRUST</w:t>
            </w:r>
          </w:p>
        </w:tc>
        <w:tc>
          <w:tcPr>
            <w:tcW w:w="96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50"/>
              <w:spacing w:after="0"/>
              <w:rPr>
                <w:sz w:val="20"/>
                <w:szCs w:val="20"/>
                <w:color w:val="auto"/>
              </w:rPr>
            </w:pPr>
            <w:r>
              <w:rPr>
                <w:rFonts w:ascii="Arial" w:cs="Arial" w:eastAsia="Arial" w:hAnsi="Arial"/>
                <w:sz w:val="18"/>
                <w:szCs w:val="18"/>
                <w:b w:val="1"/>
                <w:bCs w:val="1"/>
                <w:color w:val="auto"/>
              </w:rPr>
              <w:t>SCHEDULE IV</w:t>
            </w:r>
          </w:p>
        </w:tc>
        <w:tc>
          <w:tcPr>
            <w:tcW w:w="9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w w:val="99"/>
              </w:rPr>
              <w:t>MORTGAGE LOANS ON REAL ESTATE - CONTINUED</w:t>
            </w:r>
          </w:p>
        </w:tc>
        <w:tc>
          <w:tcPr>
            <w:tcW w:w="9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w w:val="90"/>
              </w:rPr>
              <w:t>Three Years Ended December 31, 2016</w:t>
            </w:r>
          </w:p>
        </w:tc>
        <w:tc>
          <w:tcPr>
            <w:tcW w:w="9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50"/>
              <w:spacing w:after="0"/>
              <w:rPr>
                <w:sz w:val="20"/>
                <w:szCs w:val="20"/>
                <w:color w:val="auto"/>
              </w:rPr>
            </w:pPr>
            <w:r>
              <w:rPr>
                <w:rFonts w:ascii="Arial" w:cs="Arial" w:eastAsia="Arial" w:hAnsi="Arial"/>
                <w:sz w:val="18"/>
                <w:szCs w:val="18"/>
                <w:b w:val="1"/>
                <w:bCs w:val="1"/>
                <w:color w:val="auto"/>
                <w:w w:val="91"/>
              </w:rPr>
              <w:t>Reconciliation of Carrying Amount</w:t>
            </w:r>
          </w:p>
        </w:tc>
        <w:tc>
          <w:tcPr>
            <w:tcW w:w="96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w w:val="88"/>
              </w:rPr>
              <w:t>(in thousands)</w:t>
            </w:r>
          </w:p>
        </w:tc>
        <w:tc>
          <w:tcPr>
            <w:tcW w:w="960" w:type="dxa"/>
            <w:vAlign w:val="bottom"/>
          </w:tcPr>
          <w:p>
            <w:pPr>
              <w:spacing w:after="0"/>
              <w:rPr>
                <w:sz w:val="20"/>
                <w:szCs w:val="20"/>
                <w:color w:val="auto"/>
              </w:rPr>
            </w:pPr>
          </w:p>
        </w:tc>
      </w:tr>
      <w:tr>
        <w:trPr>
          <w:trHeight w:val="378"/>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72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55,155</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7"/>
              </w:rPr>
              <w:t>Collection and satisfaction of loans</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r>
      <w:tr>
        <w:trPr>
          <w:trHeight w:val="243"/>
        </w:trPr>
        <w:tc>
          <w:tcPr>
            <w:tcW w:w="3220" w:type="dxa"/>
            <w:vAlign w:val="bottom"/>
            <w:gridSpan w:val="2"/>
          </w:tcPr>
          <w:p>
            <w:pPr>
              <w:ind w:left="500"/>
              <w:spacing w:after="0"/>
              <w:rPr>
                <w:sz w:val="20"/>
                <w:szCs w:val="20"/>
                <w:color w:val="auto"/>
              </w:rPr>
            </w:pPr>
            <w:r>
              <w:rPr>
                <w:rFonts w:ascii="Arial" w:cs="Arial" w:eastAsia="Arial" w:hAnsi="Arial"/>
                <w:sz w:val="18"/>
                <w:szCs w:val="18"/>
                <w:color w:val="auto"/>
              </w:rPr>
              <w:t>Amortization of discount</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611</w:t>
            </w:r>
          </w:p>
        </w:tc>
      </w:tr>
      <w:tr>
        <w:trPr>
          <w:trHeight w:val="27"/>
        </w:trPr>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50,988</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Issuance of loans</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7"/>
              </w:rPr>
              <w:t>Collection and satisfaction of loans</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(10,692)</w:t>
            </w:r>
          </w:p>
        </w:tc>
      </w:tr>
      <w:tr>
        <w:trPr>
          <w:trHeight w:val="243"/>
        </w:trPr>
        <w:tc>
          <w:tcPr>
            <w:tcW w:w="3220" w:type="dxa"/>
            <w:vAlign w:val="bottom"/>
            <w:gridSpan w:val="2"/>
          </w:tcPr>
          <w:p>
            <w:pPr>
              <w:ind w:left="500"/>
              <w:spacing w:after="0"/>
              <w:rPr>
                <w:sz w:val="20"/>
                <w:szCs w:val="20"/>
                <w:color w:val="auto"/>
              </w:rPr>
            </w:pPr>
            <w:r>
              <w:rPr>
                <w:rFonts w:ascii="Arial" w:cs="Arial" w:eastAsia="Arial" w:hAnsi="Arial"/>
                <w:sz w:val="18"/>
                <w:szCs w:val="18"/>
                <w:color w:val="auto"/>
              </w:rPr>
              <w:t>Amortization of discount</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954</w:t>
            </w:r>
          </w:p>
        </w:tc>
      </w:tr>
      <w:tr>
        <w:trPr>
          <w:trHeight w:val="27"/>
        </w:trPr>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41,618</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7"/>
              </w:rPr>
              <w:t>Collection and satisfaction of loans</w:t>
            </w:r>
          </w:p>
        </w:tc>
        <w:tc>
          <w:tcPr>
            <w:tcW w:w="6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(11,714)</w:t>
            </w:r>
          </w:p>
        </w:tc>
      </w:tr>
      <w:tr>
        <w:trPr>
          <w:trHeight w:val="257"/>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Balance, December 31, 2016</w:t>
            </w:r>
          </w:p>
        </w:tc>
        <w:tc>
          <w:tcPr>
            <w:tcW w:w="68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29,904</w:t>
            </w:r>
          </w:p>
        </w:tc>
      </w:tr>
      <w:tr>
        <w:trPr>
          <w:trHeight w:val="20"/>
        </w:trPr>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50"/>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color w:val="auto"/>
                <w:w w:val="91"/>
              </w:rPr>
              <w:t>F-40</w:t>
            </w:r>
          </w:p>
        </w:tc>
        <w:tc>
          <w:tcPr>
            <w:tcW w:w="9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6"/>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February 17, 2006, May 6, 2009, and November 2, 2016.</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498"/>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 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 Indenture dated September 1, 1998 related to the Trust’s 5.65% Notes due 2016; 6.20% Notes due 2017; 5.90% Notes due 2020; 3.00%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Notes due 2022; 2.75% Notes due 2023; 3.95% Notes due 2024; 4.50% Notes due 2044; 2.55% Notes due 2021; 3.625% Notes due 2046</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(previously filed as Exhibit 4(a) to the Trust’s Registration Statement on Form S-3 (File No. 333-63619) filed on September 17, 1998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 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 Executive Agreement between Federal Realty Investment Trust and Donald C. Wood dated February 22, 1999 (previously filed as a portion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of Exhibit 10 to the 1999 1Q 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 Amendment to Executive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filed as Exhibit 10.12 to the Trust’s Annual Report on Form 10-K for the year ended December 31, 2004 (File No. 1-07533) (the “2004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 Health Coverage Continuation Agreement between Federal Realty Investment Trust and Donald C. Wood dated February 16, 2005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(previously 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 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Restricted Share Award Agreement for long term vesting and retention awards for shares issued out of the 2010 Plan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as Exhibit 10.35 to the Trust's Annual Report on Form 10-K for the year ended December 31, 2010 (File No. 1-07533) (the "2010 Form 10-K")</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6" w:right="239" w:bottom="1440" w:gutter="0" w:footer="0" w:header="0"/>
          <w:type w:val="continuous"/>
        </w:sectPr>
      </w:pPr>
    </w:p>
    <w:bookmarkStart w:id="96" w:name="page97"/>
    <w:bookmarkEnd w:id="96"/>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92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color w:val="auto"/>
                <w:w w:val="93"/>
              </w:rPr>
              <w:t>10.11</w:t>
            </w:r>
          </w:p>
        </w:tc>
        <w:tc>
          <w:tcPr>
            <w:tcW w:w="12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Amended and Restated 2001 Long-Term Incentive Plan (previously filed as Exhibit 10.34 to the Trust’s Quarterly Report on Form 10-Q for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quarter ended June 30, 2007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 Second Amendment to Executive Agreement between the Trust and Donald C. Wood dated January 1, 2009 (previously filed as Exhibit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10.27 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10.15</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 Second Amendment to Severance Agreement between the Trust and Dawn M. Becker dated January 1, 2009 (previously filed as Exhibit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10.30 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10.17</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10.18</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2010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10.20</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525"/>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525"/>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10.41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10.25</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permitted assignees under Section 12.6., as Lenders, PNC Bank, National Association, as Administrative Agent, Capital One, N.A.,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Manager (previously filed as Exhibit 10.1 to the Trust's Current Report on Form 8-K (File No. 1-07533), filed on November 28, 2011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8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6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Revised Form of Restricted Share Award Agreement for front loaded awards made under the Trust’s Long-Term Incentive Award Program for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shares issued out of the 2010 Plan (previously filed as Exhibit 10.35 to the Trust's Annual Report on Form 10-K for the year ended December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31, 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long-term vesting and retention awards made under the Trust’s Long-Term Incentive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Award 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Revised Form of Performance Share Award Agreement for shares awarded out of the 2010 Plan (previously filed as Exhibit 10.37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2012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First Amendment to the Credit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party thereto, and Wells Fargo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April 26, 2013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First Amendment to the Term Loan Agreement, dated as of April 22, 2013, by and among Federal Realty Investment Trust, each of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Lenders party thereto, and PNC Bank, National Association, as Administrative Agent (previously filed as Exhibit 10.40 to the Trust's Quarterly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10380" w:type="dxa"/>
            <w:vAlign w:val="bottom"/>
            <w:vMerge w:val="restart"/>
          </w:tcPr>
          <w:p>
            <w:pPr>
              <w:ind w:left="40"/>
              <w:spacing w:after="0"/>
              <w:rPr>
                <w:sz w:val="20"/>
                <w:szCs w:val="20"/>
                <w:color w:val="auto"/>
              </w:rPr>
            </w:pPr>
            <w:r>
              <w:rPr>
                <w:rFonts w:ascii="Arial" w:cs="Arial" w:eastAsia="Arial" w:hAnsi="Arial"/>
                <w:sz w:val="18"/>
                <w:szCs w:val="18"/>
                <w:color w:val="auto"/>
                <w:w w:val="94"/>
              </w:rPr>
              <w:t>Second Amendment to Term Loan Agreement, dated as of August 28, 2014, by and among Federal Realty Investment Trust, each of the</w:t>
            </w: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Lenders party thereto, and PNC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September 2, 2014 and incorporated herein by reference)</w:t>
            </w:r>
          </w:p>
        </w:tc>
        <w:tc>
          <w:tcPr>
            <w:tcW w:w="0" w:type="dxa"/>
            <w:vAlign w:val="bottom"/>
          </w:tcPr>
          <w:p>
            <w:pPr>
              <w:spacing w:after="0"/>
              <w:rPr>
                <w:sz w:val="1"/>
                <w:szCs w:val="1"/>
                <w:color w:val="auto"/>
              </w:rPr>
            </w:pPr>
          </w:p>
        </w:tc>
      </w:tr>
      <w:tr>
        <w:trPr>
          <w:trHeight w:val="458"/>
        </w:trPr>
        <w:tc>
          <w:tcPr>
            <w:tcW w:w="920" w:type="dxa"/>
            <w:vAlign w:val="bottom"/>
          </w:tcPr>
          <w:p>
            <w:pPr>
              <w:ind w:left="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Second Amendment to Credit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party thereto, and PNC Bank, National Association, as Administrative Agent (previously filed as Exhibit 10.1 to the Trust's Current Report 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8K (File No. 1-07533), filed on April 26, 2016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Third Amendment to Term Loan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party thereto, and PNC Bank, National Association, as Administrative Agent (previously filed as Exhibit 10.1 to the Trust's Current Report 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8-K (File No. 1-07533), filed on April 26, 2016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Severance Agreement between the Trust and Daniel Guglielmone dated August 15, 2016 (previously filed as Exhibit 10.36 to the Trust's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Quarterly Report on Form 10-Q for the quarter ended September 30, 2016 (File No. 1-07533 and incorporated herein by reference)</w:t>
            </w:r>
          </w:p>
        </w:tc>
        <w:tc>
          <w:tcPr>
            <w:tcW w:w="0" w:type="dxa"/>
            <w:vAlign w:val="bottom"/>
          </w:tcPr>
          <w:p>
            <w:pPr>
              <w:spacing w:after="0"/>
              <w:rPr>
                <w:sz w:val="1"/>
                <w:szCs w:val="1"/>
                <w:color w:val="auto"/>
              </w:rPr>
            </w:pPr>
          </w:p>
        </w:tc>
      </w:tr>
      <w:tr>
        <w:trPr>
          <w:trHeight w:val="405"/>
        </w:trPr>
        <w:tc>
          <w:tcPr>
            <w:tcW w:w="92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Subsidiaries of Federal Realty Investment Trust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Consent of Grant Thornton LLP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480" w:hanging="1045"/>
        <w:spacing w:after="0" w:line="25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Annual Report on Form 10-K for the year ended December 31, 2016,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required to be filed as an exhibit pursuant to Item 15(b) of Form 10-K.</w:t>
      </w:r>
    </w:p>
    <w:p>
      <w:pPr>
        <w:spacing w:after="0" w:line="9" w:lineRule="exact"/>
        <w:rPr>
          <w:sz w:val="20"/>
          <w:szCs w:val="20"/>
          <w:color w:val="auto"/>
        </w:rPr>
      </w:pPr>
    </w:p>
    <w:p>
      <w:pPr>
        <w:ind w:right="100" w:firstLine="8"/>
        <w:spacing w:after="0" w:line="260" w:lineRule="auto"/>
        <w:tabs>
          <w:tab w:leader="none" w:pos="22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Pursuant to Regulation S-K Item 601(b)(4)(iii), the Trust by this filing agrees, upon request, to furnish to the Securities and Exchange Commission a copy of other instruments defining the rights of holders of long-term debt of the Trust.</w:t>
      </w:r>
    </w:p>
    <w:p>
      <w:pPr>
        <w:sectPr>
          <w:pgSz w:w="11900" w:h="16838" w:orient="portrait"/>
          <w:cols w:equalWidth="0" w:num="1">
            <w:col w:w="11420"/>
          </w:cols>
          <w:pgMar w:left="240" w:top="126"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6" w:right="23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154305</wp:posOffset>
            </wp:positionV>
            <wp:extent cx="5842000" cy="753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2000" cy="75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Federal Realty Investment Trust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(February 12, 2003)</w:t>
      </w:r>
    </w:p>
    <w:p>
      <w:pPr>
        <w:spacing w:after="0" w:line="200" w:lineRule="exact"/>
        <w:rPr>
          <w:sz w:val="20"/>
          <w:szCs w:val="20"/>
          <w:color w:val="auto"/>
        </w:rPr>
      </w:pPr>
    </w:p>
    <w:p>
      <w:pPr>
        <w:spacing w:after="0" w:line="218" w:lineRule="exact"/>
        <w:rPr>
          <w:sz w:val="20"/>
          <w:szCs w:val="20"/>
          <w:color w:val="auto"/>
        </w:rPr>
      </w:pPr>
    </w:p>
    <w:p>
      <w:pPr>
        <w:ind w:left="5280"/>
        <w:spacing w:after="0"/>
        <w:rPr>
          <w:sz w:val="20"/>
          <w:szCs w:val="20"/>
          <w:color w:val="auto"/>
        </w:rPr>
      </w:pPr>
      <w:r>
        <w:rPr>
          <w:rFonts w:ascii="Arial" w:cs="Arial" w:eastAsia="Arial" w:hAnsi="Arial"/>
          <w:sz w:val="18"/>
          <w:szCs w:val="18"/>
          <w:b w:val="1"/>
          <w:bCs w:val="1"/>
          <w:i w:val="1"/>
          <w:iCs w:val="1"/>
          <w:color w:val="auto"/>
        </w:rPr>
        <w:t>ARTICLE I</w:t>
      </w:r>
    </w:p>
    <w:p>
      <w:pPr>
        <w:spacing w:after="0" w:line="31" w:lineRule="exact"/>
        <w:rPr>
          <w:sz w:val="20"/>
          <w:szCs w:val="20"/>
          <w:color w:val="auto"/>
        </w:rPr>
      </w:pPr>
    </w:p>
    <w:p>
      <w:pPr>
        <w:ind w:left="5320"/>
        <w:spacing w:after="0"/>
        <w:rPr>
          <w:sz w:val="20"/>
          <w:szCs w:val="20"/>
          <w:color w:val="auto"/>
        </w:rPr>
      </w:pPr>
      <w:r>
        <w:rPr>
          <w:rFonts w:ascii="Arial" w:cs="Arial" w:eastAsia="Arial" w:hAnsi="Arial"/>
          <w:sz w:val="18"/>
          <w:szCs w:val="18"/>
          <w:b w:val="1"/>
          <w:bCs w:val="1"/>
          <w:i w:val="1"/>
          <w:iCs w:val="1"/>
          <w:color w:val="auto"/>
        </w:rPr>
        <w:t>OFFICES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Section 1. PRINCIPAL OFFICE. The principal office of the Trust shall be located at such place or places as the Board of Trustees may designate.</w:t>
      </w:r>
    </w:p>
    <w:p>
      <w:pPr>
        <w:spacing w:after="0" w:line="19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Section 2. ADDITIONAL OFFICES. The Trust may have additional offices at such places as the Board of Trustees may from time to time determine or the business of the Trust may require.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Section 1. PLACE. All meetings of shareholders shall be held at the principal executive office of the Trust or at such other place within the United States as shall be stated in the notice of the meeting.</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1999. Failure to hold an annual meeting does not invalidate the Trust’s existence or affect any otherwise valid acts of the Trust.</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Section 3. SPECIAL MEETINGS. The Chairman of the Board, the Chief Executive Officer,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4. NOTICE. Not less than ten nor more than 90 days before each meeting of shareholders, the Secretary shall give to each shareholder entitled to vote at such meeting and to each shareholder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5. SCOPE OF NOTICE. Any business of the Trust may be transacted at an annual meeting of shareholders without being specifically designated in the notice, except such business as is required by any statute to be stated in such notice. No business shall be transacted at a special meeting of shareholders except as specifically designated in the notice.</w:t>
      </w:r>
    </w:p>
    <w:p>
      <w:pPr>
        <w:sectPr>
          <w:pgSz w:w="11900" w:h="16838" w:orient="portrait"/>
          <w:cols w:equalWidth="0" w:num="1">
            <w:col w:w="11420"/>
          </w:cols>
          <w:pgMar w:left="240" w:top="580" w:right="239" w:bottom="1440" w:gutter="0" w:footer="0" w:header="0"/>
        </w:sectPr>
      </w:pPr>
    </w:p>
    <w:bookmarkStart w:id="99" w:name="page100"/>
    <w:bookmarkEnd w:id="99"/>
    <w:p>
      <w:pPr>
        <w:jc w:val="both"/>
        <w:spacing w:after="0" w:line="252" w:lineRule="auto"/>
        <w:rPr>
          <w:sz w:val="20"/>
          <w:szCs w:val="20"/>
          <w:color w:val="auto"/>
        </w:rPr>
      </w:pPr>
      <w:r>
        <w:rPr>
          <w:rFonts w:ascii="Arial" w:cs="Arial" w:eastAsia="Arial" w:hAnsi="Arial"/>
          <w:sz w:val="18"/>
          <w:szCs w:val="18"/>
          <w:color w:val="auto"/>
        </w:rPr>
        <w:t>Section 6. ORGANIZATION. The Chairman of the Board shall preside over every meeting of the shareholders. If there is no Chairman or the Chairman is not present at any meeting of the shareholders, the Chief Executive Officer shall preside. In the case of a vacancy in office or an absence of both the Chairman and the Chief Executive Officer, one of the following officers present shall conduct the meeting in the order stated: the President, the Vice Presidents (as defined in Article V, Section 8) in their order of rank and seniority, or a Chairman chosen by the shareholders entitled to cast a majority of the votes which all shareholders present in person or by proxy are entitled to cast, shall act as Chairman. The Secretary, or, in his absence, an Assistant Secretary, or in the absence of both the Secretary and Assistant Secretaries, a person appointed by the Chief Executive Officer, shall act as Secretary of the meeting.</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Section 8. VOTING. In any uncontested election, a majority of all the votes cast at a meeting of shareholders duly called and at which a quorum is present shall be required to elect a Trustee. A majority of the votes cast means that the number of shares voted “for” a Trustee must exceed 50% of the votes cast with respect to that Trustee. In any contested election (in which the number of nominees exceeds the number of trustees to be elected),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any nominee for Trustee in an uncontested election does not receive a majority of votes cast "for" his/her election shall promptly tender his or her resignation to the Chair of the Nominating and Corporate Governance Committee following certification of the shareholder vote. The Nominating and Corporate Governance Committee shall promptly consider the resignation and recommend to the Board whether to accept the tendered resignation or reject it. In considering whether to accept or reject the tendered resignation, the Nominating and Corporate Governance Committee shall consider the stated reasons, if any, why shareholders did not cast votes "for" the election of such Trustee, the length of service and qualifications of the Trustee whose resignation has been tendered, the Trustee’s contributions to the Trust, all requirements of the Trust’s governing documents, all legal requirements and such other information and factors as members of the Nominating and Corporate Governance Committee shall determine are relevant.</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Board will act on the recommendation of the Nominating and Corporate Governance Committee no later than ninety (90) days following the date of the shareholders’ meeting where the election occurred, or the date set forth in any applicable requirement of the Securities and Exchange Commission ("SEC") or the NYSE, whichever is earlier. In considering the Nominating and Corporate Governance Committee’s recommendation, the Board will analyze the factors considered by the committee and such additional information and factors the Board believes to be relevant. Following the Board's decision on the committee's recommendation, the Trust will promptly disclose the Board's decision whether to accept the resignation as tendered (providing a full explanation of the process by which the decision was reached and, if applicable, the reasons for rejecting the tendered resignation) in a press release, a filing with the SEC or other broadly disseminated means of communication. If the Board accepts a Trustee's resignation, the Board may fill the resulting vacancy or decrease the size of the Board pursuant to the Bylaws.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Trustee who tenders his or her resignation pursuant to this provision shall not participate in the Nominating and Corporate Governance Committee recommendation or Board action regarding whether or not to accept the tendered resignation. However, if each member of the Nominating and Corporate Governance Committee fails to receive a majority of "for" votes at the same election, then the non-management Trustees who did receive a majority of "for" votes shall appoint a committee amongst themselves to consider the tendered resignations and recommend to the Board whether to accept or reject them.</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PROXIES. A shareholder may cast the votes entitled to be cast by the shares owned of record by</w:t>
      </w:r>
    </w:p>
    <w:p>
      <w:pPr>
        <w:sectPr>
          <w:pgSz w:w="11900" w:h="16838" w:orient="portrait"/>
          <w:cols w:equalWidth="0" w:num="1">
            <w:col w:w="11420"/>
          </w:cols>
          <w:pgMar w:left="240" w:top="813" w:right="239" w:bottom="1440" w:gutter="0" w:footer="0" w:header="0"/>
        </w:sectPr>
      </w:pPr>
    </w:p>
    <w:bookmarkStart w:id="100" w:name="page101"/>
    <w:bookmarkEnd w:id="100"/>
    <w:p>
      <w:pPr>
        <w:jc w:val="both"/>
        <w:spacing w:after="0" w:line="255" w:lineRule="auto"/>
        <w:rPr>
          <w:sz w:val="20"/>
          <w:szCs w:val="20"/>
          <w:color w:val="auto"/>
        </w:rPr>
      </w:pPr>
      <w:r>
        <w:rPr>
          <w:rFonts w:ascii="Arial" w:cs="Arial" w:eastAsia="Arial" w:hAnsi="Arial"/>
          <w:sz w:val="18"/>
          <w:szCs w:val="18"/>
          <w:color w:val="auto"/>
        </w:rPr>
        <w:t>him either in person or by proxy executed by the shareholder or by his duly authorized agent in any manner allowed by law. Such proxy shall be filed with the Secretary of the Trust before or at the time of the meeting. No proxy shall be valid after eleven months from the date of its execution, unless otherwise provided in the proxy.</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10. VOTING OF SHARES BY CERTAIN HOLDERS. Shares of the Trust registered in the name of a corporation, partnership, limited liability company, trust or other entity, if entitled to be voted, may be voted by the president or a vice president, a general partner, a manager, a managing member or trustee thereof, as the case may be, or a proxy appointed by any of the foregoing individuals, unless some other person who has been appointed to vote such shares pursuant to a bylaw or a resolution of the governing board of such corporation or other entity or agreement of the partners of the partnership or agreement of the members of the limited liability company presents a certified copy of such bylaw, resolution or agreement, in which case such person may vote such shares. Any trustee or other fiduciary may vote shares registered in his name as such fiduciary, either in person or by proxy.</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 forth in the certification, the shareholder of record of the specified shares in place of the shareholder who makes the certification.</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 provided, however, that this section may be repealed only with the approval of at least a majority of the shares then outstanding and entitled to vote on the matter.</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12. REPORTS TO SHAREHOLDERS. 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spacing w:after="0" w:line="20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NOMINATIONS AND PROPOSALS BY SHAREHOLDERS.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(a)</w:t>
        <w:tab/>
        <w:t>Annual Meetings of Shareholders.</w:t>
      </w:r>
    </w:p>
    <w:p>
      <w:pPr>
        <w:sectPr>
          <w:pgSz w:w="11900" w:h="16838" w:orient="portrait"/>
          <w:cols w:equalWidth="0" w:num="1">
            <w:col w:w="11420"/>
          </w:cols>
          <w:pgMar w:left="240" w:top="597" w:right="239" w:bottom="1440" w:gutter="0" w:footer="0" w:header="0"/>
        </w:sectPr>
      </w:pPr>
    </w:p>
    <w:bookmarkStart w:id="101" w:name="page102"/>
    <w:bookmarkEnd w:id="101"/>
    <w:p>
      <w:pPr>
        <w:jc w:val="both"/>
        <w:ind w:left="652" w:hanging="5"/>
        <w:spacing w:after="0" w:line="253" w:lineRule="auto"/>
        <w:tabs>
          <w:tab w:leader="none" w:pos="1078"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Trustees and the proposal of business to be considered by the shareholders may be made at an annual meeting of shareholders: (A) pursuant to the Trust’s notice of meeting; (B) by or at the direction of the Trustees; or (C) by any shareholder of the Trust who was a shareholder of record both at the time of giving of notice provided for in this Section 13(a) and at the time of the annual meeting, who is entitled to vote at the meeting and who complied with the notice procedures set forth in this Section 13(a).</w:t>
      </w:r>
    </w:p>
    <w:p>
      <w:pPr>
        <w:spacing w:after="0" w:line="204" w:lineRule="exact"/>
        <w:rPr>
          <w:rFonts w:ascii="Arial" w:cs="Arial" w:eastAsia="Arial" w:hAnsi="Arial"/>
          <w:sz w:val="18"/>
          <w:szCs w:val="18"/>
          <w:color w:val="auto"/>
        </w:rPr>
      </w:pPr>
    </w:p>
    <w:p>
      <w:pPr>
        <w:jc w:val="both"/>
        <w:ind w:left="652" w:hanging="5"/>
        <w:spacing w:after="0" w:line="248" w:lineRule="auto"/>
        <w:tabs>
          <w:tab w:leader="none" w:pos="1105"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shareholder pursuant to clause (C) of paragraph (a)(1) of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120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calendar day before the first anniversary of the date of the Trust’s proxy statement released to shareholders in connection with the preceding year’s annual meeting; provided, however, that in the event that the date of the current year’s annual meeting has been changed by more than 30 days from the date of the preceding year’s meeting or if the Trust did not hold an annual meeting the preceding year, notice by the shareholder to be timely must be so delivered within a reasonable time before the Trust begins to print and mail its proxy materials. In no event shall the public announcement of a postponement or adjournment of an annual meeting to a later date or time commence a new time period for the giving of a shareholder’s notice as described above. Such shareholder’s notice shall set forth: (A) as to each person whom the shareholder proposes to nominate for election or reelection as a Trustee all information relating to such person that is required to be disclosed in solicitations of proxies for election of Trustees in an election contest, or is otherwise required, in each case pursuant to Regulation 14A under the Securities Exchange Act of 1934, as amended (the “Exchange Act”) (including such person’s written consent to being named in the proxy statement as a nominee and to serving as a Trustee if elected); (B)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and (C) as to the shareholder giving the notice and the beneficial owner, if any, on whose behalf the nomination or proposal is made: (i) the name and address of such shareholder, as they appear on the Trust’s books, and of such beneficial owner; and (ii) the number of each class of shares of the Trust which are owned beneficially and of record by such shareholder and such beneficial owner.</w:t>
      </w:r>
    </w:p>
    <w:p>
      <w:pPr>
        <w:spacing w:after="0" w:line="219" w:lineRule="exact"/>
        <w:rPr>
          <w:rFonts w:ascii="Arial" w:cs="Arial" w:eastAsia="Arial" w:hAnsi="Arial"/>
          <w:sz w:val="18"/>
          <w:szCs w:val="18"/>
          <w:color w:val="auto"/>
        </w:rPr>
      </w:pPr>
    </w:p>
    <w:p>
      <w:pPr>
        <w:jc w:val="both"/>
        <w:ind w:left="652" w:hanging="5"/>
        <w:spacing w:after="0" w:line="252" w:lineRule="auto"/>
        <w:tabs>
          <w:tab w:leader="none" w:pos="1146"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paragraph (a)(2) of this Section 13 to the contrary, in the event that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required by this Section 13(a) shall also be considered timely, but only with respect to nominees for any new positions created by such increase, if it shall be delivered to the Secretary at the principal executive offices of the Trust not later than the close of business on the tenth day following the day on which such public announcement is first made by the Trust.</w:t>
      </w:r>
    </w:p>
    <w:p>
      <w:pPr>
        <w:spacing w:after="0" w:line="205" w:lineRule="exact"/>
        <w:rPr>
          <w:rFonts w:ascii="Arial" w:cs="Arial" w:eastAsia="Arial" w:hAnsi="Arial"/>
          <w:sz w:val="18"/>
          <w:szCs w:val="18"/>
          <w:color w:val="auto"/>
        </w:rPr>
      </w:pPr>
    </w:p>
    <w:p>
      <w:pPr>
        <w:jc w:val="both"/>
        <w:ind w:left="-8" w:firstLine="8"/>
        <w:spacing w:after="0" w:line="251" w:lineRule="auto"/>
        <w:tabs>
          <w:tab w:leader="none" w:pos="499" w:val="left"/>
        </w:tabs>
        <w:numPr>
          <w:ilvl w:val="0"/>
          <w:numId w:val="66"/>
        </w:numPr>
        <w:rPr>
          <w:rFonts w:ascii="Arial" w:cs="Arial" w:eastAsia="Arial" w:hAnsi="Arial"/>
          <w:sz w:val="18"/>
          <w:szCs w:val="18"/>
          <w:color w:val="auto"/>
        </w:rPr>
      </w:pPr>
      <w:r>
        <w:rPr>
          <w:rFonts w:ascii="Arial" w:cs="Arial" w:eastAsia="Arial" w:hAnsi="Arial"/>
          <w:sz w:val="18"/>
          <w:szCs w:val="18"/>
          <w:color w:val="auto"/>
        </w:rPr>
        <w:t>Special Meetings of Shareholders. Only such business shall be conducted at a special meeting of shareholders as shall have been brought before the meeting pursuant to the Trust’s notice of meeting. Nominations of persons for election to the Board of Trustees may be made at a special meeting of shareholders at which Trustees are to be elected: (i) pursuant to the Trust’s notice of meeting; (ii) by or at the direction of the Board of Trustees; or (iii) provided that the Board of Trustees has determined that Trustees shall be elected at such special meeting, by any shareholder of the Trust who was a shareholder of record both at the time of giving of notice provided for in this Section 13(b) and at the time of the special meeting, who is entitled to vote at the meeting and who complied with the notice procedures set forth in this Section 13(b). In the event the Trust calls a special meeting of shareholders for the purpose of electing one or more Trustees to the Board of Trustees, any such shareholder may nominate a person or persons (as the case may be) for election to such position as specified in the Trust’s notice of meeting, if the shareholder’s notice containing the information required by paragraph (a)(2) of this Section 13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sectPr>
          <w:pgSz w:w="11900" w:h="16838" w:orient="portrait"/>
          <w:cols w:equalWidth="0" w:num="1">
            <w:col w:w="11412"/>
          </w:cols>
          <w:pgMar w:left="248" w:top="813" w:right="239" w:bottom="1440" w:gutter="0" w:footer="0" w:header="0"/>
        </w:sectPr>
      </w:pPr>
    </w:p>
    <w:bookmarkStart w:id="102" w:name="page103"/>
    <w:bookmarkEnd w:id="102"/>
    <w:p>
      <w:pPr>
        <w:ind w:left="400" w:hanging="392"/>
        <w:spacing w:after="0"/>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General.</w:t>
      </w:r>
    </w:p>
    <w:p>
      <w:pPr>
        <w:spacing w:after="0" w:line="224" w:lineRule="exact"/>
        <w:rPr>
          <w:rFonts w:ascii="Arial" w:cs="Arial" w:eastAsia="Arial" w:hAnsi="Arial"/>
          <w:sz w:val="18"/>
          <w:szCs w:val="18"/>
          <w:color w:val="auto"/>
        </w:rPr>
      </w:pPr>
    </w:p>
    <w:p>
      <w:pPr>
        <w:jc w:val="both"/>
        <w:ind w:left="660" w:hanging="5"/>
        <w:spacing w:after="0" w:line="252" w:lineRule="auto"/>
        <w:tabs>
          <w:tab w:leader="none" w:pos="1086" w:val="left"/>
        </w:tabs>
        <w:numPr>
          <w:ilvl w:val="1"/>
          <w:numId w:val="67"/>
        </w:numPr>
        <w:rPr>
          <w:rFonts w:ascii="Arial" w:cs="Arial" w:eastAsia="Arial" w:hAnsi="Arial"/>
          <w:sz w:val="18"/>
          <w:szCs w:val="18"/>
          <w:color w:val="auto"/>
        </w:rPr>
      </w:pPr>
      <w:r>
        <w:rPr>
          <w:rFonts w:ascii="Arial" w:cs="Arial" w:eastAsia="Arial" w:hAnsi="Arial"/>
          <w:sz w:val="18"/>
          <w:szCs w:val="18"/>
          <w:color w:val="auto"/>
        </w:rPr>
        <w:t>Only such persons who are nominated in accordance with the procedures set forth in this Section 13 shall be eligible to serve as Trustees and only such business shall be conducted at a meeting of shareholders as shall have been brought before the meeting in accordance with the procedures set forth in this Section 13. The chairman of the meeting shall have the power and duty to determine whether a nomination or any business 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spacing w:after="0" w:line="206" w:lineRule="exact"/>
        <w:rPr>
          <w:rFonts w:ascii="Arial" w:cs="Arial" w:eastAsia="Arial" w:hAnsi="Arial"/>
          <w:sz w:val="18"/>
          <w:szCs w:val="18"/>
          <w:color w:val="auto"/>
        </w:rPr>
      </w:pPr>
    </w:p>
    <w:p>
      <w:pPr>
        <w:jc w:val="both"/>
        <w:ind w:left="660" w:hanging="5"/>
        <w:spacing w:after="0" w:line="255" w:lineRule="auto"/>
        <w:tabs>
          <w:tab w:leader="none" w:pos="1059"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203" w:lineRule="exact"/>
        <w:rPr>
          <w:rFonts w:ascii="Arial" w:cs="Arial" w:eastAsia="Arial" w:hAnsi="Arial"/>
          <w:sz w:val="18"/>
          <w:szCs w:val="18"/>
          <w:color w:val="auto"/>
        </w:rPr>
      </w:pPr>
    </w:p>
    <w:p>
      <w:pPr>
        <w:jc w:val="both"/>
        <w:ind w:left="660" w:right="20" w:hanging="5"/>
        <w:spacing w:after="0" w:line="254" w:lineRule="auto"/>
        <w:tabs>
          <w:tab w:leader="none" w:pos="1113"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20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color w:val="auto"/>
        </w:rPr>
        <w:t>INFORMAL ACTION BY SHAREHOLDERS.</w:t>
      </w:r>
    </w:p>
    <w:p>
      <w:pPr>
        <w:spacing w:after="0" w:line="225" w:lineRule="exact"/>
        <w:rPr>
          <w:sz w:val="20"/>
          <w:szCs w:val="20"/>
          <w:color w:val="auto"/>
        </w:rPr>
      </w:pPr>
    </w:p>
    <w:p>
      <w:pPr>
        <w:jc w:val="both"/>
        <w:ind w:right="20" w:firstLine="8"/>
        <w:spacing w:after="0" w:line="255" w:lineRule="auto"/>
        <w:tabs>
          <w:tab w:leader="none" w:pos="52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203" w:lineRule="exact"/>
        <w:rPr>
          <w:rFonts w:ascii="Arial" w:cs="Arial" w:eastAsia="Arial" w:hAnsi="Arial"/>
          <w:sz w:val="18"/>
          <w:szCs w:val="18"/>
          <w:color w:val="auto"/>
        </w:rPr>
      </w:pPr>
    </w:p>
    <w:p>
      <w:pPr>
        <w:jc w:val="both"/>
        <w:ind w:firstLine="8"/>
        <w:spacing w:after="0" w:line="251" w:lineRule="auto"/>
        <w:tabs>
          <w:tab w:leader="none" w:pos="4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order that the 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10 days after the date upon which the resolution fixing the record date is adopted by the Board of Trustees. Any shareholder of record seeking to have the shareholders authorize 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 of Trustees within ten (10) days of the date on which such a request is received and no prior action by the Board of Trustees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 officer or agent of the Trust having custody of the book in which proceedings of shareholders meetings are recorded, in each case to the attention of the Secretary of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 resolution taking such prior action.</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Section 15. VOTING BY BALLOT. Voting on any question or in any election may be viva voce unless the presiding officer shall order or any shareholder shall demand that voting be by ballot.</w:t>
      </w:r>
    </w:p>
    <w:p>
      <w:pPr>
        <w:spacing w:after="0" w:line="175" w:lineRule="exact"/>
        <w:rPr>
          <w:sz w:val="20"/>
          <w:szCs w:val="20"/>
          <w:color w:val="auto"/>
        </w:rPr>
      </w:pPr>
    </w:p>
    <w:p>
      <w:pPr>
        <w:ind w:left="5400"/>
        <w:spacing w:after="0"/>
        <w:rPr>
          <w:sz w:val="20"/>
          <w:szCs w:val="20"/>
          <w:color w:val="auto"/>
        </w:rPr>
      </w:pPr>
      <w:r>
        <w:rPr>
          <w:rFonts w:ascii="Arial" w:cs="Arial" w:eastAsia="Arial" w:hAnsi="Arial"/>
          <w:sz w:val="18"/>
          <w:szCs w:val="18"/>
          <w:b w:val="1"/>
          <w:bCs w:val="1"/>
          <w:i w:val="1"/>
          <w:iCs w:val="1"/>
          <w:color w:val="auto"/>
        </w:rPr>
        <w:t>ARTICLE III</w:t>
      </w:r>
    </w:p>
    <w:p>
      <w:pPr>
        <w:spacing w:after="0" w:line="31" w:lineRule="exact"/>
        <w:rPr>
          <w:sz w:val="20"/>
          <w:szCs w:val="20"/>
          <w:color w:val="auto"/>
        </w:rPr>
      </w:pPr>
    </w:p>
    <w:p>
      <w:pPr>
        <w:ind w:left="5400"/>
        <w:spacing w:after="0"/>
        <w:rPr>
          <w:sz w:val="20"/>
          <w:szCs w:val="20"/>
          <w:color w:val="auto"/>
        </w:rPr>
      </w:pPr>
      <w:r>
        <w:rPr>
          <w:rFonts w:ascii="Arial" w:cs="Arial" w:eastAsia="Arial" w:hAnsi="Arial"/>
          <w:sz w:val="18"/>
          <w:szCs w:val="18"/>
          <w:b w:val="1"/>
          <w:bCs w:val="1"/>
          <w:i w:val="1"/>
          <w:iCs w:val="1"/>
          <w:color w:val="auto"/>
        </w:rPr>
        <w:t>TRUSTEES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Section 1. GENERAL POWERS; QUALIFICATIONS; TRUSTEES HOLDING OVER. The business and affairs of the Trust shall be managed under the direction of its Board of Trustees.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 At no time shall there be more than one Trustee on the Board of Trustees that fails to satisfy the definitions for independence as established from time to time in the Securities Exchange Act of 1934,</w:t>
      </w:r>
    </w:p>
    <w:p>
      <w:pPr>
        <w:sectPr>
          <w:pgSz w:w="11900" w:h="16838" w:orient="portrait"/>
          <w:cols w:equalWidth="0" w:num="1">
            <w:col w:w="11420"/>
          </w:cols>
          <w:pgMar w:left="240" w:top="813" w:right="239" w:bottom="1440" w:gutter="0" w:footer="0" w:header="0"/>
        </w:sectPr>
      </w:pPr>
    </w:p>
    <w:bookmarkStart w:id="103" w:name="page104"/>
    <w:bookmarkEnd w:id="103"/>
    <w:p>
      <w:pPr>
        <w:jc w:val="both"/>
        <w:spacing w:after="0" w:line="261" w:lineRule="auto"/>
        <w:rPr>
          <w:sz w:val="20"/>
          <w:szCs w:val="20"/>
          <w:color w:val="auto"/>
        </w:rPr>
      </w:pPr>
      <w:r>
        <w:rPr>
          <w:rFonts w:ascii="Arial" w:cs="Arial" w:eastAsia="Arial" w:hAnsi="Arial"/>
          <w:sz w:val="18"/>
          <w:szCs w:val="18"/>
          <w:color w:val="auto"/>
        </w:rPr>
        <w:t>the New York Stock Exchange’s Listed Company Manual and other laws, rules and regulations applicable to the Trust from time to time except during a period of no more than ninety (90) days following changed circumstances.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2. NUMBER. At any regular meeting or at any special meeting called for that purpose, a majority of the entire Board of Trustees may establish, increase or decrease the number of Trustees; provided, however, that the total number of Trustees shall not be less than five (5) or more than ten (10).</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4. SPECIAL MEETINGS. Special meetings of the Trustees may be called by or at the request of the Chairman of the Board, the Chief Executive Officer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the Trustee is a party. Facsimile-transmission notice shall be deemed given upon completion of the 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6. QUORUM. A majority of the Trustees shall constitute a quorum for transaction of business at any meeting of the Trustees, provided that, if less than a majority of such Trustees are present at said meeting, a majority of the Trustees present may adjourn the meeting from time to time without further notice, and provided further that if, pursuant to the Declaration of Trust or these Bylaws, the vote of a majority of a particular group of Trustees is required for action, a quorum must also include a majority of such group.</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Trustees present at a meeting which has been duly called and convened may continue to transact business until adjournment, notwithstanding the withdrawal of enough Trustees to leave less than a quorum.</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Section 7. VOTING. The action of the majority of the Trustees present at a meeting at which a quorum is present shall be the action of the Trustees, unless the concurrence of a greater proportion is required for such action by applicable statute.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8. TELEPHONE MEETINGS.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10. VACANCIES. If for any reason any or all the Trustees cease to be Trustees, such event shall not terminate the Trust or affect these Bylaws or the powers of the remaining Trustees hereunder (even if fewer than 3 Trustees remain). 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Shares entitled to vote thereon and present in person or by proxy at any meeting of the shareholders called for that purpose. Any individual so elected as Trustee shall serve for the unexpired term of the Trustee he is replacing.</w:t>
      </w:r>
    </w:p>
    <w:p>
      <w:pPr>
        <w:sectPr>
          <w:pgSz w:w="11900" w:h="16838" w:orient="portrait"/>
          <w:cols w:equalWidth="0" w:num="1">
            <w:col w:w="11420"/>
          </w:cols>
          <w:pgMar w:left="240" w:top="597" w:right="239" w:bottom="1440" w:gutter="0" w:footer="0" w:header="0"/>
        </w:sectPr>
      </w:pPr>
    </w:p>
    <w:bookmarkStart w:id="104" w:name="page105"/>
    <w:bookmarkEnd w:id="104"/>
    <w:p>
      <w:pPr>
        <w:spacing w:after="0"/>
        <w:tabs>
          <w:tab w:leader="none" w:pos="10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COMPENSATION; FINANCIAL ASSISTANCE.</w:t>
      </w:r>
    </w:p>
    <w:p>
      <w:pPr>
        <w:spacing w:after="0" w:line="225" w:lineRule="exact"/>
        <w:rPr>
          <w:sz w:val="20"/>
          <w:szCs w:val="20"/>
          <w:color w:val="auto"/>
        </w:rPr>
      </w:pPr>
    </w:p>
    <w:p>
      <w:pPr>
        <w:jc w:val="both"/>
        <w:ind w:firstLine="8"/>
        <w:spacing w:after="0" w:line="252" w:lineRule="auto"/>
        <w:tabs>
          <w:tab w:leader="none" w:pos="4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 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spacing w:after="0" w:line="206" w:lineRule="exact"/>
        <w:rPr>
          <w:rFonts w:ascii="Arial" w:cs="Arial" w:eastAsia="Arial" w:hAnsi="Arial"/>
          <w:sz w:val="18"/>
          <w:szCs w:val="18"/>
          <w:color w:val="auto"/>
        </w:rPr>
      </w:pPr>
    </w:p>
    <w:p>
      <w:pPr>
        <w:jc w:val="both"/>
        <w:ind w:firstLine="8"/>
        <w:spacing w:after="0" w:line="255" w:lineRule="auto"/>
        <w:tabs>
          <w:tab w:leader="none" w:pos="4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Financial Assistance to Trustees. To the extent permitted by law, the Trust may lend money to, guarantee an obligation of or otherwise assist a Trustee or a trustee of its direct or indirect subsidiary. The loan, guarantee or other assistance may be with or without interest, unsecured, or secured in any manner that the Board of Trustees approves, including a pledge of Shares.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Section 12. REMOVAL OF TRUSTEES. The shareholders may, at any time, remove any Trustee in the manner provided in the Declaration of Trust.</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Section 13. LOSS OF DEPOSITS. No Trustee shall be liable for any loss which may occur by reason of the failure of the bank, trust company, savings and loan association, or other institution with whom moneys or shares have been deposited.</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Section 14. SURETY BONDS. Unless required by law, no Trustee shall be obligated to give any bond or surety or other security for the performance of any of his duties.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 subject to any limitations imposed by applicable law or any policies adopted by the Board of Trustees.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18. CHAIRMAN OF THE BOARD OF TRUSTEES. The Board of Trustees may elect from among the Trustees a Chairman of the Board of Trustees by the affirmative vote of a majority of the full Board of Trustees taken at any regular or special meeting of the Trustees. The Chairman shall preside over the meetings of shareholders and the meetings of the Trustees at which he shall be present. The Chairman may be removed at any time by the affirmative vote of a majority of the full Board of Trustees taken at any regular or special meeting of the Trustees. The Chairman may resign from the position of Chairman at any time by written notice to the Board of Trustees effective upon execution and delivery to the Trust of such written notice or upon any future date specified in such notice, provided that such notice shall not constitute written notice to resign as a Trustee unless so designated.</w:t>
      </w:r>
    </w:p>
    <w:p>
      <w:pPr>
        <w:spacing w:after="0" w:line="183"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i w:val="1"/>
          <w:iCs w:val="1"/>
          <w:color w:val="auto"/>
        </w:rPr>
        <w:t>ARTICLE IV</w:t>
      </w:r>
    </w:p>
    <w:p>
      <w:pPr>
        <w:spacing w:after="0" w:line="3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i w:val="1"/>
          <w:iCs w:val="1"/>
          <w:color w:val="auto"/>
        </w:rPr>
        <w:t>COMMITTEES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 NUMBER, TENURE AND QUALIFICATIONS. The Trustees shall appoint from among its members an Audit Committee, a Compensation Committee, and a Nominating and Corporate Governance Committee. The Trustees may appoint from among its members an Executive Committee and such other committees as they may</w:t>
      </w:r>
    </w:p>
    <w:p>
      <w:pPr>
        <w:sectPr>
          <w:pgSz w:w="11900" w:h="16838" w:orient="portrait"/>
          <w:cols w:equalWidth="0" w:num="1">
            <w:col w:w="11420"/>
          </w:cols>
          <w:pgMar w:left="240" w:top="813" w:right="239" w:bottom="1440" w:gutter="0" w:footer="0" w:header="0"/>
        </w:sectPr>
      </w:pPr>
    </w:p>
    <w:bookmarkStart w:id="105" w:name="page106"/>
    <w:bookmarkEnd w:id="105"/>
    <w:p>
      <w:pPr>
        <w:jc w:val="both"/>
        <w:spacing w:after="0" w:line="254" w:lineRule="auto"/>
        <w:rPr>
          <w:sz w:val="20"/>
          <w:szCs w:val="20"/>
          <w:color w:val="auto"/>
        </w:rPr>
      </w:pPr>
      <w:r>
        <w:rPr>
          <w:rFonts w:ascii="Arial" w:cs="Arial" w:eastAsia="Arial" w:hAnsi="Arial"/>
          <w:sz w:val="18"/>
          <w:szCs w:val="18"/>
          <w:color w:val="auto"/>
        </w:rPr>
        <w:t>deem necessary or appropriate. All committees so appointed shall be composed of one or more Trustees to serve at the pleasure of the Trustees; provided, however, that the following committees, to the extent they are created by the Trustees, shall always consist of two or more Trustees: (a) Audit Committee; (b) Compensation Committee; (c) Executive Committee; and (d) Nominating and Corporate Governance Committee.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Section 2. POWERS. The Trustees may delegate to committees appointed under Section 1 of this Article any of the powers of the Trustees, except as prohibited by law.</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 of Trustees.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of Trustees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committee shall keep minutes of its proceedings and shall report the same to the Board of Trustees at the next succeeding meeting, and any action by the committee shall be subject to revision and alteration by the Board of Trustees, provided that no vested or contractual rights of third persons shall be affected by any such revision or alteration.</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4. TELEPHONE MEETINGS. Members of a committee of the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5. INFORMAL ACTION BY COMMITTEES. Any action required or permitted to be taken at any meeting of a committee of the Trustees may be taken without a meeting, if a consent in writing to such action is signed by each member of the committee and such written consent is filed with the minutes of proceedings of such committee.</w:t>
      </w:r>
    </w:p>
    <w:p>
      <w:pPr>
        <w:spacing w:after="0" w:line="20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Section 6. VACANCIES. Subject to the provisions hereof, the Board of Trustees shall have the power at any time to change the membership of any committee, to fill all vacancies, to designate alternate members to replace any absent or disqualified member or to dissolve any such committee unless such committee is required to be maintained pursuant to any applicable law, rule or regulation.</w:t>
      </w:r>
    </w:p>
    <w:p>
      <w:pPr>
        <w:spacing w:after="0" w:line="182" w:lineRule="exact"/>
        <w:rPr>
          <w:sz w:val="20"/>
          <w:szCs w:val="20"/>
          <w:color w:val="auto"/>
        </w:rPr>
      </w:pPr>
    </w:p>
    <w:p>
      <w:pPr>
        <w:ind w:left="5240"/>
        <w:spacing w:after="0"/>
        <w:rPr>
          <w:sz w:val="20"/>
          <w:szCs w:val="20"/>
          <w:color w:val="auto"/>
        </w:rPr>
      </w:pPr>
      <w:r>
        <w:rPr>
          <w:rFonts w:ascii="Arial" w:cs="Arial" w:eastAsia="Arial" w:hAnsi="Arial"/>
          <w:sz w:val="18"/>
          <w:szCs w:val="18"/>
          <w:b w:val="1"/>
          <w:bCs w:val="1"/>
          <w:i w:val="1"/>
          <w:iCs w:val="1"/>
          <w:color w:val="auto"/>
        </w:rPr>
        <w:t>ARTICLE V</w:t>
      </w:r>
    </w:p>
    <w:p>
      <w:pPr>
        <w:spacing w:after="0" w:line="31" w:lineRule="exact"/>
        <w:rPr>
          <w:sz w:val="20"/>
          <w:szCs w:val="20"/>
          <w:color w:val="auto"/>
        </w:rPr>
      </w:pPr>
    </w:p>
    <w:p>
      <w:pPr>
        <w:ind w:left="5260"/>
        <w:spacing w:after="0"/>
        <w:rPr>
          <w:sz w:val="20"/>
          <w:szCs w:val="20"/>
          <w:color w:val="auto"/>
        </w:rPr>
      </w:pPr>
      <w:r>
        <w:rPr>
          <w:rFonts w:ascii="Arial" w:cs="Arial" w:eastAsia="Arial" w:hAnsi="Arial"/>
          <w:sz w:val="18"/>
          <w:szCs w:val="18"/>
          <w:b w:val="1"/>
          <w:bCs w:val="1"/>
          <w:i w:val="1"/>
          <w:iCs w:val="1"/>
          <w:color w:val="auto"/>
        </w:rPr>
        <w:t>OFFICERS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Section 1. GENERAL PROVISIONS. The officers of the Trust shall include a President, a Secretary and a Treasurer and may include a Chief Executive Officer, a Chief Operating Officer, a Chief Financial Officer, one or more Vice Presidents, one or more Assistant Secretaries and one or more Assistant Treasurers. In addition: (a) the Trustees may from time to time appoint such other officers who the Trustees designate by resolution as “Executive Officers” of the Trust with such powers and duties as they shall deem necessary or desirable; and (b) the Chief Executive Officer (or, if there is no Chief Executive Officer, the President) may from time to time appoint any other officers with such powers and duties as the Chief Executive Officer (or the President, as applicable) shall deem necessary or desirable. The Chief Executive Officer and other Executive Officers of the Trust shall be appointed at such intervals as the Trustees may determine, and all other officers of the Trust shall be appointed at such intervals as the Chief Executive Officer (or, if there is no Chief Executive Officer, the President) may determine. Each officer shall hold office until his successor is elected and qualifies or until the earlier of his death, resignation or removal in the manner hereinafter provided. Any two or more offices except President and Vice President may be held by the same person. The Trustees, in their discretion, or the Chief Executive Officer (or, if there is no Chief Executive Officer, the President) may leave unfilled any office except those of President, Secretary and Treasurer. Appointment of an officer or agent shall not of itself create contract rights between the Trust and such officer or agent.</w:t>
      </w:r>
    </w:p>
    <w:p>
      <w:pPr>
        <w:sectPr>
          <w:pgSz w:w="11900" w:h="16838" w:orient="portrait"/>
          <w:cols w:equalWidth="0" w:num="1">
            <w:col w:w="11420"/>
          </w:cols>
          <w:pgMar w:left="240" w:top="597" w:right="239" w:bottom="1440" w:gutter="0" w:footer="0" w:header="0"/>
        </w:sectPr>
      </w:pPr>
    </w:p>
    <w:bookmarkStart w:id="106" w:name="page107"/>
    <w:bookmarkEnd w:id="106"/>
    <w:p>
      <w:pPr>
        <w:jc w:val="both"/>
        <w:spacing w:after="0" w:line="251" w:lineRule="auto"/>
        <w:rPr>
          <w:sz w:val="20"/>
          <w:szCs w:val="20"/>
          <w:color w:val="auto"/>
        </w:rPr>
      </w:pPr>
      <w:r>
        <w:rPr>
          <w:rFonts w:ascii="Arial" w:cs="Arial" w:eastAsia="Arial" w:hAnsi="Arial"/>
          <w:sz w:val="18"/>
          <w:szCs w:val="18"/>
          <w:color w:val="auto"/>
        </w:rPr>
        <w:t>Section 2. REMOVAL AND RESIGNATION. Any officer or agent of the Trust may be removed at any time by the affirmative vote of two-thirds of the full Board of Trustees taken at any regular or special meeting of the Trustees if in their judgment the best interests of the Trust would be served thereby, but such removal shall be without prejudice to the contract rights, if any, of the person so removed. In addition, the Chief Executive Officer (or, if there is no Chief Executive Officer at such time, the President) may remove any officer or agent of the Trust other than an Executive Officer at any time if, in his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Chief Executive Officer,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3. VACANCIES. A vacancy in any office may be filled by the Trustees for the balance of the term of office, and a vacancy in any office other than those of Chief Executive Officer, President and any other Executive Officer may be filled by the Chief Executive Officer (or, if there is no Chief Executive Officer at such time, the President) for the balance of the term of office.</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4. CHIEF EXECUTIVE OFFICER. The Trustees may designate a Chief Executive Officer from among the elected or appointed officers. The Chief Executive Officer shall have responsibility for implementation of the policies of the Trust, as determined by the Trustees, and for the administration of the business affairs of the Trust. In the absence of the Chairman of the Board or if there is no Chairman of the Board, the Chief Executive Officer shall preside over the meetings of the shareholders and the meetings of the Trustees at which he shall be present. The Chief Executive Officer shall have the right to delegate any rights and responsibilities relating to the appointment and removal of officers to any other Executive Officer, subject to such limitations as the Chief Executive Officer shall determine.</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5. CHIEF OPERATING OFFICER. The Trustees may designate a Chief Operating Officer from among the elected or appointed officers. The Chief Operating Officer shall have the responsibilities and duties as set forth by the Trustees or the Chief Executive Officer (or, if there is no Chief Executive Officer at such time, the President).</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6.</w:t>
        <w:tab/>
        <w:t>CHIEF FINANCIAL OFFICER. The Trustees may designate a Chief Financial Officer from among the elected or appointed officers.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Chief Financial Officer shall have the responsibilities and duties as set forth by the Trustees or the Chief Executive Officer (or, if there is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at such time, the President).</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Section 7. PRESIDENT. In the absence of the Chairman of the Board (or if there is no Chairman of the Board) and the absence of the Chief Executive Officer, the President shall preside over the meetings of the shareholders and meetings of the Trustees at which he shall be present. In the absence of a designation of a Chief Executive Officer by the Trustees, the President shall be the Chief Executive 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 The President shall have the right to delegate any rights and responsibilities relating to the appointment and removal of officers to any other Executive Officer, subject to such limitations as the President shall determine.</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8. VICE PRESIDENTS.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Vice Presidents as Executive Vice Presidents, Senior Vice Presidents or Vice Presidents for particular areas of responsibility.</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Section 9.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 (c) be custodian of the Trust records and of the seal of the Trust; (d) keep a register of the post office address of each shareholder which shall be furnished to the Secretary by such shareholder; (e) have general charge of the share transfer books of the Trust; (f) vote, on</w:t>
      </w:r>
    </w:p>
    <w:p>
      <w:pPr>
        <w:sectPr>
          <w:pgSz w:w="11900" w:h="16838" w:orient="portrait"/>
          <w:cols w:equalWidth="0" w:num="1">
            <w:col w:w="11420"/>
          </w:cols>
          <w:pgMar w:left="240" w:top="597" w:right="239" w:bottom="1440" w:gutter="0" w:footer="0" w:header="0"/>
        </w:sectPr>
      </w:pPr>
    </w:p>
    <w:bookmarkStart w:id="107" w:name="page108"/>
    <w:bookmarkEnd w:id="107"/>
    <w:p>
      <w:pPr>
        <w:jc w:val="both"/>
        <w:spacing w:after="0" w:line="255" w:lineRule="auto"/>
        <w:rPr>
          <w:sz w:val="20"/>
          <w:szCs w:val="20"/>
          <w:color w:val="auto"/>
        </w:rPr>
      </w:pPr>
      <w:r>
        <w:rPr>
          <w:rFonts w:ascii="Arial" w:cs="Arial" w:eastAsia="Arial" w:hAnsi="Arial"/>
          <w:sz w:val="18"/>
          <w:szCs w:val="18"/>
          <w:color w:val="auto"/>
        </w:rPr>
        <w:t>behalf of the Trust, all of the shares of any subsidiary of the Trust, whether currently existing or created in the future, on each matter presented to shareholders of any such subsidiary for a vote; and (g) in general, perform such other duties as from time to time may be assigned to him or her by the Chief Executive Officer, the President or the Trustees.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10. 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spacing w:after="0" w:line="20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He shall disburse the funds of the Trust in accordance with the authority granted by the Chief Executive Officer, the President or the Trustees, taking proper vouchers for such disbursements, and shall render to the President and Trustees, whenever they may require it, an account of all his transactions as Treasurer and of the financial condition of the Trust.</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 papers, vouchers, moneys and other property of whatever kind in his possession or under his control belonging to the Trust.</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11. ASSISTANT SECRETARIES AND ASSISTANT TREASURERS. The Assistant Secretaries and Assistant Treasurers, in general, shall perform such duties as shall be assigned to them by the Secretary or Treasurer, respectively, or by the Chief Executive Officer, the President or the Trustees. The Assistant Treasurers shall, if required by the Trustees, give bonds for the faithful performance of their duties in such sums and with such surety or sureties as shall be satisfactory to the Trustees.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Section 12. SALARIES. The salaries and other compensation of the officers shall be fixed from time to time by or with the approval of the Trustees and no officer shall be prevented from receiving such salary or other compensation by reason of the fact that he is also a Trustee.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VI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CONTRACTS, LOANS, CHECKS AND DEPOSITS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(or if there is no Chief Executive Officer, the President) may do so.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VII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SHARES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 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w:t>
      </w:r>
    </w:p>
    <w:p>
      <w:pPr>
        <w:sectPr>
          <w:pgSz w:w="11900" w:h="16838" w:orient="portrait"/>
          <w:cols w:equalWidth="0" w:num="1">
            <w:col w:w="11420"/>
          </w:cols>
          <w:pgMar w:left="240" w:top="597" w:right="239" w:bottom="1440" w:gutter="0" w:footer="0" w:header="0"/>
        </w:sectPr>
      </w:pPr>
    </w:p>
    <w:bookmarkStart w:id="108" w:name="page109"/>
    <w:bookmarkEnd w:id="108"/>
    <w:p>
      <w:pPr>
        <w:jc w:val="both"/>
        <w:spacing w:after="0" w:line="255" w:lineRule="auto"/>
        <w:rPr>
          <w:sz w:val="20"/>
          <w:szCs w:val="20"/>
          <w:color w:val="auto"/>
        </w:rPr>
      </w:pPr>
      <w:r>
        <w:rPr>
          <w:rFonts w:ascii="Arial" w:cs="Arial" w:eastAsia="Arial" w:hAnsi="Arial"/>
          <w:sz w:val="18"/>
          <w:szCs w:val="18"/>
          <w:color w:val="auto"/>
        </w:rPr>
        <w:t>have a statement of such restriction, limitation, preference or 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2. TRANSFERS. Certificates shall be treated as negotiable and title thereto and to the shares they represent shall be transferred by delivery thereof to the same extent as those of a 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Trust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Maryland.</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Notwithstanding the foregoing, transfers of shares of beneficial interest of the Trust will be subject in all respects to the Declaration of Trust and all of the terms and conditions contained therein.</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3. REPLACEMENT CERTIFICATE. Any officer designated by the Trustees may 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 destroyed certificate or the owner’s legal representative to advertise the same in such manner as the officer shall require and/or to give bond, with sufficient surety, to the Trust to indemnify it against any loss or claim which may arise as a result of the issuance of a new certificate.</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sectPr>
          <w:pgSz w:w="11900" w:h="16838" w:orient="portrait"/>
          <w:cols w:equalWidth="0" w:num="1">
            <w:col w:w="11420"/>
          </w:cols>
          <w:pgMar w:left="240" w:top="597" w:right="239" w:bottom="1440" w:gutter="0" w:footer="0" w:header="0"/>
        </w:sectPr>
      </w:pPr>
    </w:p>
    <w:bookmarkStart w:id="109" w:name="page110"/>
    <w:bookmarkEnd w:id="109"/>
    <w:p>
      <w:pPr>
        <w:jc w:val="both"/>
        <w:spacing w:after="0" w:line="253" w:lineRule="auto"/>
        <w:rPr>
          <w:sz w:val="20"/>
          <w:szCs w:val="20"/>
          <w:color w:val="auto"/>
        </w:rPr>
      </w:pPr>
      <w:r>
        <w:rPr>
          <w:rFonts w:ascii="Arial" w:cs="Arial" w:eastAsia="Arial" w:hAnsi="Arial"/>
          <w:sz w:val="18"/>
          <w:szCs w:val="18"/>
          <w:color w:val="auto"/>
        </w:rPr>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 issued in a unit shall have the same characteristics as any identical securities issued by the Trust, except that the Trustees may provide that for a specified period securities of the Trust issued in such unit may be transferred on the books of the Trust only in such unit.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VIII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ACCOUNTING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Trustees shall have the power, from time to time, to fix the fiscal year of the Trust by a duly adopted resolution.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IX</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X</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INVESTMENT POLICY</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Subject to the provisions of the Declaration of Trust, the Board of Trustees may from time to time adopt, amend, revise or terminate any policy or policies with respect to investments by the Trust as it shall deem appropriate in its sole discretion.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XI</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SEAL</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INDEMNIFICATION AND ADVANCE OF EXPENSES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or she was made a party by reason of service in such capacity, against reasonable expenses incurred by him or her in connection with the proceeding;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w:t>
      </w:r>
    </w:p>
    <w:p>
      <w:pPr>
        <w:sectPr>
          <w:pgSz w:w="11900" w:h="16838" w:orient="portrait"/>
          <w:cols w:equalWidth="0" w:num="1">
            <w:col w:w="11420"/>
          </w:cols>
          <w:pgMar w:left="240" w:top="597" w:right="239" w:bottom="1440" w:gutter="0" w:footer="0" w:header="0"/>
        </w:sectPr>
      </w:pPr>
    </w:p>
    <w:bookmarkStart w:id="110" w:name="page111"/>
    <w:bookmarkEnd w:id="110"/>
    <w:p>
      <w:pPr>
        <w:jc w:val="both"/>
        <w:spacing w:after="0" w:line="251" w:lineRule="auto"/>
        <w:rPr>
          <w:sz w:val="20"/>
          <w:szCs w:val="20"/>
          <w:color w:val="auto"/>
        </w:rPr>
      </w:pPr>
      <w:r>
        <w:rPr>
          <w:rFonts w:ascii="Arial" w:cs="Arial" w:eastAsia="Arial" w:hAnsi="Arial"/>
          <w:sz w:val="18"/>
          <w:szCs w:val="18"/>
          <w:color w:val="auto"/>
        </w:rPr>
        <w:t>in bad faith or was the result of active and deliberate dishonesty; (ii) he or she actually received an improper personal benefit in money, property or services; or (iii) in the case of a criminal proceeding, he or she had reasonable cause to believe that his or her act or omission was unlawful; and (c) each shareholder or former shareholder against any claim or liability to which he or she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(1) a written affirmation by the Trustee or officer of his or her good faith belief that he or she has met the applicable standard of conduct necessary for indemnification by the Trust as authorized by these Bylaws; and (2) a written undertaking by or on his or her behalf to repay the amount paid or reimbursed by the Trust if it shall ultimately be determined that the applicable standard of conduct was not met. The Trust may, with the approval of its Trustees, provide such indemnification or payment or reimbursement of expenses to any Trustee, officer or shareholder or any former Trustee, officer or shareholder who served a predecessor of the Trust and to any employee or agent of the Trust or a predecessor of the Trust. Neither 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XIII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WAIVER OF NOTICE</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XIV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AMENDMENT OF BYLAWS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 AMENDMENT BY SHAREHOLDERS. Any provision of these Bylaws may be adopted, altered or repealed by the shareholders at any meeting of shareholders called for that purpose, by the affirmative vote of holders of not less than a majority of the shares then outstanding and entitled to vote.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2. AMENDMENT BY TRUSTEES. Except as otherwise provided in any Bylaws adopted pursuant to Section 1 of this Article XIV or as otherwise required pursuant to the last paragraph of Section 10 of Article II, any provision of these Bylaws may be adopted, altered or repealed by the Trustees provided that the Trustees may not repeal Section 1 of this Article XIV, or the last paragraph of Section 10 of Article II, or increase the shareholder vote required under either of such sections.</w:t>
      </w:r>
    </w:p>
    <w:p>
      <w:pPr>
        <w:sectPr>
          <w:pgSz w:w="11900" w:h="16838" w:orient="portrait"/>
          <w:cols w:equalWidth="0" w:num="1">
            <w:col w:w="11420"/>
          </w:cols>
          <w:pgMar w:left="240" w:top="597" w:right="239" w:bottom="1440" w:gutter="0" w:footer="0" w:header="0"/>
        </w:sectPr>
      </w:pPr>
    </w:p>
    <w:bookmarkStart w:id="111" w:name="page112"/>
    <w:bookmarkEnd w:id="111"/>
    <w:p>
      <w:pPr>
        <w:jc w:val="center"/>
        <w:ind w:right="-1220"/>
        <w:spacing w:after="0"/>
        <w:rPr>
          <w:sz w:val="20"/>
          <w:szCs w:val="20"/>
          <w:color w:val="auto"/>
        </w:rPr>
      </w:pPr>
      <w:r>
        <w:rPr>
          <w:rFonts w:ascii="Arial" w:cs="Arial" w:eastAsia="Arial" w:hAnsi="Arial"/>
          <w:sz w:val="18"/>
          <w:szCs w:val="18"/>
          <w:b w:val="1"/>
          <w:bCs w:val="1"/>
          <w:i w:val="1"/>
          <w:iCs w:val="1"/>
          <w:color w:val="auto"/>
        </w:rPr>
        <w:t>ARTICLE XV</w:t>
      </w:r>
    </w:p>
    <w:p>
      <w:pPr>
        <w:spacing w:after="0" w:line="31"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i w:val="1"/>
          <w:iCs w:val="1"/>
          <w:color w:val="auto"/>
        </w:rPr>
        <w:t>MISCELLANEOUS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the Declaration of Trust shall include any amendments thereto.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Amended on October 29, 2003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Amended on May 5, 2004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Amended on February 17, 2006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Amended on May 6, 2009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Amended on November 2, 2016</w:t>
      </w:r>
    </w:p>
    <w:p>
      <w:pPr>
        <w:sectPr>
          <w:pgSz w:w="11900" w:h="16838" w:orient="portrait"/>
          <w:cols w:equalWidth="0" w:num="1">
            <w:col w:w="10219"/>
          </w:cols>
          <w:pgMar w:left="240" w:top="575"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21.1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FEDERAL REALTY INVESTMENT TRUST AND SUBSIDIARIES</w:t>
            </w:r>
          </w:p>
        </w:tc>
      </w:tr>
      <w:tr>
        <w:trPr>
          <w:trHeight w:val="573"/>
        </w:trPr>
        <w:tc>
          <w:tcPr>
            <w:tcW w:w="308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3060" w:type="dxa"/>
            <w:vAlign w:val="bottom"/>
          </w:tcPr>
          <w:p>
            <w:pPr>
              <w:jc w:val="center"/>
              <w:ind w:right="150"/>
              <w:spacing w:after="0"/>
              <w:rPr>
                <w:sz w:val="20"/>
                <w:szCs w:val="20"/>
                <w:color w:val="auto"/>
              </w:rPr>
            </w:pPr>
            <w:r>
              <w:rPr>
                <w:rFonts w:ascii="Arial" w:cs="Arial" w:eastAsia="Arial" w:hAnsi="Arial"/>
                <w:sz w:val="18"/>
                <w:szCs w:val="18"/>
                <w:color w:val="auto"/>
                <w:w w:val="93"/>
              </w:rPr>
              <w:t>STATE OF INCORPORATION OR</w:t>
            </w:r>
          </w:p>
        </w:tc>
      </w:tr>
      <w:tr>
        <w:trPr>
          <w:trHeight w:val="230"/>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NAME OF SUBSIDIARY</w:t>
            </w:r>
          </w:p>
        </w:tc>
        <w:tc>
          <w:tcPr>
            <w:tcW w:w="2440" w:type="dxa"/>
            <w:vAlign w:val="bottom"/>
          </w:tcPr>
          <w:p>
            <w:pPr>
              <w:spacing w:after="0"/>
              <w:rPr>
                <w:sz w:val="20"/>
                <w:szCs w:val="20"/>
                <w:color w:val="auto"/>
              </w:rPr>
            </w:pPr>
          </w:p>
        </w:tc>
        <w:tc>
          <w:tcPr>
            <w:tcW w:w="3060" w:type="dxa"/>
            <w:vAlign w:val="bottom"/>
          </w:tcPr>
          <w:p>
            <w:pPr>
              <w:jc w:val="center"/>
              <w:ind w:right="150"/>
              <w:spacing w:after="0"/>
              <w:rPr>
                <w:sz w:val="20"/>
                <w:szCs w:val="20"/>
                <w:color w:val="auto"/>
              </w:rPr>
            </w:pPr>
            <w:r>
              <w:rPr>
                <w:rFonts w:ascii="Arial" w:cs="Arial" w:eastAsia="Arial" w:hAnsi="Arial"/>
                <w:sz w:val="18"/>
                <w:szCs w:val="18"/>
                <w:color w:val="auto"/>
                <w:w w:val="97"/>
              </w:rPr>
              <w:t>ORGANIZATION</w:t>
            </w:r>
          </w:p>
        </w:tc>
      </w:tr>
      <w:tr>
        <w:trPr>
          <w:trHeight w:val="27"/>
        </w:trPr>
        <w:tc>
          <w:tcPr>
            <w:tcW w:w="30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52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Associates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Andorra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Governor Plaza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Shopping Center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Berman Enterprises II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Escondido Promenade,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California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Leasing &amp; Development Services,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Santana Row TRS,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Congressional Plaza Associates,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Pike 7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Federal/LPF GP,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Partners L.P.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FRLP,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Partners,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East Bay Bridge,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East Bay Bridge Retail,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Management Services,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Solar,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Santana Row ROF,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Mercer Mall,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Mercer Mall,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Westgate Mall,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Assembly Square,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Crow Canyon,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Linden Square,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Chelsea Commons I,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Chelsea Commons I,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White Marsh,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Cordon Fairfield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Campbell-Philadelphia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Shoppes at Nottingham Square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Retail Properties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Nottingham Square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Byron Station,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Byron Station Limited Partnership, LLLP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The Avenue at White Marsh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NVI-Avenue,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Shoppers World,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Shoppers World,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Florida,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Rollingwood,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Rollingwood,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Boston,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West Coast,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Montrose Crossing,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Montrose Crossing,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Montrose Crossing Borrower,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420"/>
          </w:cols>
          <w:pgMar w:left="240" w:top="742" w:right="239" w:bottom="0" w:gutter="0" w:footer="0" w:header="0"/>
        </w:sectPr>
      </w:pPr>
    </w:p>
    <w:bookmarkStart w:id="113" w:name="page114"/>
    <w:bookmarkEnd w:id="113"/>
    <w:p>
      <w:pPr>
        <w:spacing w:after="0"/>
        <w:tabs>
          <w:tab w:leader="none" w:pos="8080" w:val="left"/>
        </w:tabs>
        <w:rPr>
          <w:sz w:val="20"/>
          <w:szCs w:val="20"/>
          <w:color w:val="auto"/>
        </w:rPr>
      </w:pPr>
      <w:r>
        <w:rPr>
          <w:rFonts w:ascii="Arial" w:cs="Arial" w:eastAsia="Arial" w:hAnsi="Arial"/>
          <w:sz w:val="20"/>
          <w:szCs w:val="20"/>
          <w:color w:val="auto"/>
        </w:rPr>
        <w:t>FRIT CA Operations, Inc.</w:t>
      </w:r>
      <w:r>
        <w:rPr>
          <w:sz w:val="20"/>
          <w:szCs w:val="20"/>
          <w:color w:val="auto"/>
        </w:rPr>
        <w:tab/>
      </w:r>
      <w:r>
        <w:rPr>
          <w:rFonts w:ascii="Arial" w:cs="Arial" w:eastAsia="Arial" w:hAnsi="Arial"/>
          <w:sz w:val="18"/>
          <w:szCs w:val="18"/>
          <w:color w:val="auto"/>
        </w:rPr>
        <w:t>California</w:t>
      </w:r>
    </w:p>
    <w:p>
      <w:pPr>
        <w:sectPr>
          <w:pgSz w:w="11900" w:h="16838" w:orient="portrait"/>
          <w:cols w:equalWidth="0" w:num="1">
            <w:col w:w="10179"/>
          </w:cols>
          <w:pgMar w:left="280" w:top="122" w:right="1440"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color w:val="auto"/>
        </w:rPr>
        <w:t>FR Huntington Square,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Darien,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Old Town,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I,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II,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3,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4,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6,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7,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10, L.P.</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FRIT San Jose Town and Country Village, LLC</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FR Sturtevant Street,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B7,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B8,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B9,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Santana Row Services,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SRI/Continental JV,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CCA Sepulveda,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Rosecrans-Sepulveda Partners 3,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PES Partners,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Route 35 Shrewsbury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Shrewsbury Commons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Sea Girt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35 West,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Merritt Shrewsbury Commons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Cole Grove West,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508 Broad,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San Antonio Center,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San Antonio Center II,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Pike &amp; Rose Condominium,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JV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Owner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Operator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 Winchester,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Assembly Row Condominium,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Hotel,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Assembly Row Hotel Operator,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Assembly Row Hotel,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FRIT Shops at Sunset Place,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FRIT Shops at Sunset Place Owner, LLC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FRIT Shops at Sunset Place Fee Owner, LLC</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FRIT Cocowalk,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FRIT Cocowalk Owner,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3206 Grand Avenue,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3406 Main Highway,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Federal/Lion Venture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Atlantic Plaza GP,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Atlantic Plaza Limited Partnership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Campus Plaza GP,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Campus Plaza Limited Partnership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Plaza del Mercado,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Plaza del Mercado,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Greenlawn Plaza GP,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Greenlawn Plaza,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Barcroft Plaza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Maryland</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New Jersey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ectPr>
          <w:pgSz w:w="11900" w:h="16838" w:orient="portrait"/>
          <w:cols w:equalWidth="0" w:num="2">
            <w:col w:w="7380" w:space="720"/>
            <w:col w:w="2079"/>
          </w:cols>
          <w:pgMar w:left="280" w:top="743" w:right="1440" w:bottom="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FLV Barcroft Plaza,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ectPr>
          <w:pgSz w:w="11900" w:h="16838" w:orient="portrait"/>
          <w:cols w:equalWidth="0" w:num="2">
            <w:col w:w="7380" w:space="720"/>
            <w:col w:w="2079"/>
          </w:cols>
          <w:pgMar w:left="280" w:top="121" w:right="1440" w:bottom="1440" w:gutter="0" w:footer="0" w:header="0"/>
        </w:sectPr>
      </w:pPr>
    </w:p>
    <w:p>
      <w:pPr>
        <w:spacing w:after="0"/>
        <w:rPr>
          <w:sz w:val="20"/>
          <w:szCs w:val="20"/>
          <w:color w:val="auto"/>
        </w:rPr>
      </w:pPr>
      <w:r>
        <w:rPr>
          <w:rFonts w:ascii="Arial" w:cs="Arial" w:eastAsia="Arial" w:hAnsi="Arial"/>
          <w:sz w:val="16"/>
          <w:szCs w:val="16"/>
          <w:color w:val="auto"/>
        </w:rPr>
        <w:t>FLV Free State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ectPr>
          <w:pgSz w:w="11900" w:h="16838" w:orient="portrait"/>
          <w:cols w:equalWidth="0" w:num="2">
            <w:col w:w="7380" w:space="720"/>
            <w:col w:w="2079"/>
          </w:cols>
          <w:pgMar w:left="280" w:top="121"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FLV Free State Limited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7380" w:space="720"/>
            <w:col w:w="2079"/>
          </w:cols>
          <w:pgMar w:left="280" w:top="121" w:right="1440"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issued our reports dated February 13, 2017, with respect to the consolidated financial statements, schedules, and internal control over financial reporting included in the Annual Report of Federal Realty Investment Trust on Form 10-K for the year ended December 31, 2016. We consent to the incorporation by reference of said reports in the Registration Statements of Federal Realty Investment Trust on Form S-3 (File No. 333-204103 effective May 12, 2015, File No. 333-204009 effective May 8, 2015, File No. 333-203999 effective May 8, 2015, File No. 333-124195 effective April 20, 2005, File No. 033-63687 effective October 25, 1995) and on Form S-8 (File No. 333-166531 effective May 5, 2010, File No. 333-147080 effective November 1, 2007, File No. 333-147081 effective November 1, 2007 and File No. 333-60364 effective May 7, 2001).</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Arlington, Virginia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13, 2017</w:t>
      </w:r>
    </w:p>
    <w:p>
      <w:pPr>
        <w:sectPr>
          <w:pgSz w:w="11900" w:h="16838" w:orient="portrait"/>
          <w:cols w:equalWidth="0" w:num="1">
            <w:col w:w="11420"/>
          </w:cols>
          <w:pgMar w:left="24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90" w:lineRule="exact"/>
        <w:rPr>
          <w:sz w:val="20"/>
          <w:szCs w:val="20"/>
          <w:color w:val="auto"/>
        </w:rPr>
      </w:pPr>
    </w:p>
    <w:p>
      <w:pPr>
        <w:ind w:left="880" w:hanging="467"/>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89" w:lineRule="exact"/>
        <w:rPr>
          <w:rFonts w:ascii="Arial" w:cs="Arial" w:eastAsia="Arial" w:hAnsi="Arial"/>
          <w:sz w:val="18"/>
          <w:szCs w:val="18"/>
          <w:color w:val="auto"/>
        </w:rPr>
      </w:pPr>
    </w:p>
    <w:p>
      <w:pPr>
        <w:jc w:val="both"/>
        <w:ind w:left="880" w:right="80" w:hanging="467"/>
        <w:spacing w:after="0" w:line="263"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880" w:right="60" w:hanging="467"/>
        <w:spacing w:after="0" w:line="307" w:lineRule="auto"/>
        <w:tabs>
          <w:tab w:leader="none" w:pos="8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Arial" w:cs="Arial" w:eastAsia="Arial" w:hAnsi="Arial"/>
          <w:sz w:val="17"/>
          <w:szCs w:val="17"/>
          <w:color w:val="auto"/>
        </w:rPr>
      </w:pPr>
    </w:p>
    <w:p>
      <w:pPr>
        <w:ind w:left="880" w:right="80" w:hanging="467"/>
        <w:spacing w:after="0" w:line="263"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ind w:left="1420" w:right="20" w:hanging="441"/>
        <w:spacing w:after="0" w:line="263" w:lineRule="auto"/>
        <w:tabs>
          <w:tab w:leader="none" w:pos="14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ind w:left="1420" w:right="120" w:hanging="441"/>
        <w:spacing w:after="0" w:line="263" w:lineRule="auto"/>
        <w:tabs>
          <w:tab w:leader="none" w:pos="14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1420" w:right="280" w:hanging="441"/>
        <w:spacing w:after="0" w:line="334" w:lineRule="auto"/>
        <w:tabs>
          <w:tab w:leader="none" w:pos="14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340" w:hanging="441"/>
        <w:spacing w:after="0" w:line="263" w:lineRule="auto"/>
        <w:tabs>
          <w:tab w:leader="none" w:pos="14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880" w:right="260" w:hanging="467"/>
        <w:spacing w:after="0" w:line="334" w:lineRule="auto"/>
        <w:tabs>
          <w:tab w:leader="none" w:pos="8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580" w:hanging="441"/>
        <w:spacing w:after="0" w:line="334" w:lineRule="auto"/>
        <w:tabs>
          <w:tab w:leader="none" w:pos="14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280" w:hanging="441"/>
        <w:spacing w:after="0" w:line="277" w:lineRule="auto"/>
        <w:tabs>
          <w:tab w:leader="none" w:pos="14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February 13, 2017</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89" w:lineRule="exact"/>
        <w:rPr>
          <w:rFonts w:ascii="Arial" w:cs="Arial" w:eastAsia="Arial" w:hAnsi="Arial"/>
          <w:sz w:val="18"/>
          <w:szCs w:val="18"/>
          <w:color w:val="auto"/>
        </w:rPr>
      </w:pPr>
    </w:p>
    <w:p>
      <w:pPr>
        <w:jc w:val="both"/>
        <w:ind w:left="880" w:right="80" w:hanging="467"/>
        <w:spacing w:after="0" w:line="263"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880" w:right="60" w:hanging="467"/>
        <w:spacing w:after="0" w:line="307" w:lineRule="auto"/>
        <w:tabs>
          <w:tab w:leader="none" w:pos="8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Arial" w:cs="Arial" w:eastAsia="Arial" w:hAnsi="Arial"/>
          <w:sz w:val="17"/>
          <w:szCs w:val="17"/>
          <w:color w:val="auto"/>
        </w:rPr>
      </w:pPr>
    </w:p>
    <w:p>
      <w:pPr>
        <w:ind w:left="880" w:right="80" w:hanging="467"/>
        <w:spacing w:after="0" w:line="263"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ind w:left="1420" w:right="20" w:hanging="441"/>
        <w:spacing w:after="0" w:line="263" w:lineRule="auto"/>
        <w:tabs>
          <w:tab w:leader="none" w:pos="1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ind w:left="1420" w:right="120" w:hanging="441"/>
        <w:spacing w:after="0" w:line="263" w:lineRule="auto"/>
        <w:tabs>
          <w:tab w:leader="none" w:pos="1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1420" w:right="280" w:hanging="441"/>
        <w:spacing w:after="0" w:line="334" w:lineRule="auto"/>
        <w:tabs>
          <w:tab w:leader="none" w:pos="14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340" w:hanging="441"/>
        <w:spacing w:after="0" w:line="263" w:lineRule="auto"/>
        <w:tabs>
          <w:tab w:leader="none" w:pos="1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880" w:right="260" w:hanging="467"/>
        <w:spacing w:after="0" w:line="334" w:lineRule="auto"/>
        <w:tabs>
          <w:tab w:leader="none" w:pos="8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580" w:hanging="441"/>
        <w:spacing w:after="0" w:line="334" w:lineRule="auto"/>
        <w:tabs>
          <w:tab w:leader="none" w:pos="14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280" w:hanging="441"/>
        <w:spacing w:after="0" w:line="277" w:lineRule="auto"/>
        <w:tabs>
          <w:tab w:leader="none" w:pos="1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February 13, 2017</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4"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6"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2016 (the “Report”). The undersigned hereby certifies, to the best of his knowledge, that:</w:t>
      </w:r>
    </w:p>
    <w:p>
      <w:pPr>
        <w:spacing w:after="0" w:line="75" w:lineRule="exact"/>
        <w:rPr>
          <w:sz w:val="20"/>
          <w:szCs w:val="20"/>
          <w:color w:val="auto"/>
        </w:rPr>
      </w:pPr>
    </w:p>
    <w:p>
      <w:pPr>
        <w:ind w:left="1300" w:hanging="887"/>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300" w:right="520" w:hanging="887"/>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February 13, 2017</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6" w:lineRule="exact"/>
        <w:rPr>
          <w:sz w:val="20"/>
          <w:szCs w:val="20"/>
          <w:color w:val="auto"/>
        </w:rPr>
      </w:pPr>
    </w:p>
    <w:p>
      <w:pPr>
        <w:jc w:val="both"/>
        <w:ind w:right="120" w:firstLine="432"/>
        <w:spacing w:after="0" w:line="311"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2016 (the “Report”). The undersigned hereby certifies, to the best of his knowledge, that:</w:t>
      </w:r>
    </w:p>
    <w:p>
      <w:pPr>
        <w:spacing w:after="0" w:line="40" w:lineRule="exact"/>
        <w:rPr>
          <w:sz w:val="20"/>
          <w:szCs w:val="20"/>
          <w:color w:val="auto"/>
        </w:rPr>
      </w:pPr>
    </w:p>
    <w:p>
      <w:pPr>
        <w:ind w:left="1300" w:hanging="887"/>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300" w:right="520" w:hanging="887"/>
        <w:spacing w:after="0" w:line="277"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February 13, 2017</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4"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lvl w:ilvl="1">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2"/>
    </w:lvl>
  </w:abstractNum>
  <w:abstractNum w:abstractNumId="27">
    <w:nsid w:val="3DC240FB"/>
    <w:multiLevelType w:val="hybridMultilevel"/>
    <w:lvl w:ilvl="0">
      <w:lvlJc w:val="left"/>
      <w:lvlText w:val="(%1)"/>
      <w:numFmt w:val="decimal"/>
      <w:start w:val="3"/>
    </w:lvl>
  </w:abstractNum>
  <w:abstractNum w:abstractNumId="28">
    <w:nsid w:val="1BA026FA"/>
    <w:multiLevelType w:val="hybridMultilevel"/>
    <w:lvl w:ilvl="0">
      <w:lvlJc w:val="left"/>
      <w:lvlText w:val="(%1)"/>
      <w:numFmt w:val="decimal"/>
      <w:start w:val="4"/>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lowerLetter"/>
      <w:start w:val="2"/>
    </w:lvl>
    <w:lvl w:ilvl="1">
      <w:lvlJc w:val="left"/>
      <w:lvlText w:val="(%2)"/>
      <w:numFmt w:val="lowerLetter"/>
      <w:start w:val="3"/>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1)"/>
      <w:numFmt w:val="lowerLetter"/>
      <w:start w:val="2"/>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decimal"/>
      <w:start w:val="3"/>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decimal"/>
      <w:start w:val="10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1"/>
      <w:numFmt w:val="lowerLetter"/>
      <w:start w:val="1"/>
    </w:lvl>
    <w:lvl w:ilvl="1">
      <w:lvlJc w:val="left"/>
      <w:lvlText w:val="(%2)"/>
      <w:numFmt w:val="decimal"/>
      <w:start w:val="1"/>
    </w:lvl>
  </w:abstractNum>
  <w:abstractNum w:abstractNumId="65">
    <w:nsid w:val="15014ACB"/>
    <w:multiLevelType w:val="hybridMultilevel"/>
    <w:lvl w:ilvl="0">
      <w:lvlJc w:val="left"/>
      <w:lvlText w:val="(%1)"/>
      <w:numFmt w:val="lowerLetter"/>
      <w:start w:val="2"/>
    </w:lvl>
    <w:lvl w:ilvl="1">
      <w:lvlJc w:val="left"/>
      <w:lvlText w:val="%2"/>
      <w:numFmt w:val="decimal"/>
      <w:start w:val="1"/>
    </w:lvl>
  </w:abstractNum>
  <w:abstractNum w:abstractNumId="66">
    <w:nsid w:val="5F5E7FD0"/>
    <w:multiLevelType w:val="hybridMultilevel"/>
    <w:lvl w:ilvl="0">
      <w:lvlJc w:val="left"/>
      <w:lvlText w:val="(%1)"/>
      <w:numFmt w:val="lowerLetter"/>
      <w:start w:val="3"/>
    </w:lvl>
    <w:lvl w:ilvl="1">
      <w:lvlJc w:val="left"/>
      <w:lvlText w:val="(%2)"/>
      <w:numFmt w:val="decimal"/>
      <w:start w:val="1"/>
    </w:lvl>
  </w:abstractNum>
  <w:abstractNum w:abstractNumId="67">
    <w:nsid w:val="98A3148"/>
    <w:multiLevelType w:val="hybridMultilevel"/>
    <w:lvl w:ilvl="0">
      <w:lvlJc w:val="left"/>
      <w:lvlText w:val="(%1)"/>
      <w:numFmt w:val="lowerLetter"/>
      <w:start w:val="1"/>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2019-12-29T08:09:52Z</dcterms:created>
  <dcterms:modified xsi:type="dcterms:W3CDTF">2019-12-29T08:09:52Z</dcterms:modified>
</cp:coreProperties>
</file>