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9"/>
        <w:spacing w:after="0"/>
        <w:rPr>
          <w:sz w:val="20"/>
          <w:szCs w:val="20"/>
          <w:color w:val="auto"/>
        </w:rPr>
      </w:pPr>
      <w:r>
        <w:rPr>
          <w:rFonts w:ascii="Courier New" w:cs="Courier New" w:eastAsia="Courier New" w:hAnsi="Courier New"/>
          <w:sz w:val="16"/>
          <w:szCs w:val="16"/>
          <w:color w:val="auto"/>
        </w:rPr>
        <w:t>SCHEDULE 14A INFORMATION</w:t>
      </w:r>
    </w:p>
    <w:p>
      <w:pPr>
        <w:spacing w:after="0" w:line="195"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7" w:lineRule="exact"/>
        <w:rPr>
          <w:sz w:val="24"/>
          <w:szCs w:val="24"/>
          <w:color w:val="auto"/>
        </w:rPr>
      </w:pPr>
    </w:p>
    <w:p>
      <w:pPr>
        <w:ind w:left="1860"/>
        <w:spacing w:after="0"/>
        <w:tabs>
          <w:tab w:leader="none" w:pos="564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200" w:lineRule="exact"/>
        <w:rPr>
          <w:sz w:val="24"/>
          <w:szCs w:val="24"/>
          <w:color w:val="auto"/>
        </w:rPr>
      </w:pPr>
    </w:p>
    <w:p>
      <w:pPr>
        <w:spacing w:after="0" w:line="371" w:lineRule="exact"/>
        <w:rPr>
          <w:sz w:val="24"/>
          <w:szCs w:val="24"/>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[x] Preliminary Proxy Statement</w:t>
      </w:r>
      <w:r>
        <w:rPr>
          <w:sz w:val="20"/>
          <w:szCs w:val="20"/>
          <w:color w:val="auto"/>
        </w:rPr>
        <w:tab/>
      </w:r>
      <w:r>
        <w:rPr>
          <w:rFonts w:ascii="Courier New" w:cs="Courier New" w:eastAsia="Courier New" w:hAnsi="Courier New"/>
          <w:sz w:val="16"/>
          <w:szCs w:val="16"/>
          <w:color w:val="auto"/>
        </w:rPr>
        <w:t>[_] CONFIDENTIAL, FOR USE OF THE</w:t>
      </w:r>
    </w:p>
    <w:p>
      <w:pPr>
        <w:spacing w:after="0" w:line="37" w:lineRule="exact"/>
        <w:rPr>
          <w:sz w:val="24"/>
          <w:szCs w:val="24"/>
          <w:color w:val="auto"/>
        </w:rPr>
      </w:pPr>
    </w:p>
    <w:p>
      <w:pPr>
        <w:ind w:left="4400"/>
        <w:spacing w:after="0"/>
        <w:rPr>
          <w:sz w:val="20"/>
          <w:szCs w:val="20"/>
          <w:color w:val="auto"/>
        </w:rPr>
      </w:pPr>
      <w:r>
        <w:rPr>
          <w:rFonts w:ascii="Courier New" w:cs="Courier New" w:eastAsia="Courier New" w:hAnsi="Courier New"/>
          <w:sz w:val="16"/>
          <w:szCs w:val="16"/>
          <w:color w:val="auto"/>
        </w:rPr>
        <w:t>COMMISSION ONLY (AS PERMITTED</w:t>
      </w:r>
    </w:p>
    <w:p>
      <w:pPr>
        <w:spacing w:after="0" w:line="7" w:lineRule="exact"/>
        <w:rPr>
          <w:sz w:val="24"/>
          <w:szCs w:val="24"/>
          <w:color w:val="auto"/>
        </w:rPr>
      </w:pPr>
    </w:p>
    <w:p>
      <w:pPr>
        <w:ind w:left="4400"/>
        <w:spacing w:after="0"/>
        <w:rPr>
          <w:sz w:val="20"/>
          <w:szCs w:val="20"/>
          <w:color w:val="auto"/>
        </w:rPr>
      </w:pPr>
      <w:r>
        <w:rPr>
          <w:rFonts w:ascii="Courier New" w:cs="Courier New" w:eastAsia="Courier New" w:hAnsi="Courier New"/>
          <w:sz w:val="16"/>
          <w:szCs w:val="16"/>
          <w:color w:val="auto"/>
        </w:rPr>
        <w:t>BY RULE 14a-6(e) (2))</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 Definitive Proxy Statement</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 Definitive Additional Materials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 Soliciting Material Pursuant to (S)240.14a-11(c) or (S)240.14a-12</w:t>
      </w:r>
    </w:p>
    <w:p>
      <w:pPr>
        <w:spacing w:after="0" w:line="353"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FEDERAL REALTY INVESTMENT TRUST</w:t>
      </w:r>
    </w:p>
    <w:p>
      <w:pPr>
        <w:spacing w:after="0" w:line="37"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35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No fee required.</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 Fee computed on table below per Exchange Act Rules 14a-6(i) (4) and O-11.</w:t>
      </w:r>
    </w:p>
    <w:p>
      <w:pPr>
        <w:spacing w:after="0" w:line="165" w:lineRule="exact"/>
        <w:rPr>
          <w:sz w:val="24"/>
          <w:szCs w:val="24"/>
          <w:color w:val="auto"/>
        </w:rPr>
      </w:pPr>
    </w:p>
    <w:p>
      <w:pPr>
        <w:ind w:left="780" w:hanging="389"/>
        <w:spacing w:after="0"/>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4"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4"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780" w:right="2699" w:hanging="389"/>
        <w:spacing w:after="0" w:line="311" w:lineRule="auto"/>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O-11 (Set forth the amount on which the filing fee is calculated and state how it was determined):</w:t>
      </w:r>
    </w:p>
    <w:p>
      <w:pPr>
        <w:spacing w:after="0" w:line="47"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4"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4"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 Fee paid previously with preliminary materials.</w:t>
      </w:r>
    </w:p>
    <w:p>
      <w:pPr>
        <w:spacing w:after="0" w:line="195" w:lineRule="exact"/>
        <w:rPr>
          <w:sz w:val="24"/>
          <w:szCs w:val="24"/>
          <w:color w:val="auto"/>
        </w:rPr>
      </w:pPr>
    </w:p>
    <w:p>
      <w:pPr>
        <w:ind w:left="400" w:right="2499" w:hanging="390"/>
        <w:spacing w:after="0" w:line="290" w:lineRule="auto"/>
        <w:rPr>
          <w:sz w:val="20"/>
          <w:szCs w:val="20"/>
          <w:color w:val="auto"/>
        </w:rPr>
      </w:pPr>
      <w:r>
        <w:rPr>
          <w:rFonts w:ascii="Courier New" w:cs="Courier New" w:eastAsia="Courier New" w:hAnsi="Courier New"/>
          <w:sz w:val="16"/>
          <w:szCs w:val="16"/>
          <w:color w:val="auto"/>
        </w:rPr>
        <w:t>[_] Check box if any part of the fee is offset as provided by Exchange Act Rule O-11(a) (2) and identify the filing for which the offsetting fee was paid previously. Identify the previous filing by registration statement number, or the Form or Schedule and the date of its filing.</w:t>
      </w:r>
    </w:p>
    <w:p>
      <w:pPr>
        <w:spacing w:after="0" w:line="64" w:lineRule="exact"/>
        <w:rPr>
          <w:sz w:val="24"/>
          <w:szCs w:val="24"/>
          <w:color w:val="auto"/>
        </w:rPr>
      </w:pPr>
    </w:p>
    <w:p>
      <w:pPr>
        <w:ind w:left="780" w:hanging="389"/>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4"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4"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4"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588" w:right="1440" w:bottom="468" w:gutter="0" w:footer="0" w:header="0"/>
        </w:sectPr>
      </w:pPr>
    </w:p>
    <w:bookmarkStart w:id="1" w:name="page2"/>
    <w:bookmarkEnd w:id="1"/>
    <w:p>
      <w:pPr>
        <w:jc w:val="right"/>
        <w:ind w:right="2499"/>
        <w:spacing w:after="0"/>
        <w:rPr>
          <w:sz w:val="20"/>
          <w:szCs w:val="20"/>
          <w:color w:val="auto"/>
        </w:rPr>
      </w:pPr>
      <w:r>
        <w:rPr>
          <w:rFonts w:ascii="Courier New" w:cs="Courier New" w:eastAsia="Courier New" w:hAnsi="Courier New"/>
          <w:sz w:val="16"/>
          <w:szCs w:val="16"/>
          <w:color w:val="auto"/>
        </w:rPr>
        <w:t>March 31,1999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Shareholder:</w:t>
      </w:r>
    </w:p>
    <w:p>
      <w:pPr>
        <w:spacing w:after="0" w:line="195" w:lineRule="exact"/>
        <w:rPr>
          <w:sz w:val="20"/>
          <w:szCs w:val="20"/>
          <w:color w:val="auto"/>
        </w:rPr>
      </w:pPr>
    </w:p>
    <w:p>
      <w:pPr>
        <w:ind w:right="2699" w:firstLine="196"/>
        <w:spacing w:after="0" w:line="311" w:lineRule="auto"/>
        <w:rPr>
          <w:sz w:val="20"/>
          <w:szCs w:val="20"/>
          <w:color w:val="auto"/>
        </w:rPr>
      </w:pPr>
      <w:r>
        <w:rPr>
          <w:rFonts w:ascii="Courier New" w:cs="Courier New" w:eastAsia="Courier New" w:hAnsi="Courier New"/>
          <w:sz w:val="16"/>
          <w:szCs w:val="16"/>
          <w:color w:val="auto"/>
        </w:rPr>
        <w:t>Please accept my personal invitation to attend our Annual Meeting of Shareholders on Wednesday, May 5, 1999 at 10:00 a.m. This year's meeting will be held at the Doubletree Hotel, 1750 Rockville Pike, Rockville, Maryland.</w:t>
      </w:r>
    </w:p>
    <w:p>
      <w:pPr>
        <w:spacing w:after="0" w:line="47" w:lineRule="exact"/>
        <w:rPr>
          <w:sz w:val="20"/>
          <w:szCs w:val="20"/>
          <w:color w:val="auto"/>
        </w:rPr>
      </w:pPr>
    </w:p>
    <w:p>
      <w:pPr>
        <w:ind w:right="2979" w:firstLine="196"/>
        <w:spacing w:after="0" w:line="280" w:lineRule="auto"/>
        <w:rPr>
          <w:sz w:val="20"/>
          <w:szCs w:val="20"/>
          <w:color w:val="auto"/>
        </w:rPr>
      </w:pPr>
      <w:r>
        <w:rPr>
          <w:rFonts w:ascii="Courier New" w:cs="Courier New" w:eastAsia="Courier New" w:hAnsi="Courier New"/>
          <w:sz w:val="16"/>
          <w:szCs w:val="16"/>
          <w:color w:val="auto"/>
        </w:rPr>
        <w:t>The business to be conducted at the meeting is set forth in the formal notice that follows. In addition, Management will provide a review of 1998 operating results and discuss the outlook for the future. After the formal presentation, the Trustees and Management will be available to answer any questions that you may have.</w:t>
      </w:r>
    </w:p>
    <w:p>
      <w:pPr>
        <w:spacing w:after="0" w:line="70" w:lineRule="exact"/>
        <w:rPr>
          <w:sz w:val="20"/>
          <w:szCs w:val="20"/>
          <w:color w:val="auto"/>
        </w:rPr>
      </w:pPr>
    </w:p>
    <w:p>
      <w:pPr>
        <w:ind w:right="2599" w:firstLine="196"/>
        <w:spacing w:after="0" w:line="373" w:lineRule="auto"/>
        <w:rPr>
          <w:sz w:val="20"/>
          <w:szCs w:val="20"/>
          <w:color w:val="auto"/>
        </w:rPr>
      </w:pPr>
      <w:r>
        <w:rPr>
          <w:rFonts w:ascii="Courier New" w:cs="Courier New" w:eastAsia="Courier New" w:hAnsi="Courier New"/>
          <w:sz w:val="16"/>
          <w:szCs w:val="16"/>
          <w:color w:val="auto"/>
        </w:rPr>
        <w:t>Your vote is important. I urge you to complete, sign and return the enclosed proxy card.</w:t>
      </w:r>
    </w:p>
    <w:p>
      <w:pPr>
        <w:ind w:left="200"/>
        <w:spacing w:after="0"/>
        <w:rPr>
          <w:sz w:val="20"/>
          <w:szCs w:val="20"/>
          <w:color w:val="auto"/>
        </w:rPr>
      </w:pPr>
      <w:r>
        <w:rPr>
          <w:rFonts w:ascii="Courier New" w:cs="Courier New" w:eastAsia="Courier New" w:hAnsi="Courier New"/>
          <w:sz w:val="16"/>
          <w:szCs w:val="16"/>
          <w:color w:val="auto"/>
        </w:rPr>
        <w:t>I look forward to seeing you on May 5.</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Sincerely,</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Steven J. Guttman</w:t>
      </w:r>
    </w:p>
    <w:p>
      <w:pPr>
        <w:spacing w:after="0" w:line="3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President and Chief Executive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1026" w:right="1440" w:bottom="1440" w:gutter="0" w:footer="0" w:header="0"/>
        </w:sectPr>
      </w:pPr>
    </w:p>
    <w:bookmarkStart w:id="2" w:name="page3"/>
    <w:bookmarkEnd w:id="2"/>
    <w:p>
      <w:pPr>
        <w:ind w:left="234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3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TO BE HELD MAY 5,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Shareholders:</w:t>
      </w:r>
    </w:p>
    <w:p>
      <w:pPr>
        <w:spacing w:after="0" w:line="195" w:lineRule="exact"/>
        <w:rPr>
          <w:sz w:val="20"/>
          <w:szCs w:val="20"/>
          <w:color w:val="auto"/>
        </w:rPr>
      </w:pPr>
    </w:p>
    <w:p>
      <w:pPr>
        <w:jc w:val="both"/>
        <w:ind w:right="2699" w:firstLine="196"/>
        <w:spacing w:after="0" w:line="290" w:lineRule="auto"/>
        <w:rPr>
          <w:sz w:val="20"/>
          <w:szCs w:val="20"/>
          <w:color w:val="auto"/>
        </w:rPr>
      </w:pPr>
      <w:r>
        <w:rPr>
          <w:rFonts w:ascii="Courier New" w:cs="Courier New" w:eastAsia="Courier New" w:hAnsi="Courier New"/>
          <w:sz w:val="16"/>
          <w:szCs w:val="16"/>
          <w:color w:val="auto"/>
        </w:rPr>
        <w:t>The 1999 Annual Meeting of Shareholders of Federal Realty Investment Trust ("Federal Realty" or the "Trust") will be held at the Doubletree Hotel, 1750 Rockville Pike, Rockville, Maryland, on Wednesday, May 5, 1999, at 10:00 a.m. for the purpose of considering and acting upon the following:</w:t>
      </w:r>
    </w:p>
    <w:p>
      <w:pPr>
        <w:spacing w:after="0" w:line="64" w:lineRule="exact"/>
        <w:rPr>
          <w:sz w:val="20"/>
          <w:szCs w:val="20"/>
          <w:color w:val="auto"/>
        </w:rPr>
      </w:pPr>
    </w:p>
    <w:p>
      <w:pPr>
        <w:ind w:left="480" w:right="2799" w:hanging="284"/>
        <w:spacing w:after="0" w:line="373" w:lineRule="auto"/>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three Trustees to serve for the ensuing three years and one Trustee to serve for the ensuing two years.</w:t>
      </w:r>
    </w:p>
    <w:p>
      <w:pPr>
        <w:ind w:left="480" w:right="2699" w:hanging="284"/>
        <w:spacing w:after="0" w:line="311" w:lineRule="auto"/>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of a proposal to reorganize the Trust under the laws of the State of Maryland through an amendment and restatement of the declaration of trust (the "Reorganization").</w:t>
      </w:r>
    </w:p>
    <w:p>
      <w:pPr>
        <w:spacing w:after="0" w:line="47" w:lineRule="exact"/>
        <w:rPr>
          <w:rFonts w:ascii="Courier New" w:cs="Courier New" w:eastAsia="Courier New" w:hAnsi="Courier New"/>
          <w:sz w:val="16"/>
          <w:szCs w:val="16"/>
          <w:color w:val="auto"/>
        </w:rPr>
      </w:pPr>
    </w:p>
    <w:p>
      <w:pPr>
        <w:ind w:left="480" w:right="2879" w:hanging="284"/>
        <w:spacing w:after="0" w:line="373" w:lineRule="auto"/>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of such other business as may properly come before the meeting or any adjournment.</w:t>
      </w:r>
    </w:p>
    <w:p>
      <w:pPr>
        <w:ind w:right="3279" w:firstLine="196"/>
        <w:spacing w:after="0" w:line="373" w:lineRule="auto"/>
        <w:rPr>
          <w:sz w:val="20"/>
          <w:szCs w:val="20"/>
          <w:color w:val="auto"/>
        </w:rPr>
      </w:pPr>
      <w:r>
        <w:rPr>
          <w:rFonts w:ascii="Courier New" w:cs="Courier New" w:eastAsia="Courier New" w:hAnsi="Courier New"/>
          <w:sz w:val="16"/>
          <w:szCs w:val="16"/>
          <w:color w:val="auto"/>
        </w:rPr>
        <w:t>Shareholders of record at the close of business on March 25, 1999 are entitled to notice of and to vote at the Annual Meeting.</w:t>
      </w:r>
    </w:p>
    <w:p>
      <w:pPr>
        <w:jc w:val="both"/>
        <w:ind w:right="3179" w:firstLine="196"/>
        <w:spacing w:after="0" w:line="311" w:lineRule="auto"/>
        <w:rPr>
          <w:sz w:val="20"/>
          <w:szCs w:val="20"/>
          <w:color w:val="auto"/>
        </w:rPr>
      </w:pPr>
      <w:r>
        <w:rPr>
          <w:rFonts w:ascii="Courier New" w:cs="Courier New" w:eastAsia="Courier New" w:hAnsi="Courier New"/>
          <w:sz w:val="16"/>
          <w:szCs w:val="16"/>
          <w:color w:val="auto"/>
        </w:rPr>
        <w:t>If there are not sufficient votes to approve the proposal to amend and restate the declaration of trust, the Annual Meeting may be postponed or adjourned to permit further solicitation of proxies by the Trust.</w:t>
      </w: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For the Trustees: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Nancy J. Herman</w:t>
      </w:r>
    </w:p>
    <w:p>
      <w:pPr>
        <w:spacing w:after="0" w:line="3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Vice President--General</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Counsel and Secretary</w:t>
      </w:r>
    </w:p>
    <w:p>
      <w:pPr>
        <w:spacing w:after="0" w:line="165"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650" w:right="1440" w:bottom="1440" w:gutter="0" w:footer="0" w:header="0"/>
        </w:sectPr>
      </w:pPr>
    </w:p>
    <w:bookmarkStart w:id="3" w:name="page4"/>
    <w:bookmarkEnd w:id="3"/>
    <w:p>
      <w:pPr>
        <w:jc w:val="center"/>
        <w:ind w:right="2499"/>
        <w:spacing w:after="0"/>
        <w:rPr>
          <w:sz w:val="20"/>
          <w:szCs w:val="20"/>
          <w:color w:val="auto"/>
        </w:rPr>
      </w:pPr>
      <w:r>
        <w:rPr>
          <w:rFonts w:ascii="Courier New" w:cs="Courier New" w:eastAsia="Courier New" w:hAnsi="Courier New"/>
          <w:sz w:val="16"/>
          <w:szCs w:val="16"/>
          <w:color w:val="auto"/>
        </w:rPr>
        <w:t>FEDERAL REALTY INVESTMENT TRUST</w:t>
      </w:r>
    </w:p>
    <w:p>
      <w:pPr>
        <w:spacing w:after="0" w:line="3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1626 East Jefferson Street, Rockville, Maryland 20852</w:t>
      </w:r>
    </w:p>
    <w:p>
      <w:pPr>
        <w:spacing w:after="0" w:line="16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PROXY STATEMENT</w:t>
      </w:r>
    </w:p>
    <w:p>
      <w:pPr>
        <w:spacing w:after="0" w:line="3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March 26, 1999</w:t>
      </w:r>
    </w:p>
    <w:p>
      <w:pPr>
        <w:spacing w:after="0" w:line="165" w:lineRule="exact"/>
        <w:rPr>
          <w:sz w:val="20"/>
          <w:szCs w:val="20"/>
          <w:color w:val="auto"/>
        </w:rPr>
      </w:pPr>
    </w:p>
    <w:p>
      <w:pPr>
        <w:ind w:right="2699" w:firstLine="196"/>
        <w:spacing w:after="0" w:line="255" w:lineRule="auto"/>
        <w:rPr>
          <w:sz w:val="20"/>
          <w:szCs w:val="20"/>
          <w:color w:val="auto"/>
        </w:rPr>
      </w:pPr>
      <w:r>
        <w:rPr>
          <w:rFonts w:ascii="Courier New" w:cs="Courier New" w:eastAsia="Courier New" w:hAnsi="Courier New"/>
          <w:sz w:val="16"/>
          <w:szCs w:val="16"/>
          <w:color w:val="auto"/>
        </w:rPr>
        <w:t>Proxies in the form enclosed are solicited by the Board of Trustees of Federal Realty Investment Trust for use at the 1999 Annual Meeting of Shareholders ("Annual Meeting") to be held at 10:00 a.m., Wednesday, May 5, 1999, at the Doubletree Hotel, 1750 Rockville Pike, Rockville, Maryland. The close of business on March 25, 1999 has been fixed as the record date for determining shareholders entitled to notice of and to vote at the meeting. On</w:t>
      </w:r>
    </w:p>
    <w:p>
      <w:pPr>
        <w:spacing w:after="0" w:line="2"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that date, the Trust had common shares of beneficial interest ("Shares") outstanding. If the proxy in the enclosed form is signed and returned, it will be voted as specified in the proxy; if no specific voting instructions are indicated, the proxy will be voted in favor of the four Trustees nominated, to approve the proposal to amend and restate the Trust's declaration of trust and in the named proxies' discretion as to other matters at the Annual Meeting. Any proxy may be revoked by a shareholder at any time before it is voted by written notice or by attending the Annual Meeting and voting in person.</w:t>
      </w:r>
    </w:p>
    <w:p>
      <w:pPr>
        <w:spacing w:after="0" w:line="85" w:lineRule="exact"/>
        <w:rPr>
          <w:sz w:val="20"/>
          <w:szCs w:val="20"/>
          <w:color w:val="auto"/>
        </w:rPr>
      </w:pPr>
    </w:p>
    <w:p>
      <w:pPr>
        <w:ind w:right="2699" w:firstLine="196"/>
        <w:spacing w:after="0" w:line="273" w:lineRule="auto"/>
        <w:rPr>
          <w:sz w:val="20"/>
          <w:szCs w:val="20"/>
          <w:color w:val="auto"/>
        </w:rPr>
      </w:pPr>
      <w:r>
        <w:rPr>
          <w:rFonts w:ascii="Courier New" w:cs="Courier New" w:eastAsia="Courier New" w:hAnsi="Courier New"/>
          <w:sz w:val="16"/>
          <w:szCs w:val="16"/>
          <w:color w:val="auto"/>
        </w:rPr>
        <w:t>This proxy statement contains two proposals for shareholder consideration. For the purpose of each of the two proposals, the presence of a majority of the outstanding Shares entitled to vote, in person or by proxy, constitutes a quorum. As to each proposal, shareholders are entitled to cast one vote per Share. Abstentions and broker non-votes will be counted for the purposes of determining a quorum.</w:t>
      </w:r>
    </w:p>
    <w:p>
      <w:pPr>
        <w:spacing w:after="0" w:line="79" w:lineRule="exact"/>
        <w:rPr>
          <w:sz w:val="20"/>
          <w:szCs w:val="20"/>
          <w:color w:val="auto"/>
        </w:rPr>
      </w:pPr>
    </w:p>
    <w:p>
      <w:pPr>
        <w:ind w:right="2699" w:firstLine="196"/>
        <w:spacing w:after="0" w:line="269" w:lineRule="auto"/>
        <w:rPr>
          <w:sz w:val="20"/>
          <w:szCs w:val="20"/>
          <w:color w:val="auto"/>
        </w:rPr>
      </w:pPr>
      <w:r>
        <w:rPr>
          <w:rFonts w:ascii="Courier New" w:cs="Courier New" w:eastAsia="Courier New" w:hAnsi="Courier New"/>
          <w:sz w:val="16"/>
          <w:szCs w:val="16"/>
          <w:color w:val="auto"/>
        </w:rPr>
        <w:t>The affirmative vote of a majority of the Shares entitled to vote and present, in person or by proxy, is required for the election of Trustees. The affirmative vote of holders of two-thirds of the Shares outstanding and entitled to vote is required to approve the proposal to amend and restate the Declaration of Trust. With respect to each of the two proposals, a withheld vote or an abstention or broker non-vote will have the effect of a vote against the proposal.</w:t>
      </w:r>
    </w:p>
    <w:p>
      <w:pPr>
        <w:spacing w:after="0" w:line="82" w:lineRule="exact"/>
        <w:rPr>
          <w:sz w:val="20"/>
          <w:szCs w:val="20"/>
          <w:color w:val="auto"/>
        </w:rPr>
      </w:pPr>
    </w:p>
    <w:p>
      <w:pPr>
        <w:jc w:val="both"/>
        <w:ind w:right="3179" w:firstLine="196"/>
        <w:spacing w:after="0" w:line="311" w:lineRule="auto"/>
        <w:rPr>
          <w:sz w:val="20"/>
          <w:szCs w:val="20"/>
          <w:color w:val="auto"/>
        </w:rPr>
      </w:pPr>
      <w:r>
        <w:rPr>
          <w:rFonts w:ascii="Courier New" w:cs="Courier New" w:eastAsia="Courier New" w:hAnsi="Courier New"/>
          <w:sz w:val="16"/>
          <w:szCs w:val="16"/>
          <w:color w:val="auto"/>
        </w:rPr>
        <w:t>If there are not sufficient votes to approve the proposal to amend and restate the declaration of trust, the Annual Meeting may be postponed or adjourned to permit further solicitation of proxies by the Trust.</w:t>
      </w:r>
    </w:p>
    <w:p>
      <w:pPr>
        <w:spacing w:after="0" w:line="47"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This Proxy Statement and an accompanying proxy are being mailed to shareholders on or about March 31, 1999, together with the Trust's 1998 Annual Report, which includes certified financial statements for the year ended December 31, 1998. The Consolidated Balance Sheets as of December 31, 1998 and 1997 and the Consolidated Statements of Operations, the Consolidated Statements of Shareholders' Equity, the Consolidated Statements of Cash Flows, and the Notes to Consolidated Financial Statements (each of such Statements being for the years ended December 31, 1998, 1997 and 1996), certified and contained in the Trust's 1998 Annual Report, are incorporated herein by reference to that Report.</w:t>
      </w:r>
    </w:p>
    <w:p>
      <w:pPr>
        <w:spacing w:after="0" w:line="89"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OWNERSHIP OF SHARES BY CERTAIN BENEFICIAL OWNERS</w:t>
      </w:r>
    </w:p>
    <w:p>
      <w:pPr>
        <w:spacing w:after="0" w:line="195" w:lineRule="exact"/>
        <w:rPr>
          <w:sz w:val="20"/>
          <w:szCs w:val="20"/>
          <w:color w:val="auto"/>
        </w:rPr>
      </w:pPr>
    </w:p>
    <w:p>
      <w:pPr>
        <w:ind w:right="2979" w:firstLine="196"/>
        <w:spacing w:after="0" w:line="373" w:lineRule="auto"/>
        <w:rPr>
          <w:sz w:val="20"/>
          <w:szCs w:val="20"/>
          <w:color w:val="auto"/>
        </w:rPr>
      </w:pPr>
      <w:r>
        <w:rPr>
          <w:rFonts w:ascii="Courier New" w:cs="Courier New" w:eastAsia="Courier New" w:hAnsi="Courier New"/>
          <w:sz w:val="16"/>
          <w:szCs w:val="16"/>
          <w:color w:val="auto"/>
        </w:rPr>
        <w:t>To the Trust's knowledge, based upon information available to the Trust, beneficial owners of more than 5% of the Trust's Shares are as follows:</w:t>
      </w:r>
    </w:p>
    <w:p>
      <w:pPr>
        <w:spacing w:after="0" w:line="376"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3220" w:type="dxa"/>
            <w:vAlign w:val="bottom"/>
          </w:tcPr>
          <w:p>
            <w:pPr>
              <w:ind w:left="880"/>
              <w:spacing w:after="0"/>
              <w:rPr>
                <w:sz w:val="20"/>
                <w:szCs w:val="20"/>
                <w:color w:val="auto"/>
              </w:rPr>
            </w:pPr>
            <w:r>
              <w:rPr>
                <w:rFonts w:ascii="Courier New" w:cs="Courier New" w:eastAsia="Courier New" w:hAnsi="Courier New"/>
                <w:sz w:val="16"/>
                <w:szCs w:val="16"/>
                <w:color w:val="auto"/>
              </w:rPr>
              <w:t>Name and address</w:t>
            </w:r>
          </w:p>
        </w:tc>
        <w:tc>
          <w:tcPr>
            <w:tcW w:w="3280" w:type="dxa"/>
            <w:vAlign w:val="bottom"/>
          </w:tcPr>
          <w:p>
            <w:pPr>
              <w:jc w:val="center"/>
              <w:ind w:left="59"/>
              <w:spacing w:after="0"/>
              <w:rPr>
                <w:sz w:val="20"/>
                <w:szCs w:val="20"/>
                <w:color w:val="auto"/>
              </w:rPr>
            </w:pPr>
            <w:r>
              <w:rPr>
                <w:rFonts w:ascii="Courier New" w:cs="Courier New" w:eastAsia="Courier New" w:hAnsi="Courier New"/>
                <w:sz w:val="16"/>
                <w:szCs w:val="16"/>
                <w:color w:val="auto"/>
              </w:rPr>
              <w:t>Amount and nature</w:t>
            </w:r>
          </w:p>
        </w:tc>
        <w:tc>
          <w:tcPr>
            <w:tcW w:w="1220" w:type="dxa"/>
            <w:vAlign w:val="bottom"/>
          </w:tcPr>
          <w:p>
            <w:pPr>
              <w:ind w:left="440"/>
              <w:spacing w:after="0"/>
              <w:rPr>
                <w:sz w:val="20"/>
                <w:szCs w:val="20"/>
                <w:color w:val="auto"/>
              </w:rPr>
            </w:pPr>
            <w:r>
              <w:rPr>
                <w:rFonts w:ascii="Courier New" w:cs="Courier New" w:eastAsia="Courier New" w:hAnsi="Courier New"/>
                <w:sz w:val="16"/>
                <w:szCs w:val="16"/>
                <w:color w:val="auto"/>
              </w:rPr>
              <w:t>Percent</w:t>
            </w:r>
          </w:p>
        </w:tc>
      </w:tr>
      <w:tr>
        <w:trPr>
          <w:trHeight w:val="188"/>
        </w:trPr>
        <w:tc>
          <w:tcPr>
            <w:tcW w:w="3220" w:type="dxa"/>
            <w:vAlign w:val="bottom"/>
          </w:tcPr>
          <w:p>
            <w:pPr>
              <w:ind w:left="680"/>
              <w:spacing w:after="0"/>
              <w:rPr>
                <w:sz w:val="20"/>
                <w:szCs w:val="20"/>
                <w:color w:val="auto"/>
              </w:rPr>
            </w:pPr>
            <w:r>
              <w:rPr>
                <w:rFonts w:ascii="Courier New" w:cs="Courier New" w:eastAsia="Courier New" w:hAnsi="Courier New"/>
                <w:sz w:val="16"/>
                <w:szCs w:val="16"/>
                <w:color w:val="auto"/>
              </w:rPr>
              <w:t>of Beneficial Owner</w:t>
            </w:r>
          </w:p>
        </w:tc>
        <w:tc>
          <w:tcPr>
            <w:tcW w:w="3280" w:type="dxa"/>
            <w:vAlign w:val="bottom"/>
          </w:tcPr>
          <w:p>
            <w:pPr>
              <w:jc w:val="center"/>
              <w:ind w:left="59"/>
              <w:spacing w:after="0"/>
              <w:rPr>
                <w:sz w:val="20"/>
                <w:szCs w:val="20"/>
                <w:color w:val="auto"/>
              </w:rPr>
            </w:pPr>
            <w:r>
              <w:rPr>
                <w:rFonts w:ascii="Courier New" w:cs="Courier New" w:eastAsia="Courier New" w:hAnsi="Courier New"/>
                <w:sz w:val="16"/>
                <w:szCs w:val="16"/>
                <w:color w:val="auto"/>
              </w:rPr>
              <w:t>of Beneficial Ownership</w:t>
            </w:r>
          </w:p>
        </w:tc>
        <w:tc>
          <w:tcPr>
            <w:tcW w:w="1220" w:type="dxa"/>
            <w:vAlign w:val="bottom"/>
          </w:tcPr>
          <w:p>
            <w:pPr>
              <w:ind w:left="440"/>
              <w:spacing w:after="0"/>
              <w:rPr>
                <w:sz w:val="20"/>
                <w:szCs w:val="20"/>
                <w:color w:val="auto"/>
              </w:rPr>
            </w:pPr>
            <w:r>
              <w:rPr>
                <w:rFonts w:ascii="Courier New" w:cs="Courier New" w:eastAsia="Courier New" w:hAnsi="Courier New"/>
                <w:sz w:val="16"/>
                <w:szCs w:val="16"/>
                <w:color w:val="auto"/>
                <w:w w:val="98"/>
              </w:rPr>
              <w:t>of Class</w:t>
            </w:r>
          </w:p>
        </w:tc>
      </w:tr>
      <w:tr>
        <w:trPr>
          <w:trHeight w:val="276"/>
        </w:trPr>
        <w:tc>
          <w:tcPr>
            <w:tcW w:w="322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3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Stichting Pensioenfonds ABP</w:t>
            </w:r>
          </w:p>
        </w:tc>
        <w:tc>
          <w:tcPr>
            <w:tcW w:w="3280" w:type="dxa"/>
            <w:vAlign w:val="bottom"/>
          </w:tcPr>
          <w:p>
            <w:pPr>
              <w:jc w:val="right"/>
              <w:ind w:right="1059"/>
              <w:spacing w:after="0"/>
              <w:rPr>
                <w:sz w:val="20"/>
                <w:szCs w:val="20"/>
                <w:color w:val="auto"/>
              </w:rPr>
            </w:pPr>
            <w:r>
              <w:rPr>
                <w:rFonts w:ascii="Courier New" w:cs="Courier New" w:eastAsia="Courier New" w:hAnsi="Courier New"/>
                <w:sz w:val="16"/>
                <w:szCs w:val="16"/>
                <w:color w:val="auto"/>
              </w:rPr>
              <w:t>2,367,000</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P.O. Box 2889</w:t>
            </w:r>
          </w:p>
        </w:tc>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6401 DJ Heerlen</w:t>
            </w:r>
          </w:p>
        </w:tc>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The Netherlands</w:t>
            </w:r>
          </w:p>
        </w:tc>
        <w:tc>
          <w:tcPr>
            <w:tcW w:w="328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ectPr>
          <w:pgSz w:w="11900" w:h="16838" w:orient="portrait"/>
          <w:cols w:equalWidth="0" w:num="1">
            <w:col w:w="10219"/>
          </w:cols>
          <w:pgMar w:left="240" w:top="650" w:right="1440" w:bottom="1440" w:gutter="0" w:footer="0" w:header="0"/>
        </w:sectPr>
      </w:pPr>
    </w:p>
    <w:bookmarkStart w:id="4" w:name="page5"/>
    <w:bookmarkEnd w:id="4"/>
    <w:p>
      <w:pPr>
        <w:spacing w:after="0" w:line="7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PROPOSAL 1</w:t>
      </w:r>
    </w:p>
    <w:p>
      <w:pPr>
        <w:spacing w:after="0" w:line="3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Election of Trustees</w:t>
      </w:r>
    </w:p>
    <w:p>
      <w:pPr>
        <w:spacing w:after="0" w:line="165"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Pursuant to Section 2.2 of the Trust's Declaration of Trust, the Trustees are divided into three classes serving three year terms. Three Trustees, comprising one class of Trustees, and one Trustee in a separate class, are to be elected at the Annual Meeting. Mr. Samuel J. Gorlitz, Mr. George L. Perry and Mr. Mark S. Ordan have been nominated for election as Trustees to hold office until the 2002 Annual Meeting and until their successors have been elected and shall qualify. Mr. Steven J. Guttman has been nominated for election as Trustee to hold office until the 2001 Annual Meeting and until his successor has been elected and shall qualify; he is being nominated for a two-year term in order to equalize the number of Trustees in each class.</w:t>
      </w:r>
    </w:p>
    <w:p>
      <w:pPr>
        <w:spacing w:after="0" w:line="200" w:lineRule="exact"/>
        <w:rPr>
          <w:sz w:val="20"/>
          <w:szCs w:val="20"/>
          <w:color w:val="auto"/>
        </w:rPr>
      </w:pP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188"/>
        </w:trPr>
        <w:tc>
          <w:tcPr>
            <w:tcW w:w="92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320" w:type="dxa"/>
            <w:vAlign w:val="bottom"/>
            <w:vMerge w:val="restart"/>
          </w:tcPr>
          <w:p>
            <w:pPr>
              <w:ind w:left="540"/>
              <w:spacing w:after="0"/>
              <w:rPr>
                <w:sz w:val="20"/>
                <w:szCs w:val="20"/>
                <w:color w:val="auto"/>
              </w:rPr>
            </w:pPr>
            <w:r>
              <w:rPr>
                <w:rFonts w:ascii="Courier New" w:cs="Courier New" w:eastAsia="Courier New" w:hAnsi="Courier New"/>
                <w:sz w:val="16"/>
                <w:szCs w:val="16"/>
                <w:color w:val="auto"/>
              </w:rPr>
              <w:t>Age</w:t>
            </w:r>
          </w:p>
        </w:tc>
        <w:tc>
          <w:tcPr>
            <w:tcW w:w="3380" w:type="dxa"/>
            <w:vAlign w:val="bottom"/>
          </w:tcPr>
          <w:p>
            <w:pPr>
              <w:ind w:left="680"/>
              <w:spacing w:after="0"/>
              <w:rPr>
                <w:sz w:val="20"/>
                <w:szCs w:val="20"/>
                <w:color w:val="auto"/>
              </w:rPr>
            </w:pPr>
            <w:r>
              <w:rPr>
                <w:rFonts w:ascii="Courier New" w:cs="Courier New" w:eastAsia="Courier New" w:hAnsi="Courier New"/>
                <w:sz w:val="16"/>
                <w:szCs w:val="16"/>
                <w:color w:val="auto"/>
              </w:rPr>
              <w:t>Principal Occupations</w:t>
            </w:r>
          </w:p>
        </w:tc>
        <w:tc>
          <w:tcPr>
            <w:tcW w:w="1260" w:type="dxa"/>
            <w:vAlign w:val="bottom"/>
          </w:tcPr>
          <w:p>
            <w:pPr>
              <w:jc w:val="center"/>
              <w:ind w:left="419"/>
              <w:spacing w:after="0"/>
              <w:rPr>
                <w:sz w:val="20"/>
                <w:szCs w:val="20"/>
                <w:color w:val="auto"/>
              </w:rPr>
            </w:pPr>
            <w:r>
              <w:rPr>
                <w:rFonts w:ascii="Courier New" w:cs="Courier New" w:eastAsia="Courier New" w:hAnsi="Courier New"/>
                <w:sz w:val="16"/>
                <w:szCs w:val="16"/>
                <w:color w:val="auto"/>
              </w:rPr>
              <w:t>Trustee</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Term to</w:t>
            </w:r>
          </w:p>
        </w:tc>
        <w:tc>
          <w:tcPr>
            <w:tcW w:w="0" w:type="dxa"/>
            <w:vAlign w:val="bottom"/>
          </w:tcPr>
          <w:p>
            <w:pPr>
              <w:spacing w:after="0"/>
              <w:rPr>
                <w:sz w:val="1"/>
                <w:szCs w:val="1"/>
                <w:color w:val="auto"/>
              </w:rPr>
            </w:pPr>
          </w:p>
        </w:tc>
      </w:tr>
      <w:tr>
        <w:trPr>
          <w:trHeight w:val="218"/>
        </w:trPr>
        <w:tc>
          <w:tcPr>
            <w:tcW w:w="9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6"/>
                <w:szCs w:val="16"/>
                <w:color w:val="auto"/>
              </w:rPr>
              <w:t>and Other Directorships*</w:t>
            </w:r>
          </w:p>
        </w:tc>
        <w:tc>
          <w:tcPr>
            <w:tcW w:w="1260" w:type="dxa"/>
            <w:vAlign w:val="bottom"/>
          </w:tcPr>
          <w:p>
            <w:pPr>
              <w:jc w:val="center"/>
              <w:ind w:left="419"/>
              <w:spacing w:after="0"/>
              <w:rPr>
                <w:sz w:val="20"/>
                <w:szCs w:val="20"/>
                <w:color w:val="auto"/>
              </w:rPr>
            </w:pPr>
            <w:r>
              <w:rPr>
                <w:rFonts w:ascii="Courier New" w:cs="Courier New" w:eastAsia="Courier New" w:hAnsi="Courier New"/>
                <w:sz w:val="16"/>
                <w:szCs w:val="16"/>
                <w:color w:val="auto"/>
                <w:w w:val="99"/>
              </w:rPr>
              <w:t>Since</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Expire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Samuel J. Gorlitz.......</w:t>
            </w:r>
          </w:p>
        </w:tc>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81 Founder of the Trust; President, Gorlitz</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1975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8"/>
        </w:trPr>
        <w:tc>
          <w:tcPr>
            <w:tcW w:w="2440" w:type="dxa"/>
            <w:vAlign w:val="bottom"/>
            <w:vMerge w:val="restart"/>
          </w:tcPr>
          <w:p>
            <w:pPr>
              <w:spacing w:after="0"/>
              <w:rPr>
                <w:sz w:val="20"/>
                <w:szCs w:val="20"/>
                <w:color w:val="auto"/>
              </w:rPr>
            </w:pPr>
            <w:r>
              <w:rPr>
                <w:rFonts w:ascii="Courier New" w:cs="Courier New" w:eastAsia="Courier New" w:hAnsi="Courier New"/>
                <w:sz w:val="16"/>
                <w:szCs w:val="16"/>
                <w:color w:val="auto"/>
              </w:rPr>
              <w:t>Steven J. Guttman</w:t>
            </w: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Associates, real estate developers.</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1979</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8"/>
        </w:trPr>
        <w:tc>
          <w:tcPr>
            <w:tcW w:w="2440" w:type="dxa"/>
            <w:vAlign w:val="bottom"/>
            <w:vMerge w:val="continue"/>
          </w:tcPr>
          <w:p>
            <w:pPr>
              <w:ind w:left="1660"/>
              <w:spacing w:after="0" w:line="166" w:lineRule="exact"/>
              <w:rPr>
                <w:sz w:val="20"/>
                <w:szCs w:val="20"/>
                <w:color w:val="auto"/>
              </w:rPr>
            </w:pPr>
            <w:r>
              <w:rPr>
                <w:rFonts w:ascii="Courier New" w:cs="Courier New" w:eastAsia="Courier New" w:hAnsi="Courier New"/>
                <w:sz w:val="16"/>
                <w:szCs w:val="16"/>
                <w:color w:val="auto"/>
              </w:rPr>
              <w:t>.......</w:t>
            </w:r>
          </w:p>
        </w:tc>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52 President and Chief Executive Officer of</w:t>
            </w: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the Trust; Past Trustee, International</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Council of Shopping Centers; Member and</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Former Chairman, National Association of</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Real Estate Investment Trusts Board of Gov-</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vMerge w:val="restart"/>
          </w:tcPr>
          <w:p>
            <w:pPr>
              <w:spacing w:after="0"/>
              <w:rPr>
                <w:sz w:val="20"/>
                <w:szCs w:val="20"/>
                <w:color w:val="auto"/>
              </w:rPr>
            </w:pPr>
            <w:r>
              <w:rPr>
                <w:rFonts w:ascii="Courier New" w:cs="Courier New" w:eastAsia="Courier New" w:hAnsi="Courier New"/>
                <w:sz w:val="16"/>
                <w:szCs w:val="16"/>
                <w:color w:val="auto"/>
              </w:rPr>
              <w:t>Mark S. Ordan...........</w:t>
            </w: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ernors and Executive Committee.</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1996</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8"/>
        </w:trPr>
        <w:tc>
          <w:tcPr>
            <w:tcW w:w="2440" w:type="dxa"/>
            <w:vAlign w:val="bottom"/>
            <w:vMerge w:val="continue"/>
          </w:tcPr>
          <w:p>
            <w:pPr>
              <w:spacing w:after="0"/>
              <w:rPr>
                <w:sz w:val="16"/>
                <w:szCs w:val="16"/>
                <w:color w:val="auto"/>
              </w:rPr>
            </w:pPr>
          </w:p>
        </w:tc>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39 Partner, Bethesda Retail Partners, a retail</w:t>
            </w: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venture capital firm; Former Chief Execu-</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tive Officer, Chartwell Health Management</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Inc.; Former Chairman, President and Chief</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Executive Officer, Fresh Fields Markets,</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Inc., a healthy foods supermarket; Trustee,</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Vassar College; Director, Center for Sci-</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vMerge w:val="restart"/>
          </w:tcPr>
          <w:p>
            <w:pPr>
              <w:spacing w:after="0"/>
              <w:rPr>
                <w:sz w:val="20"/>
                <w:szCs w:val="20"/>
                <w:color w:val="auto"/>
              </w:rPr>
            </w:pPr>
            <w:r>
              <w:rPr>
                <w:rFonts w:ascii="Courier New" w:cs="Courier New" w:eastAsia="Courier New" w:hAnsi="Courier New"/>
                <w:sz w:val="16"/>
                <w:szCs w:val="16"/>
                <w:color w:val="auto"/>
              </w:rPr>
              <w:t>George L. Perry.........</w:t>
            </w: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ence in the Public Interest.</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1993</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8"/>
        </w:trPr>
        <w:tc>
          <w:tcPr>
            <w:tcW w:w="2440" w:type="dxa"/>
            <w:vAlign w:val="bottom"/>
            <w:vMerge w:val="continue"/>
          </w:tcPr>
          <w:p>
            <w:pPr>
              <w:spacing w:after="0"/>
              <w:rPr>
                <w:sz w:val="16"/>
                <w:szCs w:val="16"/>
                <w:color w:val="auto"/>
              </w:rPr>
            </w:pPr>
          </w:p>
        </w:tc>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65 Senior Fellow, Brookings Institution; Di-</w:t>
            </w: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rector, State Farm Life Insurance Company;</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Director, State Farm Mutual Automobile Com-</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pany and various mutual funds managed by</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3"/>
                <w:szCs w:val="23"/>
                <w:color w:val="auto"/>
              </w:rPr>
            </w:pPr>
          </w:p>
        </w:tc>
        <w:tc>
          <w:tcPr>
            <w:tcW w:w="4700" w:type="dxa"/>
            <w:vAlign w:val="bottom"/>
          </w:tcPr>
          <w:p>
            <w:pPr>
              <w:ind w:left="400"/>
              <w:spacing w:after="0"/>
              <w:rPr>
                <w:sz w:val="20"/>
                <w:szCs w:val="20"/>
                <w:color w:val="auto"/>
              </w:rPr>
            </w:pPr>
            <w:r>
              <w:rPr>
                <w:rFonts w:ascii="Courier New" w:cs="Courier New" w:eastAsia="Courier New" w:hAnsi="Courier New"/>
                <w:sz w:val="16"/>
                <w:szCs w:val="16"/>
                <w:color w:val="auto"/>
              </w:rPr>
              <w:t>the Dreyfus Corporation.</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979" w:firstLine="196"/>
        <w:spacing w:after="0" w:line="373" w:lineRule="auto"/>
        <w:rPr>
          <w:sz w:val="20"/>
          <w:szCs w:val="20"/>
          <w:color w:val="auto"/>
        </w:rPr>
      </w:pPr>
      <w:r>
        <w:rPr>
          <w:rFonts w:ascii="Courier New" w:cs="Courier New" w:eastAsia="Courier New" w:hAnsi="Courier New"/>
          <w:sz w:val="16"/>
          <w:szCs w:val="16"/>
          <w:color w:val="auto"/>
        </w:rPr>
        <w:t>Terms of office of the five Trustees named below will continue until the Annual Meeting in the years indicated.</w:t>
      </w:r>
    </w:p>
    <w:p>
      <w:pPr>
        <w:spacing w:after="0" w:line="376" w:lineRule="exact"/>
        <w:rPr>
          <w:sz w:val="20"/>
          <w:szCs w:val="20"/>
          <w:color w:val="auto"/>
        </w:rPr>
      </w:pPr>
    </w:p>
    <w:tbl>
      <w:tblPr>
        <w:tblLayout w:type="fixed"/>
        <w:tblInd w:w="980" w:type="dxa"/>
        <w:tblCellMar>
          <w:top w:w="0" w:type="dxa"/>
          <w:left w:w="0" w:type="dxa"/>
          <w:bottom w:w="0" w:type="dxa"/>
          <w:right w:w="0" w:type="dxa"/>
        </w:tblCellMar>
      </w:tblPr>
      <w:tr>
        <w:trPr>
          <w:trHeight w:val="188"/>
        </w:trPr>
        <w:tc>
          <w:tcPr>
            <w:tcW w:w="92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320" w:type="dxa"/>
            <w:vAlign w:val="bottom"/>
            <w:vMerge w:val="restart"/>
          </w:tcPr>
          <w:p>
            <w:pPr>
              <w:ind w:left="540"/>
              <w:spacing w:after="0"/>
              <w:rPr>
                <w:sz w:val="20"/>
                <w:szCs w:val="20"/>
                <w:color w:val="auto"/>
              </w:rPr>
            </w:pPr>
            <w:r>
              <w:rPr>
                <w:rFonts w:ascii="Courier New" w:cs="Courier New" w:eastAsia="Courier New" w:hAnsi="Courier New"/>
                <w:sz w:val="16"/>
                <w:szCs w:val="16"/>
                <w:color w:val="auto"/>
              </w:rPr>
              <w:t>Age</w:t>
            </w:r>
          </w:p>
        </w:tc>
        <w:tc>
          <w:tcPr>
            <w:tcW w:w="3380" w:type="dxa"/>
            <w:vAlign w:val="bottom"/>
          </w:tcPr>
          <w:p>
            <w:pPr>
              <w:ind w:left="680"/>
              <w:spacing w:after="0"/>
              <w:rPr>
                <w:sz w:val="20"/>
                <w:szCs w:val="20"/>
                <w:color w:val="auto"/>
              </w:rPr>
            </w:pPr>
            <w:r>
              <w:rPr>
                <w:rFonts w:ascii="Courier New" w:cs="Courier New" w:eastAsia="Courier New" w:hAnsi="Courier New"/>
                <w:sz w:val="16"/>
                <w:szCs w:val="16"/>
                <w:color w:val="auto"/>
              </w:rPr>
              <w:t>Principal Occupations</w:t>
            </w:r>
          </w:p>
        </w:tc>
        <w:tc>
          <w:tcPr>
            <w:tcW w:w="1260" w:type="dxa"/>
            <w:vAlign w:val="bottom"/>
          </w:tcPr>
          <w:p>
            <w:pPr>
              <w:jc w:val="center"/>
              <w:ind w:left="419"/>
              <w:spacing w:after="0"/>
              <w:rPr>
                <w:sz w:val="20"/>
                <w:szCs w:val="20"/>
                <w:color w:val="auto"/>
              </w:rPr>
            </w:pPr>
            <w:r>
              <w:rPr>
                <w:rFonts w:ascii="Courier New" w:cs="Courier New" w:eastAsia="Courier New" w:hAnsi="Courier New"/>
                <w:sz w:val="16"/>
                <w:szCs w:val="16"/>
                <w:color w:val="auto"/>
              </w:rPr>
              <w:t>Trustee</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Term to</w:t>
            </w:r>
          </w:p>
        </w:tc>
        <w:tc>
          <w:tcPr>
            <w:tcW w:w="0" w:type="dxa"/>
            <w:vAlign w:val="bottom"/>
          </w:tcPr>
          <w:p>
            <w:pPr>
              <w:spacing w:after="0"/>
              <w:rPr>
                <w:sz w:val="1"/>
                <w:szCs w:val="1"/>
                <w:color w:val="auto"/>
              </w:rPr>
            </w:pPr>
          </w:p>
        </w:tc>
      </w:tr>
      <w:tr>
        <w:trPr>
          <w:trHeight w:val="218"/>
        </w:trPr>
        <w:tc>
          <w:tcPr>
            <w:tcW w:w="9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380" w:type="dxa"/>
            <w:vAlign w:val="bottom"/>
          </w:tcPr>
          <w:p>
            <w:pPr>
              <w:ind w:left="500"/>
              <w:spacing w:after="0"/>
              <w:rPr>
                <w:sz w:val="20"/>
                <w:szCs w:val="20"/>
                <w:color w:val="auto"/>
              </w:rPr>
            </w:pPr>
            <w:r>
              <w:rPr>
                <w:rFonts w:ascii="Courier New" w:cs="Courier New" w:eastAsia="Courier New" w:hAnsi="Courier New"/>
                <w:sz w:val="16"/>
                <w:szCs w:val="16"/>
                <w:color w:val="auto"/>
              </w:rPr>
              <w:t>and Other Directorships*</w:t>
            </w:r>
          </w:p>
        </w:tc>
        <w:tc>
          <w:tcPr>
            <w:tcW w:w="1260" w:type="dxa"/>
            <w:vAlign w:val="bottom"/>
          </w:tcPr>
          <w:p>
            <w:pPr>
              <w:jc w:val="center"/>
              <w:ind w:left="419"/>
              <w:spacing w:after="0"/>
              <w:rPr>
                <w:sz w:val="20"/>
                <w:szCs w:val="20"/>
                <w:color w:val="auto"/>
              </w:rPr>
            </w:pPr>
            <w:r>
              <w:rPr>
                <w:rFonts w:ascii="Courier New" w:cs="Courier New" w:eastAsia="Courier New" w:hAnsi="Courier New"/>
                <w:sz w:val="16"/>
                <w:szCs w:val="16"/>
                <w:color w:val="auto"/>
                <w:w w:val="99"/>
              </w:rPr>
              <w:t>Since</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Expire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Kenneth D. Brody........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Founding Partner, Winslow Partners LLC, a</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private equity investment firm; Former</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President and Chairman, Export-Import Bank</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of the United States; Director, Quest Diag-</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nostics, Inc.; Director, American Red</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vMerge w:val="restart"/>
          </w:tcPr>
          <w:p>
            <w:pPr>
              <w:spacing w:after="0"/>
              <w:rPr>
                <w:sz w:val="20"/>
                <w:szCs w:val="20"/>
                <w:color w:val="auto"/>
              </w:rPr>
            </w:pPr>
            <w:r>
              <w:rPr>
                <w:rFonts w:ascii="Courier New" w:cs="Courier New" w:eastAsia="Courier New" w:hAnsi="Courier New"/>
                <w:sz w:val="16"/>
                <w:szCs w:val="16"/>
                <w:color w:val="auto"/>
              </w:rPr>
              <w:t>A. Cornet de Ways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65</w:t>
            </w: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Cross.</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1983</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188"/>
        </w:trPr>
        <w:tc>
          <w:tcPr>
            <w:tcW w:w="24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Director of SIPEF S.A., an international</w:t>
            </w: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Ruart..................</w:t>
            </w: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holding company principally of agricultural</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interests; Director of Interbrew S.A., an</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vMerge w:val="restart"/>
          </w:tcPr>
          <w:p>
            <w:pPr>
              <w:spacing w:after="0"/>
              <w:rPr>
                <w:sz w:val="20"/>
                <w:szCs w:val="20"/>
                <w:color w:val="auto"/>
              </w:rPr>
            </w:pPr>
            <w:r>
              <w:rPr>
                <w:rFonts w:ascii="Courier New" w:cs="Courier New" w:eastAsia="Courier New" w:hAnsi="Courier New"/>
                <w:sz w:val="16"/>
                <w:szCs w:val="16"/>
                <w:color w:val="auto"/>
              </w:rPr>
              <w:t>Walter F. Loeb..........</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74</w:t>
            </w: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international brewery.</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1991</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188"/>
        </w:trPr>
        <w:tc>
          <w:tcPr>
            <w:tcW w:w="24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President, Loeb Associates Inc., a manage-</w:t>
            </w: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ment consulting firm. Publisher, Loeb Re-</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tail Letter; Director, InterTAN Inc., an</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international electronics retailer; Direc-</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tor, The Gymboree Corp.; Director, Mothers</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Work, Inc.; Director, Wet Seal, Inc., a</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women's apparel retailer; Director,</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Hudson's Bay Company, a Canadian chain of</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retail department stores and discount</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stores; Director, The Warnaco Group, Inc.;</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Retired Principal and Senior Retail Ana-</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vMerge w:val="restart"/>
          </w:tcPr>
          <w:p>
            <w:pPr>
              <w:spacing w:after="0"/>
              <w:rPr>
                <w:sz w:val="20"/>
                <w:szCs w:val="20"/>
                <w:color w:val="auto"/>
              </w:rPr>
            </w:pPr>
            <w:r>
              <w:rPr>
                <w:rFonts w:ascii="Courier New" w:cs="Courier New" w:eastAsia="Courier New" w:hAnsi="Courier New"/>
                <w:sz w:val="16"/>
                <w:szCs w:val="16"/>
                <w:color w:val="auto"/>
              </w:rPr>
              <w:t>Dennis L. Berman........</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w:t>
            </w: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lyst, Morgan Stanley &amp; Co., Inc.</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1989</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8"/>
        </w:trPr>
        <w:tc>
          <w:tcPr>
            <w:tcW w:w="24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General Partner, Berman Enterprises,</w:t>
            </w: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Vingarden Associates, GDR Partnerships,</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builders/developers; Director, Beco Manage-</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vMerge w:val="restart"/>
          </w:tcPr>
          <w:p>
            <w:pPr>
              <w:spacing w:after="0"/>
              <w:rPr>
                <w:sz w:val="20"/>
                <w:szCs w:val="20"/>
                <w:color w:val="auto"/>
              </w:rPr>
            </w:pPr>
            <w:r>
              <w:rPr>
                <w:rFonts w:ascii="Courier New" w:cs="Courier New" w:eastAsia="Courier New" w:hAnsi="Courier New"/>
                <w:sz w:val="16"/>
                <w:szCs w:val="16"/>
                <w:color w:val="auto"/>
              </w:rPr>
              <w:t>Kristin Gamble..........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w:t>
            </w: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ment, office building owners/managers.</w:t>
            </w:r>
          </w:p>
        </w:tc>
        <w:tc>
          <w:tcPr>
            <w:tcW w:w="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1995</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88"/>
        </w:trPr>
        <w:tc>
          <w:tcPr>
            <w:tcW w:w="24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President, Flood, Gamble Associates, Inc.,</w:t>
            </w:r>
          </w:p>
        </w:tc>
        <w:tc>
          <w:tcPr>
            <w:tcW w:w="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an investment counseling firm; Director,</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Ethan Allen Interiors, Inc., a furniture</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6"/>
                <w:szCs w:val="16"/>
                <w:color w:val="auto"/>
              </w:rPr>
              <w:t>manufacturer and retailer.</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spacing w:after="0"/>
              <w:rPr>
                <w:sz w:val="24"/>
                <w:szCs w:val="24"/>
                <w:color w:val="auto"/>
              </w:rPr>
            </w:pPr>
          </w:p>
        </w:tc>
        <w:tc>
          <w:tcPr>
            <w:tcW w:w="5040" w:type="dxa"/>
            <w:vAlign w:val="bottom"/>
            <w:gridSpan w:val="2"/>
            <w:vMerge w:val="restart"/>
          </w:tcPr>
          <w:p>
            <w:pPr>
              <w:ind w:left="60"/>
              <w:spacing w:after="0"/>
              <w:rPr>
                <w:sz w:val="20"/>
                <w:szCs w:val="20"/>
                <w:color w:val="auto"/>
              </w:rPr>
            </w:pPr>
            <w:r>
              <w:rPr>
                <w:rFonts w:ascii="Courier New" w:cs="Courier New" w:eastAsia="Courier New" w:hAnsi="Courier New"/>
                <w:sz w:val="16"/>
                <w:szCs w:val="16"/>
                <w:color w:val="auto"/>
              </w:rPr>
              <w:t>forth in these tables cover a five-year period.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 The business histories set</w:t>
            </w:r>
          </w:p>
        </w:tc>
        <w:tc>
          <w:tcPr>
            <w:tcW w:w="5040" w:type="dxa"/>
            <w:vAlign w:val="bottom"/>
            <w:gridSpan w:val="2"/>
            <w:vMerge w:val="continue"/>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15" w:orient="portrait"/>
          <w:cols w:equalWidth="0" w:num="1">
            <w:col w:w="10219"/>
          </w:cols>
          <w:pgMar w:left="240" w:top="650" w:right="1440" w:bottom="0" w:gutter="0" w:footer="0" w:header="0"/>
        </w:sectPr>
      </w:pPr>
    </w:p>
    <w:bookmarkStart w:id="5" w:name="page6"/>
    <w:bookmarkEnd w:id="5"/>
    <w:p>
      <w:pPr>
        <w:ind w:left="26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019"/>
          </w:cols>
          <w:pgMar w:left="1440" w:top="300" w:right="1440" w:bottom="1440" w:gutter="0" w:footer="0" w:header="0"/>
        </w:sectPr>
      </w:pPr>
    </w:p>
    <w:bookmarkStart w:id="6" w:name="page7"/>
    <w:bookmarkEnd w:id="6"/>
    <w:p>
      <w:pPr>
        <w:ind w:right="2599" w:firstLine="196"/>
        <w:spacing w:after="0" w:line="262" w:lineRule="auto"/>
        <w:rPr>
          <w:sz w:val="20"/>
          <w:szCs w:val="20"/>
          <w:color w:val="auto"/>
        </w:rPr>
      </w:pPr>
      <w:r>
        <w:rPr>
          <w:rFonts w:ascii="Courier New" w:cs="Courier New" w:eastAsia="Courier New" w:hAnsi="Courier New"/>
          <w:sz w:val="16"/>
          <w:szCs w:val="16"/>
          <w:color w:val="auto"/>
        </w:rPr>
        <w:t>The Board of Trustees has an Audit Committee, comprised of Messrs. Berman, Cornet and Ordan, which independently reviews the Trust's financial statements and coordinates its review with the Trust's independent public accountants. The Audit Committee held four meetings in 1998. The Compensation Committee, comprised of Mr. Brody, Mr. Loeb and Mr. Ordan, reviews and reports to the Board on incentive plans and remuneration of officers. That committee held six meetings in 1998. The Compensation Committee administers the Trust's Amended and Restated 1993 Long-Term Incentive Plan (the "Amended Plan"). During 1998 the Board of Trustees held six meetings. The Board of Trustees has no standing nominating committee.</w:t>
      </w:r>
    </w:p>
    <w:p>
      <w:pPr>
        <w:spacing w:after="0" w:line="8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BOARD OF TRUSTEES UNANIMOUSLY RECOMMENDS A VOTE FOR THE FOUR NOMINEES.</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OWNERSHIP OF SHARES BY TRUSTEES AND OFFICERS</w:t>
      </w:r>
    </w:p>
    <w:p>
      <w:pPr>
        <w:spacing w:after="0" w:line="195" w:lineRule="exact"/>
        <w:rPr>
          <w:sz w:val="20"/>
          <w:szCs w:val="20"/>
          <w:color w:val="auto"/>
        </w:rPr>
      </w:pPr>
    </w:p>
    <w:p>
      <w:pPr>
        <w:jc w:val="both"/>
        <w:ind w:right="2879" w:firstLine="196"/>
        <w:spacing w:after="0" w:line="311" w:lineRule="auto"/>
        <w:rPr>
          <w:sz w:val="20"/>
          <w:szCs w:val="20"/>
          <w:color w:val="auto"/>
        </w:rPr>
      </w:pPr>
      <w:r>
        <w:rPr>
          <w:rFonts w:ascii="Courier New" w:cs="Courier New" w:eastAsia="Courier New" w:hAnsi="Courier New"/>
          <w:sz w:val="16"/>
          <w:szCs w:val="16"/>
          <w:color w:val="auto"/>
        </w:rPr>
        <w:t>As of March 25, 1999, Trustees and executive officers as a group, and the Trustees and named executive officers, individually, beneficially owned the following Shares: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2640" w:type="dxa"/>
            <w:vAlign w:val="bottom"/>
            <w:vMerge w:val="restart"/>
          </w:tcPr>
          <w:p>
            <w:pPr>
              <w:jc w:val="center"/>
              <w:ind w:left="319"/>
              <w:spacing w:after="0"/>
              <w:rPr>
                <w:sz w:val="20"/>
                <w:szCs w:val="20"/>
                <w:color w:val="auto"/>
              </w:rPr>
            </w:pPr>
            <w:r>
              <w:rPr>
                <w:rFonts w:ascii="Courier New" w:cs="Courier New" w:eastAsia="Courier New" w:hAnsi="Courier New"/>
                <w:sz w:val="16"/>
                <w:szCs w:val="16"/>
                <w:color w:val="auto"/>
              </w:rPr>
              <w:t>Number of Shares</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Percentage of</w:t>
            </w:r>
          </w:p>
        </w:tc>
        <w:tc>
          <w:tcPr>
            <w:tcW w:w="0" w:type="dxa"/>
            <w:vAlign w:val="bottom"/>
          </w:tcPr>
          <w:p>
            <w:pPr>
              <w:spacing w:after="0"/>
              <w:rPr>
                <w:sz w:val="1"/>
                <w:szCs w:val="1"/>
                <w:color w:val="auto"/>
              </w:rPr>
            </w:pPr>
          </w:p>
        </w:tc>
      </w:tr>
      <w:tr>
        <w:trPr>
          <w:trHeight w:val="188"/>
        </w:trPr>
        <w:tc>
          <w:tcPr>
            <w:tcW w:w="2780" w:type="dxa"/>
            <w:vAlign w:val="bottom"/>
            <w:vMerge w:val="restart"/>
          </w:tcPr>
          <w:p>
            <w:pPr>
              <w:spacing w:after="0"/>
              <w:rPr>
                <w:sz w:val="20"/>
                <w:szCs w:val="20"/>
                <w:color w:val="auto"/>
              </w:rPr>
            </w:pPr>
            <w:r>
              <w:rPr>
                <w:rFonts w:ascii="Courier New" w:cs="Courier New" w:eastAsia="Courier New" w:hAnsi="Courier New"/>
                <w:sz w:val="16"/>
                <w:szCs w:val="16"/>
                <w:color w:val="auto"/>
              </w:rPr>
              <w:t>Name of Beneficial Owner</w:t>
            </w:r>
          </w:p>
        </w:tc>
        <w:tc>
          <w:tcPr>
            <w:tcW w:w="2640" w:type="dxa"/>
            <w:vAlign w:val="bottom"/>
            <w:vMerge w:val="continue"/>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Outstanding Shares</w:t>
            </w:r>
          </w:p>
        </w:tc>
        <w:tc>
          <w:tcPr>
            <w:tcW w:w="0" w:type="dxa"/>
            <w:vAlign w:val="bottom"/>
          </w:tcPr>
          <w:p>
            <w:pPr>
              <w:spacing w:after="0"/>
              <w:rPr>
                <w:sz w:val="1"/>
                <w:szCs w:val="1"/>
                <w:color w:val="auto"/>
              </w:rPr>
            </w:pPr>
          </w:p>
        </w:tc>
      </w:tr>
      <w:tr>
        <w:trPr>
          <w:trHeight w:val="218"/>
        </w:trPr>
        <w:tc>
          <w:tcPr>
            <w:tcW w:w="2780" w:type="dxa"/>
            <w:vAlign w:val="bottom"/>
            <w:vMerge w:val="continue"/>
          </w:tcPr>
          <w:p>
            <w:pPr>
              <w:spacing w:after="0"/>
              <w:rPr>
                <w:sz w:val="18"/>
                <w:szCs w:val="18"/>
                <w:color w:val="auto"/>
              </w:rPr>
            </w:pPr>
          </w:p>
        </w:tc>
        <w:tc>
          <w:tcPr>
            <w:tcW w:w="264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Beneficially Owned (1)</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of the Trust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Trustees and executive officers</w:t>
            </w:r>
          </w:p>
        </w:tc>
        <w:tc>
          <w:tcPr>
            <w:tcW w:w="1900" w:type="dxa"/>
            <w:vAlign w:val="bottom"/>
            <w:vMerge w:val="restart"/>
          </w:tcPr>
          <w:p>
            <w:pPr>
              <w:jc w:val="right"/>
              <w:ind w:right="539"/>
              <w:spacing w:after="0"/>
              <w:rPr>
                <w:sz w:val="20"/>
                <w:szCs w:val="20"/>
                <w:color w:val="auto"/>
              </w:rPr>
            </w:pPr>
            <w:r>
              <w:rPr>
                <w:rFonts w:ascii="Courier New" w:cs="Courier New" w:eastAsia="Courier New" w:hAnsi="Courier New"/>
                <w:sz w:val="16"/>
                <w:szCs w:val="16"/>
                <w:color w:val="auto"/>
              </w:rPr>
              <w:t>2,872,757</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as a group (15 individuals)</w:t>
            </w:r>
          </w:p>
        </w:tc>
        <w:tc>
          <w:tcPr>
            <w:tcW w:w="190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Howard</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 Biel</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Dennis</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 Berman(2)</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470,158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Kenneth D. Brody</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9,000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A. Cornet</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de Ways Ruart(3)</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36,068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Nathan</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 Fishkin(4)</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215,933</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Kristin Gamble(5)</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109,812</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Steven</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 Guttman(6)</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1,342,102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Samuel</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J. Gorlitz(7)</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156,597</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Ron D.</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Kaplan(8)</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326,666</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Walter</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 Loeb</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28,659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Mark S. Ordan(9)</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10,500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George</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 Perry</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19,822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Cecily</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 Ward</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76,704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r>
        <w:trPr>
          <w:trHeight w:val="276"/>
        </w:trPr>
        <w:tc>
          <w:tcPr>
            <w:tcW w:w="640" w:type="dxa"/>
            <w:vAlign w:val="bottom"/>
          </w:tcPr>
          <w:p>
            <w:pPr>
              <w:spacing w:after="0"/>
              <w:rPr>
                <w:sz w:val="20"/>
                <w:szCs w:val="20"/>
                <w:color w:val="auto"/>
              </w:rPr>
            </w:pPr>
            <w:r>
              <w:rPr>
                <w:rFonts w:ascii="Courier New" w:cs="Courier New" w:eastAsia="Courier New" w:hAnsi="Courier New"/>
                <w:sz w:val="16"/>
                <w:szCs w:val="16"/>
                <w:color w:val="auto"/>
              </w:rPr>
              <w:t>Donald</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 Wood(10)</w:t>
            </w:r>
          </w:p>
        </w:tc>
        <w:tc>
          <w:tcPr>
            <w:tcW w:w="19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16,200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under 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 w:lineRule="exact"/>
        <w:rPr>
          <w:rFonts w:ascii="Courier New" w:cs="Courier New" w:eastAsia="Courier New" w:hAnsi="Courier New"/>
          <w:sz w:val="16"/>
          <w:szCs w:val="16"/>
          <w:color w:val="auto"/>
        </w:rPr>
      </w:pPr>
    </w:p>
    <w:p>
      <w:pPr>
        <w:ind w:right="269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percentage of Shares shown in this table reflect beneficial ownership, determined in accordance with Rule 13d-3 of the Securities Exchange Act of 1934,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4" w:lineRule="exact"/>
        <w:rPr>
          <w:rFonts w:ascii="Courier New" w:cs="Courier New" w:eastAsia="Courier New" w:hAnsi="Courier New"/>
          <w:sz w:val="16"/>
          <w:szCs w:val="16"/>
          <w:color w:val="auto"/>
        </w:rPr>
      </w:pPr>
    </w:p>
    <w:p>
      <w:pPr>
        <w:ind w:right="269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2" w:lineRule="exact"/>
        <w:rPr>
          <w:rFonts w:ascii="Courier New" w:cs="Courier New" w:eastAsia="Courier New" w:hAnsi="Courier New"/>
          <w:sz w:val="16"/>
          <w:szCs w:val="16"/>
          <w:color w:val="auto"/>
        </w:rPr>
      </w:pPr>
    </w:p>
    <w:p>
      <w:pPr>
        <w:ind w:right="259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700 Shares owned by a corporation of which Mr. Cornet's wife is a controlling shareholder.</w:t>
      </w:r>
    </w:p>
    <w:p>
      <w:pPr>
        <w:spacing w:after="0" w:line="1" w:lineRule="exact"/>
        <w:rPr>
          <w:rFonts w:ascii="Courier New" w:cs="Courier New" w:eastAsia="Courier New" w:hAnsi="Courier New"/>
          <w:sz w:val="16"/>
          <w:szCs w:val="16"/>
          <w:color w:val="auto"/>
        </w:rPr>
      </w:pPr>
    </w:p>
    <w:p>
      <w:pPr>
        <w:ind w:right="317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Performance Award of 75,000 Shares and 8,000 Restricted Shares.</w:t>
      </w:r>
    </w:p>
    <w:p>
      <w:pPr>
        <w:spacing w:after="0" w:line="1" w:lineRule="exact"/>
        <w:rPr>
          <w:rFonts w:ascii="Courier New" w:cs="Courier New" w:eastAsia="Courier New" w:hAnsi="Courier New"/>
          <w:sz w:val="16"/>
          <w:szCs w:val="16"/>
          <w:color w:val="auto"/>
        </w:rPr>
      </w:pPr>
    </w:p>
    <w:p>
      <w:pPr>
        <w:jc w:val="both"/>
        <w:ind w:right="269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94,017 Shares as to which Ms. Gamble shares investment power for clients. Includes 1,400 Shares as to which Ms. Gamble is a Trustee of a profit sharing plan, of which Ms. Gamble has a direct interest in 571 Shares.</w:t>
      </w:r>
    </w:p>
    <w:p>
      <w:pPr>
        <w:spacing w:after="0" w:line="1" w:lineRule="exact"/>
        <w:rPr>
          <w:rFonts w:ascii="Courier New" w:cs="Courier New" w:eastAsia="Courier New" w:hAnsi="Courier New"/>
          <w:sz w:val="16"/>
          <w:szCs w:val="16"/>
          <w:color w:val="auto"/>
        </w:rPr>
      </w:pPr>
    </w:p>
    <w:p>
      <w:pPr>
        <w:ind w:right="279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12,000 Shares in trust as to which Mr. Guttman shares voting and investment power with one other trustee, 29,822 Shares held in trust for his children and a Performance Share Award of 300,000 Shares.</w:t>
      </w:r>
    </w:p>
    <w:p>
      <w:pPr>
        <w:spacing w:after="0" w:line="1" w:lineRule="exact"/>
        <w:rPr>
          <w:rFonts w:ascii="Courier New" w:cs="Courier New" w:eastAsia="Courier New" w:hAnsi="Courier New"/>
          <w:sz w:val="16"/>
          <w:szCs w:val="16"/>
          <w:color w:val="auto"/>
        </w:rPr>
      </w:pPr>
    </w:p>
    <w:p>
      <w:pPr>
        <w:ind w:right="259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20,100 Shares as to which Mr. Gorlitz shares voting and investment power. Does not include 4,954 Shares as to which Mr. Gorlitz's wife has sole voting and investment power.</w:t>
      </w:r>
    </w:p>
    <w:p>
      <w:pPr>
        <w:spacing w:after="0" w:line="1" w:lineRule="exact"/>
        <w:rPr>
          <w:rFonts w:ascii="Courier New" w:cs="Courier New" w:eastAsia="Courier New" w:hAnsi="Courier New"/>
          <w:sz w:val="16"/>
          <w:szCs w:val="16"/>
          <w:color w:val="auto"/>
        </w:rPr>
      </w:pPr>
    </w:p>
    <w:p>
      <w:pPr>
        <w:ind w:right="287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Performance Share Award of 62,500 Shares and a Restricted Share Award of 54,688 Shares. Does not include 1,799 Shares as to which Mr. Kaplan's wife has sole voting and investment power.</w:t>
      </w:r>
    </w:p>
    <w:p>
      <w:pPr>
        <w:spacing w:after="0" w:line="1" w:lineRule="exact"/>
        <w:rPr>
          <w:rFonts w:ascii="Courier New" w:cs="Courier New" w:eastAsia="Courier New" w:hAnsi="Courier New"/>
          <w:sz w:val="16"/>
          <w:szCs w:val="16"/>
          <w:color w:val="auto"/>
        </w:rPr>
      </w:pPr>
    </w:p>
    <w:p>
      <w:pPr>
        <w:ind w:right="2699" w:firstLine="196"/>
        <w:spacing w:after="0" w:line="248" w:lineRule="auto"/>
        <w:tabs>
          <w:tab w:leader="none" w:pos="5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 Shares as to which voting and investment power is shared with Mr. Ordan's wife.</w:t>
      </w:r>
    </w:p>
    <w:p>
      <w:pPr>
        <w:spacing w:after="0" w:line="1" w:lineRule="exact"/>
        <w:rPr>
          <w:rFonts w:ascii="Courier New" w:cs="Courier New" w:eastAsia="Courier New" w:hAnsi="Courier New"/>
          <w:sz w:val="16"/>
          <w:szCs w:val="16"/>
          <w:color w:val="auto"/>
        </w:rPr>
      </w:pPr>
    </w:p>
    <w:p>
      <w:pPr>
        <w:ind w:left="680" w:hanging="484"/>
        <w:spacing w:after="0"/>
        <w:tabs>
          <w:tab w:leader="none" w:pos="6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Restricted Share Award of 10,000 shares.</w:t>
      </w:r>
    </w:p>
    <w:p>
      <w:pPr>
        <w:spacing w:after="0" w:line="16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0" w:right="1440" w:bottom="1440" w:gutter="0" w:footer="0" w:header="0"/>
        </w:sectPr>
      </w:pPr>
    </w:p>
    <w:bookmarkStart w:id="7" w:name="page8"/>
    <w:bookmarkEnd w:id="7"/>
    <w:p>
      <w:pPr>
        <w:ind w:left="1560"/>
        <w:spacing w:after="0"/>
        <w:rPr>
          <w:sz w:val="20"/>
          <w:szCs w:val="20"/>
          <w:color w:val="auto"/>
        </w:rPr>
      </w:pPr>
      <w:r>
        <w:rPr>
          <w:rFonts w:ascii="Courier New" w:cs="Courier New" w:eastAsia="Courier New" w:hAnsi="Courier New"/>
          <w:sz w:val="16"/>
          <w:szCs w:val="16"/>
          <w:color w:val="auto"/>
        </w:rPr>
        <w:t>REMUNERATION OF EXECUTIVE OFFICERS AND TRUSTEES</w:t>
      </w:r>
    </w:p>
    <w:p>
      <w:pPr>
        <w:spacing w:after="0" w:line="195"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The following table sets forth the summary compensation of the Chief Executive Officer, the four other most highly paid executive officers and a former executive officer who would have been a named officer but for the fact that he was not serving as an executive officer of the Trust on December 31, 1998 ("executive officers" or "named officers").</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76"/>
        </w:trPr>
        <w:tc>
          <w:tcPr>
            <w:tcW w:w="5080" w:type="dxa"/>
            <w:vAlign w:val="bottom"/>
            <w:gridSpan w:val="4"/>
          </w:tcPr>
          <w:p>
            <w:pPr>
              <w:ind w:left="2440"/>
              <w:spacing w:after="0"/>
              <w:rPr>
                <w:sz w:val="20"/>
                <w:szCs w:val="20"/>
                <w:color w:val="auto"/>
              </w:rPr>
            </w:pPr>
            <w:r>
              <w:rPr>
                <w:rFonts w:ascii="Courier New" w:cs="Courier New" w:eastAsia="Courier New" w:hAnsi="Courier New"/>
                <w:sz w:val="16"/>
                <w:szCs w:val="16"/>
                <w:color w:val="auto"/>
              </w:rPr>
              <w:t>Summary Compensation Table</w:t>
            </w: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2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Long-Term</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60" w:type="dxa"/>
            <w:vAlign w:val="bottom"/>
            <w:gridSpan w:val="2"/>
            <w:vMerge w:val="restart"/>
          </w:tcPr>
          <w:p>
            <w:pPr>
              <w:jc w:val="right"/>
              <w:ind w:right="319"/>
              <w:spacing w:after="0"/>
              <w:rPr>
                <w:sz w:val="20"/>
                <w:szCs w:val="20"/>
                <w:color w:val="auto"/>
              </w:rPr>
            </w:pPr>
            <w:r>
              <w:rPr>
                <w:rFonts w:ascii="Courier New" w:cs="Courier New" w:eastAsia="Courier New" w:hAnsi="Courier New"/>
                <w:sz w:val="16"/>
                <w:szCs w:val="16"/>
                <w:color w:val="auto"/>
              </w:rPr>
              <w:t>Annual Compensation</w:t>
            </w:r>
          </w:p>
        </w:tc>
        <w:tc>
          <w:tcPr>
            <w:tcW w:w="20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Compensation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0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Awards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40" w:type="dxa"/>
            <w:vAlign w:val="bottom"/>
            <w:vMerge w:val="restart"/>
          </w:tcPr>
          <w:p>
            <w:pPr>
              <w:jc w:val="center"/>
              <w:ind w:right="119"/>
              <w:spacing w:after="0"/>
              <w:rPr>
                <w:sz w:val="20"/>
                <w:szCs w:val="20"/>
                <w:color w:val="auto"/>
              </w:rPr>
            </w:pPr>
            <w:r>
              <w:rPr>
                <w:rFonts w:ascii="Courier New" w:cs="Courier New" w:eastAsia="Courier New" w:hAnsi="Courier New"/>
                <w:sz w:val="16"/>
                <w:szCs w:val="16"/>
                <w:color w:val="auto"/>
                <w:w w:val="97"/>
              </w:rPr>
              <w:t>(a)</w:t>
            </w:r>
          </w:p>
        </w:tc>
        <w:tc>
          <w:tcPr>
            <w:tcW w:w="6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(b)</w:t>
            </w:r>
          </w:p>
        </w:tc>
        <w:tc>
          <w:tcPr>
            <w:tcW w:w="484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1180" w:type="dxa"/>
            <w:vAlign w:val="bottom"/>
            <w:vMerge w:val="restart"/>
          </w:tcPr>
          <w:p>
            <w:pPr>
              <w:jc w:val="center"/>
              <w:ind w:right="19"/>
              <w:spacing w:after="0"/>
              <w:rPr>
                <w:sz w:val="20"/>
                <w:szCs w:val="20"/>
                <w:color w:val="auto"/>
              </w:rPr>
            </w:pPr>
            <w:r>
              <w:rPr>
                <w:rFonts w:ascii="Courier New" w:cs="Courier New" w:eastAsia="Courier New" w:hAnsi="Courier New"/>
                <w:sz w:val="16"/>
                <w:szCs w:val="16"/>
                <w:color w:val="auto"/>
                <w:w w:val="97"/>
              </w:rPr>
              <w:t>(i)</w:t>
            </w: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540" w:type="dxa"/>
            <w:vAlign w:val="bottom"/>
          </w:tcPr>
          <w:p>
            <w:pPr>
              <w:ind w:left="260"/>
              <w:spacing w:after="0"/>
              <w:rPr>
                <w:sz w:val="20"/>
                <w:szCs w:val="20"/>
                <w:color w:val="auto"/>
              </w:rPr>
            </w:pPr>
            <w:r>
              <w:rPr>
                <w:rFonts w:ascii="Courier New" w:cs="Courier New" w:eastAsia="Courier New" w:hAnsi="Courier New"/>
                <w:sz w:val="16"/>
                <w:szCs w:val="16"/>
                <w:color w:val="auto"/>
                <w:w w:val="90"/>
              </w:rPr>
              <w:t>(c)</w:t>
            </w:r>
          </w:p>
        </w:tc>
        <w:tc>
          <w:tcPr>
            <w:tcW w:w="1080" w:type="dxa"/>
            <w:vAlign w:val="bottom"/>
          </w:tcPr>
          <w:p>
            <w:pPr>
              <w:jc w:val="center"/>
              <w:ind w:left="319"/>
              <w:spacing w:after="0"/>
              <w:rPr>
                <w:sz w:val="20"/>
                <w:szCs w:val="20"/>
                <w:color w:val="auto"/>
              </w:rPr>
            </w:pPr>
            <w:r>
              <w:rPr>
                <w:rFonts w:ascii="Courier New" w:cs="Courier New" w:eastAsia="Courier New" w:hAnsi="Courier New"/>
                <w:sz w:val="16"/>
                <w:szCs w:val="16"/>
                <w:color w:val="auto"/>
                <w:w w:val="97"/>
              </w:rPr>
              <w:t>(d)</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(f)</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ind w:left="180"/>
              <w:spacing w:after="0"/>
              <w:rPr>
                <w:sz w:val="20"/>
                <w:szCs w:val="20"/>
                <w:color w:val="auto"/>
              </w:rPr>
            </w:pPr>
            <w:r>
              <w:rPr>
                <w:rFonts w:ascii="Courier New" w:cs="Courier New" w:eastAsia="Courier New" w:hAnsi="Courier New"/>
                <w:sz w:val="16"/>
                <w:szCs w:val="16"/>
                <w:color w:val="auto"/>
              </w:rPr>
              <w:t>Restricted</w:t>
            </w:r>
          </w:p>
        </w:tc>
        <w:tc>
          <w:tcPr>
            <w:tcW w:w="820" w:type="dxa"/>
            <w:vAlign w:val="bottom"/>
          </w:tcPr>
          <w:p>
            <w:pPr>
              <w:spacing w:after="0"/>
              <w:rPr>
                <w:sz w:val="16"/>
                <w:szCs w:val="16"/>
                <w:color w:val="auto"/>
              </w:rPr>
            </w:pPr>
          </w:p>
        </w:tc>
        <w:tc>
          <w:tcPr>
            <w:tcW w:w="1180" w:type="dxa"/>
            <w:vAlign w:val="bottom"/>
            <w:vMerge w:val="restart"/>
          </w:tcPr>
          <w:p>
            <w:pPr>
              <w:jc w:val="center"/>
              <w:ind w:right="19"/>
              <w:spacing w:after="0"/>
              <w:rPr>
                <w:sz w:val="20"/>
                <w:szCs w:val="20"/>
                <w:color w:val="auto"/>
              </w:rPr>
            </w:pPr>
            <w:r>
              <w:rPr>
                <w:rFonts w:ascii="Courier New" w:cs="Courier New" w:eastAsia="Courier New" w:hAnsi="Courier New"/>
                <w:sz w:val="16"/>
                <w:szCs w:val="16"/>
                <w:color w:val="auto"/>
              </w:rPr>
              <w:t>All Other</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gridSpan w:val="2"/>
            <w:vMerge w:val="restart"/>
          </w:tcPr>
          <w:p>
            <w:pPr>
              <w:ind w:left="160"/>
              <w:spacing w:after="0"/>
              <w:rPr>
                <w:sz w:val="20"/>
                <w:szCs w:val="20"/>
                <w:color w:val="auto"/>
              </w:rPr>
            </w:pPr>
            <w:r>
              <w:rPr>
                <w:rFonts w:ascii="Courier New" w:cs="Courier New" w:eastAsia="Courier New" w:hAnsi="Courier New"/>
                <w:sz w:val="16"/>
                <w:szCs w:val="16"/>
                <w:color w:val="auto"/>
              </w:rPr>
              <w:t>Salary</w:t>
            </w:r>
          </w:p>
        </w:tc>
        <w:tc>
          <w:tcPr>
            <w:tcW w:w="1180" w:type="dxa"/>
            <w:vAlign w:val="bottom"/>
          </w:tcPr>
          <w:p>
            <w:pPr>
              <w:ind w:left="400"/>
              <w:spacing w:after="0"/>
              <w:rPr>
                <w:sz w:val="20"/>
                <w:szCs w:val="20"/>
                <w:color w:val="auto"/>
              </w:rPr>
            </w:pPr>
            <w:r>
              <w:rPr>
                <w:rFonts w:ascii="Courier New" w:cs="Courier New" w:eastAsia="Courier New" w:hAnsi="Courier New"/>
                <w:sz w:val="16"/>
                <w:szCs w:val="16"/>
                <w:color w:val="auto"/>
              </w:rPr>
              <w:t>Annual</w:t>
            </w: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Stock</w:t>
            </w:r>
          </w:p>
        </w:tc>
        <w:tc>
          <w:tcPr>
            <w:tcW w:w="8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Compensation Awards(s)</w:t>
            </w:r>
          </w:p>
        </w:tc>
        <w:tc>
          <w:tcPr>
            <w:tcW w:w="20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Options Compensation</w:t>
            </w:r>
          </w:p>
        </w:tc>
        <w:tc>
          <w:tcPr>
            <w:tcW w:w="0" w:type="dxa"/>
            <w:vAlign w:val="bottom"/>
          </w:tcPr>
          <w:p>
            <w:pPr>
              <w:spacing w:after="0"/>
              <w:rPr>
                <w:sz w:val="1"/>
                <w:szCs w:val="1"/>
                <w:color w:val="auto"/>
              </w:rPr>
            </w:pPr>
          </w:p>
        </w:tc>
      </w:tr>
      <w:tr>
        <w:trPr>
          <w:trHeight w:val="188"/>
        </w:trPr>
        <w:tc>
          <w:tcPr>
            <w:tcW w:w="2840" w:type="dxa"/>
            <w:vAlign w:val="bottom"/>
            <w:vMerge w:val="restart"/>
          </w:tcPr>
          <w:p>
            <w:pPr>
              <w:jc w:val="center"/>
              <w:ind w:right="119"/>
              <w:spacing w:after="0"/>
              <w:rPr>
                <w:sz w:val="20"/>
                <w:szCs w:val="20"/>
                <w:color w:val="auto"/>
              </w:rPr>
            </w:pPr>
            <w:r>
              <w:rPr>
                <w:rFonts w:ascii="Courier New" w:cs="Courier New" w:eastAsia="Courier New" w:hAnsi="Courier New"/>
                <w:sz w:val="16"/>
                <w:szCs w:val="16"/>
                <w:color w:val="auto"/>
              </w:rPr>
              <w:t>Name and Principal Position</w:t>
            </w:r>
          </w:p>
        </w:tc>
        <w:tc>
          <w:tcPr>
            <w:tcW w:w="6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Year</w:t>
            </w:r>
          </w:p>
        </w:tc>
        <w:tc>
          <w:tcPr>
            <w:tcW w:w="540" w:type="dxa"/>
            <w:vAlign w:val="bottom"/>
          </w:tcPr>
          <w:p>
            <w:pPr>
              <w:ind w:left="260"/>
              <w:spacing w:after="0"/>
              <w:rPr>
                <w:sz w:val="20"/>
                <w:szCs w:val="20"/>
                <w:color w:val="auto"/>
              </w:rPr>
            </w:pPr>
            <w:r>
              <w:rPr>
                <w:rFonts w:ascii="Courier New" w:cs="Courier New" w:eastAsia="Courier New" w:hAnsi="Courier New"/>
                <w:sz w:val="16"/>
                <w:szCs w:val="16"/>
                <w:color w:val="auto"/>
                <w:w w:val="90"/>
              </w:rPr>
              <w:t>(A)</w:t>
            </w:r>
          </w:p>
        </w:tc>
        <w:tc>
          <w:tcPr>
            <w:tcW w:w="1080" w:type="dxa"/>
            <w:vAlign w:val="bottom"/>
          </w:tcPr>
          <w:p>
            <w:pPr>
              <w:jc w:val="center"/>
              <w:ind w:left="319"/>
              <w:spacing w:after="0"/>
              <w:rPr>
                <w:sz w:val="20"/>
                <w:szCs w:val="20"/>
                <w:color w:val="auto"/>
              </w:rPr>
            </w:pPr>
            <w:r>
              <w:rPr>
                <w:rFonts w:ascii="Courier New" w:cs="Courier New" w:eastAsia="Courier New" w:hAnsi="Courier New"/>
                <w:sz w:val="16"/>
                <w:szCs w:val="16"/>
                <w:color w:val="auto"/>
                <w:w w:val="99"/>
              </w:rPr>
              <w:t>Bonus</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(C)</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11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7"/>
              </w:rPr>
              <w:t>(E)</w:t>
            </w:r>
          </w:p>
        </w:tc>
        <w:tc>
          <w:tcPr>
            <w:tcW w:w="0" w:type="dxa"/>
            <w:vAlign w:val="bottom"/>
          </w:tcPr>
          <w:p>
            <w:pPr>
              <w:spacing w:after="0"/>
              <w:rPr>
                <w:sz w:val="1"/>
                <w:szCs w:val="1"/>
                <w:color w:val="auto"/>
              </w:rPr>
            </w:pPr>
          </w:p>
        </w:tc>
      </w:tr>
      <w:tr>
        <w:trPr>
          <w:trHeight w:val="218"/>
        </w:trPr>
        <w:tc>
          <w:tcPr>
            <w:tcW w:w="28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40" w:type="dxa"/>
            <w:vAlign w:val="bottom"/>
          </w:tcPr>
          <w:p>
            <w:pPr>
              <w:ind w:left="260"/>
              <w:spacing w:after="0"/>
              <w:rPr>
                <w:sz w:val="20"/>
                <w:szCs w:val="20"/>
                <w:color w:val="auto"/>
              </w:rPr>
            </w:pPr>
            <w:r>
              <w:rPr>
                <w:rFonts w:ascii="Courier New" w:cs="Courier New" w:eastAsia="Courier New" w:hAnsi="Courier New"/>
                <w:sz w:val="16"/>
                <w:szCs w:val="16"/>
                <w:color w:val="auto"/>
                <w:w w:val="90"/>
              </w:rPr>
              <w:t>($)</w:t>
            </w:r>
          </w:p>
        </w:tc>
        <w:tc>
          <w:tcPr>
            <w:tcW w:w="1080" w:type="dxa"/>
            <w:vAlign w:val="bottom"/>
          </w:tcPr>
          <w:p>
            <w:pPr>
              <w:jc w:val="center"/>
              <w:ind w:left="31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Steven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J.</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Guttman(1)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$ 980,000</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$226,000(F)</w:t>
            </w:r>
          </w:p>
        </w:tc>
        <w:tc>
          <w:tcPr>
            <w:tcW w:w="0" w:type="dxa"/>
            <w:vAlign w:val="bottom"/>
          </w:tcPr>
          <w:p>
            <w:pPr>
              <w:spacing w:after="0"/>
              <w:rPr>
                <w:sz w:val="1"/>
                <w:szCs w:val="1"/>
                <w:color w:val="auto"/>
              </w:rPr>
            </w:pP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President</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&amp; Chief Executive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529,000</w:t>
            </w:r>
          </w:p>
        </w:tc>
        <w:tc>
          <w:tcPr>
            <w:tcW w:w="9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366,000</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800,000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217,000(F)</w:t>
            </w:r>
          </w:p>
        </w:tc>
        <w:tc>
          <w:tcPr>
            <w:tcW w:w="0" w:type="dxa"/>
            <w:vAlign w:val="bottom"/>
          </w:tcPr>
          <w:p>
            <w:pPr>
              <w:spacing w:after="0"/>
              <w:rPr>
                <w:sz w:val="1"/>
                <w:szCs w:val="1"/>
                <w:color w:val="auto"/>
              </w:rPr>
            </w:pPr>
          </w:p>
        </w:tc>
      </w:tr>
      <w:tr>
        <w:trPr>
          <w:trHeight w:val="188"/>
        </w:trPr>
        <w:tc>
          <w:tcPr>
            <w:tcW w:w="9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Officer</w:t>
            </w:r>
          </w:p>
        </w:tc>
        <w:tc>
          <w:tcPr>
            <w:tcW w:w="2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529,000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235,000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229,000(F)</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Howard</w:t>
            </w:r>
          </w:p>
        </w:tc>
        <w:tc>
          <w:tcPr>
            <w:tcW w:w="2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 Biel(2)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292,000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225,000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12,000</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Senior</w:t>
            </w:r>
          </w:p>
        </w:tc>
        <w:tc>
          <w:tcPr>
            <w:tcW w:w="2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&amp;</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Managing Director of</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Development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250,000</w:t>
            </w:r>
          </w:p>
        </w:tc>
        <w:tc>
          <w:tcPr>
            <w:tcW w:w="94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125,000</w:t>
            </w:r>
          </w:p>
        </w:tc>
        <w:tc>
          <w:tcPr>
            <w:tcW w:w="9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100,000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34,000(F)</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Nathan</w:t>
            </w:r>
          </w:p>
        </w:tc>
        <w:tc>
          <w:tcPr>
            <w:tcW w:w="2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 Fishkin(3)</w:t>
            </w: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Senior</w:t>
            </w:r>
          </w:p>
        </w:tc>
        <w:tc>
          <w:tcPr>
            <w:tcW w:w="2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200,000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165,000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339,000</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27,000(F)</w:t>
            </w:r>
          </w:p>
        </w:tc>
        <w:tc>
          <w:tcPr>
            <w:tcW w:w="0" w:type="dxa"/>
            <w:vAlign w:val="bottom"/>
          </w:tcPr>
          <w:p>
            <w:pPr>
              <w:spacing w:after="0"/>
              <w:rPr>
                <w:sz w:val="1"/>
                <w:szCs w:val="1"/>
                <w:color w:val="auto"/>
              </w:rPr>
            </w:pPr>
          </w:p>
        </w:tc>
      </w:tr>
      <w:tr>
        <w:trPr>
          <w:trHeight w:val="188"/>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rPr>
              <w:t>Acquisitions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159,000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150,000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25,000(F)</w:t>
            </w:r>
          </w:p>
        </w:tc>
        <w:tc>
          <w:tcPr>
            <w:tcW w:w="0" w:type="dxa"/>
            <w:vAlign w:val="bottom"/>
          </w:tcPr>
          <w:p>
            <w:pPr>
              <w:spacing w:after="0"/>
              <w:rPr>
                <w:sz w:val="1"/>
                <w:szCs w:val="1"/>
                <w:color w:val="auto"/>
              </w:rPr>
            </w:pPr>
          </w:p>
        </w:tc>
      </w:tr>
      <w:tr>
        <w:trPr>
          <w:trHeight w:val="188"/>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rPr>
              <w:t>Ron D. Kaplan(4)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280,000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135,000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1,609,000</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75,000(G)</w:t>
            </w:r>
          </w:p>
        </w:tc>
        <w:tc>
          <w:tcPr>
            <w:tcW w:w="0" w:type="dxa"/>
            <w:vAlign w:val="bottom"/>
          </w:tcPr>
          <w:p>
            <w:pPr>
              <w:spacing w:after="0"/>
              <w:rPr>
                <w:sz w:val="1"/>
                <w:szCs w:val="1"/>
                <w:color w:val="auto"/>
              </w:rPr>
            </w:pPr>
          </w:p>
        </w:tc>
      </w:tr>
      <w:tr>
        <w:trPr>
          <w:trHeight w:val="188"/>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rPr>
              <w:t>Senior Vice President, Capital</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285,000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140,000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490,000</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72,000(G)</w:t>
            </w:r>
          </w:p>
        </w:tc>
        <w:tc>
          <w:tcPr>
            <w:tcW w:w="0" w:type="dxa"/>
            <w:vAlign w:val="bottom"/>
          </w:tcPr>
          <w:p>
            <w:pPr>
              <w:spacing w:after="0"/>
              <w:rPr>
                <w:sz w:val="1"/>
                <w:szCs w:val="1"/>
                <w:color w:val="auto"/>
              </w:rPr>
            </w:pPr>
          </w:p>
        </w:tc>
      </w:tr>
      <w:tr>
        <w:trPr>
          <w:trHeight w:val="188"/>
        </w:trPr>
        <w:tc>
          <w:tcPr>
            <w:tcW w:w="3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Markets, Chief</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201,000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70,000(G)</w:t>
            </w:r>
          </w:p>
        </w:tc>
        <w:tc>
          <w:tcPr>
            <w:tcW w:w="0" w:type="dxa"/>
            <w:vAlign w:val="bottom"/>
          </w:tcPr>
          <w:p>
            <w:pPr>
              <w:spacing w:after="0"/>
              <w:rPr>
                <w:sz w:val="1"/>
                <w:szCs w:val="1"/>
                <w:color w:val="auto"/>
              </w:rPr>
            </w:pPr>
          </w:p>
        </w:tc>
      </w:tr>
      <w:tr>
        <w:trPr>
          <w:trHeight w:val="188"/>
        </w:trPr>
        <w:tc>
          <w:tcPr>
            <w:tcW w:w="3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Investment Officer</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155,000</w:t>
            </w:r>
          </w:p>
        </w:tc>
        <w:tc>
          <w:tcPr>
            <w:tcW w:w="94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55,000</w:t>
            </w:r>
          </w:p>
        </w:tc>
        <w:tc>
          <w:tcPr>
            <w:tcW w:w="9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50,000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16,000(F)</w:t>
            </w:r>
          </w:p>
        </w:tc>
        <w:tc>
          <w:tcPr>
            <w:tcW w:w="0" w:type="dxa"/>
            <w:vAlign w:val="bottom"/>
          </w:tcPr>
          <w:p>
            <w:pPr>
              <w:spacing w:after="0"/>
              <w:rPr>
                <w:sz w:val="1"/>
                <w:szCs w:val="1"/>
                <w:color w:val="auto"/>
              </w:rPr>
            </w:pPr>
          </w:p>
        </w:tc>
      </w:tr>
      <w:tr>
        <w:trPr>
          <w:trHeight w:val="188"/>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rPr>
              <w:t>Cecily A. Ward</w:t>
            </w: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rPr>
              <w:t>Vice President, Controller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140,000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14,000(F)</w:t>
            </w:r>
          </w:p>
        </w:tc>
        <w:tc>
          <w:tcPr>
            <w:tcW w:w="0" w:type="dxa"/>
            <w:vAlign w:val="bottom"/>
          </w:tcPr>
          <w:p>
            <w:pPr>
              <w:spacing w:after="0"/>
              <w:rPr>
                <w:sz w:val="1"/>
                <w:szCs w:val="1"/>
                <w:color w:val="auto"/>
              </w:rPr>
            </w:pPr>
          </w:p>
        </w:tc>
      </w:tr>
      <w:tr>
        <w:trPr>
          <w:trHeight w:val="188"/>
        </w:trPr>
        <w:tc>
          <w:tcPr>
            <w:tcW w:w="3040" w:type="dxa"/>
            <w:vAlign w:val="bottom"/>
            <w:gridSpan w:val="3"/>
            <w:vMerge w:val="restart"/>
          </w:tcPr>
          <w:p>
            <w:pPr>
              <w:spacing w:after="0"/>
              <w:rPr>
                <w:sz w:val="20"/>
                <w:szCs w:val="20"/>
                <w:color w:val="auto"/>
              </w:rPr>
            </w:pPr>
            <w:r>
              <w:rPr>
                <w:rFonts w:ascii="Courier New" w:cs="Courier New" w:eastAsia="Courier New" w:hAnsi="Courier New"/>
                <w:sz w:val="16"/>
                <w:szCs w:val="16"/>
                <w:color w:val="auto"/>
              </w:rPr>
              <w:t>Donald C. Wood(5)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127,000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45,000</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13,000(F)</w:t>
            </w:r>
          </w:p>
        </w:tc>
        <w:tc>
          <w:tcPr>
            <w:tcW w:w="0" w:type="dxa"/>
            <w:vAlign w:val="bottom"/>
          </w:tcPr>
          <w:p>
            <w:pPr>
              <w:spacing w:after="0"/>
              <w:rPr>
                <w:sz w:val="1"/>
                <w:szCs w:val="1"/>
                <w:color w:val="auto"/>
              </w:rPr>
            </w:pPr>
          </w:p>
        </w:tc>
      </w:tr>
      <w:tr>
        <w:trPr>
          <w:trHeight w:val="188"/>
        </w:trPr>
        <w:tc>
          <w:tcPr>
            <w:tcW w:w="3040" w:type="dxa"/>
            <w:vAlign w:val="bottom"/>
            <w:gridSpan w:val="3"/>
            <w:vMerge w:val="continue"/>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189,000</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125,000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92,000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253,000</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188"/>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rPr>
              <w:t>Senior Vice President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Finance &amp; Treasurer</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 w:lineRule="exact"/>
        <w:rPr>
          <w:sz w:val="20"/>
          <w:szCs w:val="20"/>
          <w:color w:val="auto"/>
        </w:rPr>
      </w:pPr>
    </w:p>
    <w:p>
      <w:pPr>
        <w:ind w:left="400" w:right="2699" w:hanging="400"/>
        <w:spacing w:after="0" w:line="248"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1998 Mr. Guttman received 24,534 Shares valued at $632,000 in lieu of his 1998 cash salary of $475,000. In February 1999 Mr. Guttman received 16,734 Shares valued at $352,000 in lieu of a cash bonus of $265,000 for 1998. The terms of these arrangements are described below in "Employment Agreements, Termination of Employment and Change in Control Arrangements".</w:t>
      </w:r>
    </w:p>
    <w:p>
      <w:pPr>
        <w:spacing w:after="0" w:line="3"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Biel commenced employment with the Trust in January 1998.</w:t>
      </w:r>
    </w:p>
    <w:p>
      <w:pPr>
        <w:spacing w:after="0" w:line="6" w:lineRule="exact"/>
        <w:rPr>
          <w:rFonts w:ascii="Courier New" w:cs="Courier New" w:eastAsia="Courier New" w:hAnsi="Courier New"/>
          <w:sz w:val="16"/>
          <w:szCs w:val="16"/>
          <w:color w:val="auto"/>
        </w:rPr>
      </w:pPr>
    </w:p>
    <w:p>
      <w:pPr>
        <w:ind w:left="400" w:right="2699" w:hanging="400"/>
        <w:spacing w:after="0" w:line="248"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Fishkin ceased serving as an executive officer on October 30, 1998. The $125,000 cash bonus for 1998 was paid in accordance with an agreement with Mr. Fishkin which is described below in "Employment Agreements; Termination of Employment and Change in Control Arrangements."</w:t>
      </w:r>
    </w:p>
    <w:p>
      <w:pPr>
        <w:spacing w:after="0" w:line="2"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1998 Mr. Kaplan was awarded a Restricted Share Award of 62,500 Shares valued at $1,609,000 which vests over an eight-year period assuming continued service to the Trust. The terms of this arrangement are described below in "Employment Agreements; Termination of Employment and Change in Control Arrangements."</w:t>
      </w:r>
    </w:p>
    <w:p>
      <w:pPr>
        <w:spacing w:after="0" w:line="3"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Wood commenced employment with the Trust in May 1998. On May 7, 1998, Mr. Wood was awarded a Restricted Share Award of 10,000 Shares, which will</w:t>
      </w:r>
    </w:p>
    <w:p>
      <w:pPr>
        <w:spacing w:after="0" w:line="1" w:lineRule="exact"/>
        <w:rPr>
          <w:sz w:val="20"/>
          <w:szCs w:val="20"/>
          <w:color w:val="auto"/>
        </w:rPr>
      </w:pPr>
    </w:p>
    <w:p>
      <w:pPr>
        <w:jc w:val="both"/>
        <w:ind w:left="400" w:right="2699"/>
        <w:spacing w:after="0" w:line="248" w:lineRule="auto"/>
        <w:rPr>
          <w:sz w:val="20"/>
          <w:szCs w:val="20"/>
          <w:color w:val="auto"/>
        </w:rPr>
      </w:pPr>
      <w:r>
        <w:rPr>
          <w:rFonts w:ascii="Courier New" w:cs="Courier New" w:eastAsia="Courier New" w:hAnsi="Courier New"/>
          <w:sz w:val="16"/>
          <w:szCs w:val="16"/>
          <w:color w:val="auto"/>
        </w:rPr>
        <w:t>vest over a five-year period, valued at $253,000. The terms of this award are described below in "Employment Agreements; Termination of Employment and Change in Control Arrangements."</w:t>
      </w:r>
    </w:p>
    <w:p>
      <w:pPr>
        <w:spacing w:after="0" w:line="2" w:lineRule="exact"/>
        <w:rPr>
          <w:sz w:val="20"/>
          <w:szCs w:val="20"/>
          <w:color w:val="auto"/>
        </w:rPr>
      </w:pPr>
    </w:p>
    <w:p>
      <w:pPr>
        <w:ind w:left="400" w:right="2879" w:hanging="400"/>
        <w:spacing w:after="0" w:line="277"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include amounts deferred at the election of the named officer pursuant to plans available to substantially all employees and pursuant to a non-qualified deferred compensation plan available to all officers.</w:t>
      </w:r>
    </w:p>
    <w:p>
      <w:pPr>
        <w:spacing w:after="0" w:line="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0" w:right="1440" w:bottom="1440" w:gutter="0" w:footer="0" w:header="0"/>
        </w:sectPr>
      </w:pPr>
    </w:p>
    <w:bookmarkStart w:id="8" w:name="page9"/>
    <w:bookmarkEnd w:id="8"/>
    <w:p>
      <w:pPr>
        <w:ind w:left="400" w:hanging="400"/>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Wood received $82,000 for moving expenses and a $10,000 car allowance.</w:t>
      </w:r>
    </w:p>
    <w:p>
      <w:pPr>
        <w:spacing w:after="0" w:line="36"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are paid on Restricted Stock.</w:t>
      </w:r>
    </w:p>
    <w:p>
      <w:pPr>
        <w:spacing w:after="0" w:line="6" w:lineRule="exact"/>
        <w:rPr>
          <w:rFonts w:ascii="Courier New" w:cs="Courier New" w:eastAsia="Courier New" w:hAnsi="Courier New"/>
          <w:sz w:val="16"/>
          <w:szCs w:val="16"/>
          <w:color w:val="auto"/>
        </w:rPr>
      </w:pPr>
    </w:p>
    <w:p>
      <w:pPr>
        <w:ind w:left="400" w:right="2799" w:hanging="400"/>
        <w:spacing w:after="0" w:line="248"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exercise price is equal to the fair market value of the Shares on the date of grant.</w:t>
      </w:r>
    </w:p>
    <w:p>
      <w:pPr>
        <w:spacing w:after="0" w:line="1"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for the last fiscal year include the following: (i) Mr. Guttman: $10,000--Trust paid group term life insurance; $4,000--Trust paid annuity contract premium; $13,000-- interest that would have been payable on interest-free loan made in connection with split-dollar life insurance agreement; $10,000--Trust paid long-term disability insurance premium; and $189,000--deferred compensation from forgiveness of loans as described below in (F); (ii) Mr. Biel: $5,000--Trust paid group term life insurance; $5,000--interest that would have been payable on interest-free loan made in connection with split-dollar life insurance agreement; $2,000--Trust paid long-term disability insurance premium;</w:t>
      </w:r>
    </w:p>
    <w:p>
      <w:pPr>
        <w:spacing w:after="0" w:line="6" w:lineRule="exact"/>
        <w:rPr>
          <w:rFonts w:ascii="Courier New" w:cs="Courier New" w:eastAsia="Courier New" w:hAnsi="Courier New"/>
          <w:sz w:val="16"/>
          <w:szCs w:val="16"/>
          <w:color w:val="auto"/>
        </w:rPr>
      </w:pPr>
    </w:p>
    <w:p>
      <w:pPr>
        <w:ind w:left="400" w:right="2599" w:hanging="9"/>
        <w:spacing w:after="0" w:line="248" w:lineRule="auto"/>
        <w:tabs>
          <w:tab w:leader="none" w:pos="98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Fishkin: $2,000--Trust paid group term life insurance; $5,000-- interest that would have been payable on interest-free loan made in connection with split-dollar life insurance agreement; $4,000--Trust paid long-term disability insurance premium; $4,000--Trust contribution to Section 401(k) Plan and the deferred compensation Plan; $19,000--deferred compensation from forgiveness of loans as described below in (F); (iv) Mr. Kaplan: $1,000--Trust paid group term life insurance; $3,000--interest that would have been payable on interest-free loan made in connection with split-dollar life insurance agreement; $5,000--Trust contribution to Section 401(k) Plan and the deferred compensation plan; $3,000--Trust paid long-term disability insurance premium; $63,000--deferred compensation from forgiveness of loans as described below in (G); (v) Ms. Ward: $2,000--group term life insurance premium; $4,000--Trust contribution to Section 401(k) Plan; $2,000--Trust paid long-term disability insurance premium; and $8,000--deferred compensation from forgiveness of loans as described below in (F); and (vi) Mr. Wood: $1,000--Trust paid group term life insurance; $3,000--interest that would have been payable on interest-free loan made in connection with split-dollar life insurance agreement; $1,000--Trust paid long-term disability insurance premium.</w:t>
      </w:r>
    </w:p>
    <w:p>
      <w:pPr>
        <w:spacing w:after="0" w:line="12"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1991, Mr. Guttman, Mr. Fishkin and Ms. Ward were awarded the opportunity to purchase Shares of the Trust and the Trust made available loans for 100% of the purchase price. One-half of the loan was originally scheduled to be forgiven, by forgiving one-sixteenth each January 31, over an eight-year period so long as the officer was employed by the Trust. The Trust and the named officers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were also modified during 1994 so that they are due on January 31, 2004.</w:t>
      </w:r>
    </w:p>
    <w:p>
      <w:pPr>
        <w:spacing w:after="0" w:line="10" w:lineRule="exact"/>
        <w:rPr>
          <w:rFonts w:ascii="Courier New" w:cs="Courier New" w:eastAsia="Courier New" w:hAnsi="Courier New"/>
          <w:sz w:val="16"/>
          <w:szCs w:val="16"/>
          <w:color w:val="auto"/>
        </w:rPr>
      </w:pPr>
    </w:p>
    <w:p>
      <w:pPr>
        <w:ind w:left="400" w:right="2799" w:hanging="400"/>
        <w:spacing w:after="0" w:line="270"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1993, the Trust awarded Mr. Kaplan the opportunity to purchase 40,000 Shares as of January 1, 1994 at the closing price of $25 per share on December 31, 1993. The Trust loaned Mr. Kaplan 100% of the purchase price for a term of 12 years. Forgiveness of Mr. Kaplan's loan is subject to the same performance measures described above in (F).</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 Compensation; Attendance; Legal Proceedings</w:t>
      </w:r>
    </w:p>
    <w:p>
      <w:pPr>
        <w:spacing w:after="0" w:line="195"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Trustees' fees are paid to Trustees other than Mr. Guttman. In accordance with the provisions of the Amended Plan, Trustees' fees are payable in cash or Shares or a combination of both, at the election of the Trustee; the Trust issued Shares for 53% of the Trustees' fees paid in 1998. The annual Trustee fee for 1998 was $25,000. Each Trustee was paid the fee based on the number of months during the year he/she served as a Trustee. The annual fee in 1998 for service on the Compensation Committee was $2,500 and $3,000 for service</w:t>
      </w:r>
    </w:p>
    <w:p>
      <w:pPr>
        <w:spacing w:after="0" w:line="8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0" w:right="1440" w:bottom="1440" w:gutter="0" w:footer="0" w:header="0"/>
        </w:sectPr>
      </w:pPr>
    </w:p>
    <w:bookmarkStart w:id="9" w:name="page10"/>
    <w:bookmarkEnd w:id="9"/>
    <w:p>
      <w:pPr>
        <w:ind w:right="2599"/>
        <w:spacing w:after="0" w:line="266" w:lineRule="auto"/>
        <w:rPr>
          <w:sz w:val="20"/>
          <w:szCs w:val="20"/>
          <w:color w:val="auto"/>
        </w:rPr>
      </w:pPr>
      <w:r>
        <w:rPr>
          <w:rFonts w:ascii="Courier New" w:cs="Courier New" w:eastAsia="Courier New" w:hAnsi="Courier New"/>
          <w:sz w:val="16"/>
          <w:szCs w:val="16"/>
          <w:color w:val="auto"/>
        </w:rPr>
        <w:t>as its Chairman. The annual fee in 1998 for service on the Audit Committee was $2,000 and $2,500 for service as its Chairman. Committee fees were also prorated based on the number of months of service. In accordance with the Amended Plan, as of the date of the 1998 Annual Meeting of Shareholders, each non-employee Trustee received an option to purchase 2,500 Shares at an exercise price of $25.25. Pursuant to a consulting agreement, Mr. Gorlitz provides consulting services to the Trust and is paid an annual consulting fee of $120,000.</w:t>
      </w:r>
    </w:p>
    <w:p>
      <w:pPr>
        <w:spacing w:after="0" w:line="84" w:lineRule="exact"/>
        <w:rPr>
          <w:sz w:val="20"/>
          <w:szCs w:val="20"/>
          <w:color w:val="auto"/>
        </w:rPr>
      </w:pPr>
    </w:p>
    <w:p>
      <w:pPr>
        <w:ind w:right="3379"/>
        <w:spacing w:after="0" w:line="373" w:lineRule="auto"/>
        <w:rPr>
          <w:sz w:val="20"/>
          <w:szCs w:val="20"/>
          <w:color w:val="auto"/>
        </w:rPr>
      </w:pPr>
      <w:r>
        <w:rPr>
          <w:rFonts w:ascii="Courier New" w:cs="Courier New" w:eastAsia="Courier New" w:hAnsi="Courier New"/>
          <w:sz w:val="16"/>
          <w:szCs w:val="16"/>
          <w:color w:val="auto"/>
        </w:rPr>
        <w:t>Employment Agreements; Termination of Employment and Change in Control Arrangements</w:t>
      </w:r>
    </w:p>
    <w:p>
      <w:pPr>
        <w:ind w:right="2599" w:firstLine="196"/>
        <w:spacing w:after="0" w:line="253" w:lineRule="auto"/>
        <w:rPr>
          <w:sz w:val="20"/>
          <w:szCs w:val="20"/>
          <w:color w:val="auto"/>
        </w:rPr>
      </w:pPr>
      <w:r>
        <w:rPr>
          <w:rFonts w:ascii="Courier New" w:cs="Courier New" w:eastAsia="Courier New" w:hAnsi="Courier New"/>
          <w:sz w:val="16"/>
          <w:szCs w:val="16"/>
          <w:color w:val="auto"/>
        </w:rPr>
        <w:t>The Trust has an amended and restated employment agreement with Mr. Guttman which provides, among other things, that his salary may not be decreased below its then-current level and is increased on January 1 of each year by 50% of any increase in the Consumer Price Index ("CPI") for the prior year and that Mr. Guttman is eligible to receive an annual bonus, in the Board of Trustees' discretion, of up to 120% of his salary. Mr. Guttman agreed to forgo any base salary increase in 1999. The agreement provides for a three-year term of employment to be automatically renewed at the end of each month unless either party notifies the other that it has elected not to extend the term. The Trust may terminate Mr. Guttman's employment if he is totally disabled for at least six consecutive months, in which case Mr. Guttman is entitled to receive each month for a three-year period the difference, if any, between the monthly payments he receives under the disability insurance policies the Trust maintains on his behalf and his base monthly salary. The Trust may terminate Mr. Guttman's employment for cause (as defined in the agreement) without payment to Mr. Guttman. Mr. Guttman may terminate his employment under certain circumstances, including if his responsibilities are materially modified without his written consent, a change in control occurs (as defined in the agreement), the Trust relocates its principal office outside the Washington, D.C. area, he is not reappointed as a member of the Trust's Board of Trustees, a Chairman of the Trust's Board of Trustees is appointed other than Mr. Guttman, or his employment agreement is not assumed by a successor to the Trust. If Mr. Guttman so terminates his employment, he is entitled to receive the compensation he would have otherwise received (including bonuses) for the remaining term of the employment agreement. Mr. Guttman may also terminate his employment for any other reason upon at least six months notice, in which case the Trust's obligation to pay compensation to him ceases on the effective date of termination.</w:t>
      </w:r>
    </w:p>
    <w:p>
      <w:pPr>
        <w:spacing w:after="0" w:line="101" w:lineRule="exact"/>
        <w:rPr>
          <w:sz w:val="20"/>
          <w:szCs w:val="20"/>
          <w:color w:val="auto"/>
        </w:rPr>
      </w:pPr>
    </w:p>
    <w:p>
      <w:pPr>
        <w:ind w:right="2599" w:firstLine="196"/>
        <w:spacing w:after="0" w:line="257" w:lineRule="auto"/>
        <w:rPr>
          <w:sz w:val="20"/>
          <w:szCs w:val="20"/>
          <w:color w:val="auto"/>
        </w:rPr>
      </w:pPr>
      <w:r>
        <w:rPr>
          <w:rFonts w:ascii="Courier New" w:cs="Courier New" w:eastAsia="Courier New" w:hAnsi="Courier New"/>
          <w:sz w:val="16"/>
          <w:szCs w:val="16"/>
          <w:color w:val="auto"/>
        </w:rPr>
        <w:t>Mr. Guttman and the Trust have entered into restricted share award agreements (the "Restricted Share Agreements") pursuant to which Mr. Guttman will receive (unless he elects otherwise six months in advance) Shares in lieu of his salary for the years 1998 through 2002 and Shares in lieu of his bonus for the years 1997 through 2001. The Shares granted pursuant to the Restricted Share Agreements (the "Restricted Shares"), which will be 133% of the salary and bonus levels determined by the Board of Trustees, will vest five years after the date of grant, subject to accelerated vesting in the event of a change in control (as defined in the Amended Plan) or the termination of Mr. Guttman's employment due to his death, disability (as defined in his employment agreement) or without cause (as defined in his employment agreement). Dividends are paid on the Shares if and when awarded. If Mr. Guttman voluntarily resigns from his employment with the Trust or his employment is terminated for cause prior to the end of the aforementioned five-year period, his rights to the Restricted Shares are forfeited.</w:t>
      </w:r>
    </w:p>
    <w:p>
      <w:pPr>
        <w:spacing w:after="0" w:line="96" w:lineRule="exact"/>
        <w:rPr>
          <w:sz w:val="20"/>
          <w:szCs w:val="20"/>
          <w:color w:val="auto"/>
        </w:rPr>
      </w:pPr>
    </w:p>
    <w:p>
      <w:pPr>
        <w:ind w:right="2599" w:firstLine="196"/>
        <w:spacing w:after="0" w:line="257" w:lineRule="auto"/>
        <w:rPr>
          <w:sz w:val="20"/>
          <w:szCs w:val="20"/>
          <w:color w:val="auto"/>
        </w:rPr>
      </w:pPr>
      <w:r>
        <w:rPr>
          <w:rFonts w:ascii="Courier New" w:cs="Courier New" w:eastAsia="Courier New" w:hAnsi="Courier New"/>
          <w:sz w:val="16"/>
          <w:szCs w:val="16"/>
          <w:color w:val="auto"/>
        </w:rPr>
        <w:t>The Trust has severance agreements with Mr. Kaplan, Ms. Ward, and Mr. Wood which provide, among other things, that if the employee is terminated without cause (as defined in the agreements), the employee will be entitled to receive his or her salary for 18 months, and benefits for nine months. The employee also will receive the benefits payable upon termination without cause under certain additional circumstances, including, among other things, a demotion or a substantial reduction in the employee's responsibilities without his or her written consent, relocation of the Trust's principal office outside the Washington, D.C. area, the occurrence of a change in control (as defined in the agreements), or the decrease of the employee's base salary below a percentage specified in each employee's severance agreement. The Trust may terminate the employee's employment with cause without payment to the employee. If Mr. Kaplan or Ms. Ward voluntarily resigns, they will receive their salary and benefits for up to six months, depending upon length of service, unless they become employed by a competing firm.</w:t>
      </w:r>
    </w:p>
    <w:p>
      <w:pPr>
        <w:spacing w:after="0" w:line="9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0" w:right="1440" w:bottom="1440" w:gutter="0" w:footer="0" w:header="0"/>
        </w:sectPr>
      </w:pPr>
    </w:p>
    <w:bookmarkStart w:id="10" w:name="page11"/>
    <w:bookmarkEnd w:id="10"/>
    <w:p>
      <w:pPr>
        <w:ind w:right="2599" w:firstLine="196"/>
        <w:spacing w:after="0" w:line="255" w:lineRule="auto"/>
        <w:rPr>
          <w:sz w:val="20"/>
          <w:szCs w:val="20"/>
          <w:color w:val="auto"/>
        </w:rPr>
      </w:pPr>
      <w:r>
        <w:rPr>
          <w:rFonts w:ascii="Courier New" w:cs="Courier New" w:eastAsia="Courier New" w:hAnsi="Courier New"/>
          <w:sz w:val="16"/>
          <w:szCs w:val="16"/>
          <w:color w:val="auto"/>
        </w:rPr>
        <w:t>The Trust has entered into agreements with each of the current executive officers named in the Summary Compensation Table above other than Mr. Biel providing that, if any of these officers leave the employment of the Trust within six months following a change in control (generally defined to include control of a specified percentage of the outstanding Shares), he or she will be entitled to receive a lump sum cash payment and benefits and executive perquisites for a period following such termination, to have the restrictions on the exercise or receipt of any stock options or stock grants lapse and, at the option of the officer, to have the Trust redeem all Shares owned at termination at a formula price. The Trust intends to enter into a similar agreement with Mr. Biel in 1999. The cash payments the officers are entitled to receive are computed using a formula based upon the officer's salary at the date his or her employment terminates and bonuses that were paid over the previous three years. This amount is multiplied by a certain percentage: 299% for Mr. Guttman; 200% for Mr. Kaplan and Mr. Wood; and 100% for Ms. Ward.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w:t>
      </w:r>
    </w:p>
    <w:p>
      <w:pPr>
        <w:spacing w:after="0" w:line="95" w:lineRule="exact"/>
        <w:rPr>
          <w:sz w:val="20"/>
          <w:szCs w:val="20"/>
          <w:color w:val="auto"/>
        </w:rPr>
      </w:pPr>
    </w:p>
    <w:p>
      <w:pPr>
        <w:ind w:right="2599" w:firstLine="196"/>
        <w:spacing w:after="0" w:line="256" w:lineRule="auto"/>
        <w:rPr>
          <w:sz w:val="20"/>
          <w:szCs w:val="20"/>
          <w:color w:val="auto"/>
        </w:rPr>
      </w:pPr>
      <w:r>
        <w:rPr>
          <w:rFonts w:ascii="Courier New" w:cs="Courier New" w:eastAsia="Courier New" w:hAnsi="Courier New"/>
          <w:sz w:val="16"/>
          <w:szCs w:val="16"/>
          <w:color w:val="auto"/>
        </w:rPr>
        <w:t>Mr. Biel commenced employment with the Trust in January 1998. The Trust and Mr. Biel entered into a letter agreement in November 1997 setting forth the terms of his employment providing, among other things, that he will receive an annual salary of $300,000 and is eligible to receive an annual bonus of up to 75% of his salary. In addition, Mr. Biel received an option award for 200,000 Shares on the date he began his employment. The options will vest in four equal annual installments beginning on the second anniversary of the date of award. The option was priced at the closing price per Share on the date of award. If his employment is terminated with cause, he will not receive any severance payment. If his employment is terminated without cause, (i) he will be entitled to receive his salary for up to 18 months, depending upon length of service, and benefits for nine months, and (ii) if such termination occurs after he has been employed by the Trust for one year, any unvested stock options awarded to him will vest. The agreement also provides that Mr. Biel is entitled to receive an annual stock award equal to 7.5% to 10% of the value created in certain development projects. Value is a measure based on capitalization of net operating income. In any year in which the stock award's value to Mr. Biel exceeds $700,000, no bonus will be paid to him.</w:t>
      </w:r>
    </w:p>
    <w:p>
      <w:pPr>
        <w:spacing w:after="0" w:line="91" w:lineRule="exact"/>
        <w:rPr>
          <w:sz w:val="20"/>
          <w:szCs w:val="20"/>
          <w:color w:val="auto"/>
        </w:rPr>
      </w:pPr>
    </w:p>
    <w:p>
      <w:pPr>
        <w:ind w:right="2599" w:firstLine="196"/>
        <w:spacing w:after="0" w:line="255" w:lineRule="auto"/>
        <w:rPr>
          <w:sz w:val="20"/>
          <w:szCs w:val="20"/>
          <w:color w:val="auto"/>
        </w:rPr>
      </w:pPr>
      <w:r>
        <w:rPr>
          <w:rFonts w:ascii="Courier New" w:cs="Courier New" w:eastAsia="Courier New" w:hAnsi="Courier New"/>
          <w:sz w:val="16"/>
          <w:szCs w:val="16"/>
          <w:color w:val="auto"/>
        </w:rPr>
        <w:t>In September 1997 the Trust granted performance share awards ("Performance Awards") to Mr. Guttman and Mr. Kaplan effective in January 1998 for 300,000 and 62,500 Shares ("Performance Shares"), respectively. Pursuant to the terms of these awards, a specified number of Performance Shares will vest each year from 1998 through 2005 if the Trust meets or exceeds the "Performance Target." The Performance Target will have been met or exceeded based upon the application of an annual test, which requires the FFO annual growth rate per Share to equal or exceed seven percent (7%). No Performance Shares vested in 1998 since the Trust did not meet the "Performance Target." Any Performance Shares which remain unvested after 2005 vest in five equal annual installments through 2010. All Performance Shares vest in the event of a change in control (as defined in the Performance Awards), or the termination of Mr. Guttman's or Mr. Kaplan's employment due to disability (as defined in the Performance Awards) or without cause (as defined in the Performance Awards). If Mr. Guttman's or Mr. Kaplan's employment is terminated for cause, his rights to any unvested Performance Shares are forfeited. If Mr. Guttman or Mr. Kaplan dies or voluntarily resigns from his employment with the Trust, a pro rata number of Performance Shares for that year will vest if the Performance Target is met, and his rights to any future unvested Shares are forfeited.</w:t>
      </w:r>
    </w:p>
    <w:p>
      <w:pPr>
        <w:spacing w:after="0" w:line="100" w:lineRule="exact"/>
        <w:rPr>
          <w:sz w:val="20"/>
          <w:szCs w:val="20"/>
          <w:color w:val="auto"/>
        </w:rPr>
      </w:pPr>
    </w:p>
    <w:p>
      <w:pPr>
        <w:ind w:right="2599" w:firstLine="196"/>
        <w:spacing w:after="0" w:line="260" w:lineRule="auto"/>
        <w:rPr>
          <w:sz w:val="20"/>
          <w:szCs w:val="20"/>
          <w:color w:val="auto"/>
        </w:rPr>
      </w:pPr>
      <w:r>
        <w:rPr>
          <w:rFonts w:ascii="Courier New" w:cs="Courier New" w:eastAsia="Courier New" w:hAnsi="Courier New"/>
          <w:sz w:val="16"/>
          <w:szCs w:val="16"/>
          <w:color w:val="auto"/>
        </w:rPr>
        <w:t>In September 1997 the Trust granted restricted share awards ("Service Awards") to Mr. Kaplan effective in January 1998 for an aggregate of 62,500 Shares. Pursuant to the terms of the Service Awards, an aggregate of 651 Shares vest each month over an eight-year period, subject to accelerated vesting in the event of a change in control (as defined in the Service Awards) or the termination of Mr. Kaplan's employment due to disability (as defined in the Service Awards) or without cause (as defined in the Service Awards). If Mr. Kaplan voluntarily resigns from his employment with the Trust or his employment is terminated for cause prior to the end of the aforementioned eight-year period, his rights to any unvested Shares are forfeited. If Mr. Kaplan dies, the number of Shares which would have vested in the month of his death vest and his rights to any future unvested Shares are forfeited.</w:t>
      </w:r>
    </w:p>
    <w:p>
      <w:pPr>
        <w:spacing w:after="0" w:line="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0" w:right="1440" w:bottom="1440" w:gutter="0" w:footer="0" w:header="0"/>
        </w:sectPr>
      </w:pPr>
    </w:p>
    <w:bookmarkStart w:id="11" w:name="page12"/>
    <w:bookmarkEnd w:id="11"/>
    <w:p>
      <w:pPr>
        <w:ind w:right="2599" w:firstLine="196"/>
        <w:spacing w:after="0" w:line="262" w:lineRule="auto"/>
        <w:rPr>
          <w:sz w:val="20"/>
          <w:szCs w:val="20"/>
          <w:color w:val="auto"/>
        </w:rPr>
      </w:pPr>
      <w:r>
        <w:rPr>
          <w:rFonts w:ascii="Courier New" w:cs="Courier New" w:eastAsia="Courier New" w:hAnsi="Courier New"/>
          <w:sz w:val="16"/>
          <w:szCs w:val="16"/>
          <w:color w:val="auto"/>
        </w:rPr>
        <w:t>The Trust granted a restricted share award of 10,000 Shares (the "Restricted Share Award") to Mr. Wood in May 1998 upon the commencement of his employment. Pursuant to the terms of the Restricted Share Award, the Shares will vest in five equal annual installments, subject to accelerated vesting if any of the following events occur after the first anniversary of the date of grant: a change in control or the termination of Mr. Wood's employment due to death, disability or without cause (as such terms are defined in the Restricted Share Award). If Mr. Wood voluntarily resigns from his employment with the Trust or his employment is terminated for cause prior to the end of the five-year vesting period, his rights to any unvested Shares are forfeited.</w:t>
      </w:r>
    </w:p>
    <w:p>
      <w:pPr>
        <w:spacing w:after="0" w:line="89" w:lineRule="exact"/>
        <w:rPr>
          <w:sz w:val="20"/>
          <w:szCs w:val="20"/>
          <w:color w:val="auto"/>
        </w:rPr>
      </w:pPr>
    </w:p>
    <w:p>
      <w:pPr>
        <w:ind w:right="2599" w:firstLine="196"/>
        <w:spacing w:after="0" w:line="256" w:lineRule="auto"/>
        <w:rPr>
          <w:sz w:val="20"/>
          <w:szCs w:val="20"/>
          <w:color w:val="auto"/>
        </w:rPr>
      </w:pPr>
      <w:r>
        <w:rPr>
          <w:rFonts w:ascii="Courier New" w:cs="Courier New" w:eastAsia="Courier New" w:hAnsi="Courier New"/>
          <w:sz w:val="16"/>
          <w:szCs w:val="16"/>
          <w:color w:val="auto"/>
        </w:rPr>
        <w:t>On , 1999, the Trust and Mr. Fishkin entered into an agreement pursuant to which Mr. Fishkin's former employment relationship with the Trust ended and he became a consultant to the Trust. Pursuant to the terms of the agreement, Mr. Fishkin remains a director of Street Retail, Inc., a wholly owned subsidiary of the Trust, and will provide certain real estate services to the Trust for a term of three years. The agreement provides for an annual retainer of $250,000, plus expenses, and payment of a bonus of $125,000 for 1998. In addition, Mr. Fishkin will receive incentive compensation based on the square footage leased at certain properties. Until the expiration or termination of the agreement, Mr. Fishkin is entitled to the benefit of any outstanding stock option awards, restricted stock agreements, share purchase loans and split-dollar life insurance agreements (as described below) as if Mr. Fishkin were an employee of the Trust. The agreement is terminable by the Trust with 60 days notice and by Mr. Fishkin with 90 days notice. If the agreement is terminated prior to the expiration of its term other than for cause, Mr. Fishkin is entitled to a severance payment of up to $600,000 and to certain other benefits, based on the timing and circumstances of the termination.</w:t>
      </w:r>
    </w:p>
    <w:p>
      <w:pPr>
        <w:spacing w:after="0" w:line="96" w:lineRule="exact"/>
        <w:rPr>
          <w:sz w:val="20"/>
          <w:szCs w:val="20"/>
          <w:color w:val="auto"/>
        </w:rPr>
      </w:pPr>
    </w:p>
    <w:p>
      <w:pPr>
        <w:ind w:right="2599" w:firstLine="196"/>
        <w:spacing w:after="0" w:line="258" w:lineRule="auto"/>
        <w:rPr>
          <w:sz w:val="20"/>
          <w:szCs w:val="20"/>
          <w:color w:val="auto"/>
        </w:rPr>
      </w:pPr>
      <w:r>
        <w:rPr>
          <w:rFonts w:ascii="Courier New" w:cs="Courier New" w:eastAsia="Courier New" w:hAnsi="Courier New"/>
          <w:sz w:val="16"/>
          <w:szCs w:val="16"/>
          <w:color w:val="auto"/>
        </w:rPr>
        <w:t>In connection with the agreement with Mr. Fishkin described above, the Trust entered into a performance share award agreement ("Performance Share Agreement") with him setting forth the terms of the 75,000 performance shares ("Performance Shares") awarded in January 1998. The Performance Shares are eligible to vest from 1999-2001 based on the calculation of value created in certain real estate projects. Any Performance Shares which remain unvested after 2001 are forfeited. All Performance Shares vest in the event of a change in control (as defined in the Performance Share Agreement). In the event Mr. Fishkin's consulting arrangement is terminated due to disability or without cause (both as defined in the Performance Share Agreement), Mr. Fishkin will remain eligible to receive awards for value created within 24 months after the termination. If Mr. Fishkin dies or terminates the consulting arrangement, or if the Trust terminates the arrangement for cause, Mr. Fishkin's rights to any unvested Performance Shares are forfeited.</w:t>
      </w:r>
    </w:p>
    <w:p>
      <w:pPr>
        <w:spacing w:after="0" w:line="91"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The Trust has entered into split-dollar life insurance agreements with Mr. Guttman, Mr. Kaplan, Mr. Biel, Mr. Wood and Mr. Fishkin pursuant to which the Trust makes certain premium payments on their behalf relating to certain insurance policies and is reimbursed for those premiums after fifteen years. The Trust's funding obligations end, and it is entitled to immediate reimbursement, in the event of termination of the employee's employment under certain circumstances. The Trust's funding obligations do not end, however, in the event of termination without cause or in connection with a change in control of the Trust, provided in either case that the employee has been employed by the Trust for at least five years at the time of termination.</w:t>
      </w:r>
    </w:p>
    <w:p>
      <w:pPr>
        <w:spacing w:after="0" w:line="89" w:lineRule="exact"/>
        <w:rPr>
          <w:sz w:val="20"/>
          <w:szCs w:val="20"/>
          <w:color w:val="auto"/>
        </w:rPr>
      </w:pPr>
    </w:p>
    <w:p>
      <w:pPr>
        <w:jc w:val="both"/>
        <w:ind w:right="3079" w:firstLine="196"/>
        <w:spacing w:after="0" w:line="311" w:lineRule="auto"/>
        <w:rPr>
          <w:sz w:val="20"/>
          <w:szCs w:val="20"/>
          <w:color w:val="auto"/>
        </w:rPr>
      </w:pPr>
      <w:r>
        <w:rPr>
          <w:rFonts w:ascii="Courier New" w:cs="Courier New" w:eastAsia="Courier New" w:hAnsi="Courier New"/>
          <w:sz w:val="16"/>
          <w:szCs w:val="16"/>
          <w:color w:val="auto"/>
        </w:rPr>
        <w:t>The Amended Plan provides that all stock options granted pursuant to it shall vest in the event of a change of control, as defined in the Amended Plan.</w:t>
      </w:r>
    </w:p>
    <w:p>
      <w:pPr>
        <w:spacing w:after="0" w:line="47"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The Share Purchase Plan permits the Trust to make non-recourse purchase loans to participants to facilitate the purchase of Shares pursuant to awards made thereunder. The Share Purchase Plan provides that a portion of the outstanding balance of any purchase loan will be forgiven as of the date of a change in control.</w:t>
      </w:r>
    </w:p>
    <w:p>
      <w:pPr>
        <w:spacing w:after="0" w:line="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0" w:right="1440" w:bottom="1440" w:gutter="0" w:footer="0" w:header="0"/>
        </w:sectPr>
      </w:pPr>
    </w:p>
    <w:bookmarkStart w:id="12" w:name="page13"/>
    <w:bookmarkEnd w:id="12"/>
    <w:p>
      <w:pPr>
        <w:ind w:left="2840"/>
        <w:spacing w:after="0"/>
        <w:rPr>
          <w:sz w:val="20"/>
          <w:szCs w:val="20"/>
          <w:color w:val="auto"/>
        </w:rPr>
      </w:pPr>
      <w:r>
        <w:rPr>
          <w:rFonts w:ascii="Courier New" w:cs="Courier New" w:eastAsia="Courier New" w:hAnsi="Courier New"/>
          <w:sz w:val="16"/>
          <w:szCs w:val="16"/>
          <w:color w:val="auto"/>
        </w:rPr>
        <w:t>Option Awards in 1998</w:t>
      </w:r>
    </w:p>
    <w:p>
      <w:pPr>
        <w:spacing w:after="0" w:line="195" w:lineRule="exact"/>
        <w:rPr>
          <w:sz w:val="20"/>
          <w:szCs w:val="20"/>
          <w:color w:val="auto"/>
        </w:rPr>
      </w:pPr>
    </w:p>
    <w:p>
      <w:pPr>
        <w:ind w:right="3800" w:firstLine="196"/>
        <w:spacing w:after="0" w:line="373" w:lineRule="auto"/>
        <w:rPr>
          <w:sz w:val="20"/>
          <w:szCs w:val="20"/>
          <w:color w:val="auto"/>
        </w:rPr>
      </w:pPr>
      <w:r>
        <w:rPr>
          <w:rFonts w:ascii="Courier New" w:cs="Courier New" w:eastAsia="Courier New" w:hAnsi="Courier New"/>
          <w:sz w:val="16"/>
          <w:szCs w:val="16"/>
          <w:color w:val="auto"/>
        </w:rPr>
        <w:t>The following table provides information on option awards in 1998 to the named officers.</w:t>
      </w:r>
    </w:p>
    <w:p>
      <w:pPr>
        <w:spacing w:after="0" w:line="376" w:lineRule="exact"/>
        <w:rPr>
          <w:sz w:val="20"/>
          <w:szCs w:val="20"/>
          <w:color w:val="auto"/>
        </w:rPr>
      </w:pPr>
    </w:p>
    <w:tbl>
      <w:tblPr>
        <w:tblLayout w:type="fixed"/>
        <w:tblInd w:w="264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3360" w:type="dxa"/>
            <w:vAlign w:val="bottom"/>
            <w:gridSpan w:val="2"/>
          </w:tcPr>
          <w:p>
            <w:pPr>
              <w:ind w:left="1900"/>
              <w:spacing w:after="0"/>
              <w:rPr>
                <w:sz w:val="20"/>
                <w:szCs w:val="20"/>
                <w:color w:val="auto"/>
              </w:rPr>
            </w:pPr>
            <w:r>
              <w:rPr>
                <w:rFonts w:ascii="Courier New" w:cs="Courier New" w:eastAsia="Courier New" w:hAnsi="Courier New"/>
                <w:sz w:val="16"/>
                <w:szCs w:val="16"/>
                <w:color w:val="auto"/>
              </w:rPr>
              <w:t>Potential</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40" w:type="dxa"/>
            <w:vAlign w:val="bottom"/>
          </w:tcPr>
          <w:p>
            <w:pPr>
              <w:ind w:left="1420"/>
              <w:spacing w:after="0"/>
              <w:rPr>
                <w:sz w:val="20"/>
                <w:szCs w:val="20"/>
                <w:color w:val="auto"/>
              </w:rPr>
            </w:pPr>
            <w:r>
              <w:rPr>
                <w:rFonts w:ascii="Courier New" w:cs="Courier New" w:eastAsia="Courier New" w:hAnsi="Courier New"/>
                <w:sz w:val="16"/>
                <w:szCs w:val="16"/>
                <w:color w:val="auto"/>
              </w:rPr>
              <w:t>Realizable</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Value at</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40" w:type="dxa"/>
            <w:vAlign w:val="bottom"/>
          </w:tcPr>
          <w:p>
            <w:pPr>
              <w:ind w:left="1700"/>
              <w:spacing w:after="0"/>
              <w:rPr>
                <w:sz w:val="20"/>
                <w:szCs w:val="20"/>
                <w:color w:val="auto"/>
              </w:rPr>
            </w:pPr>
            <w:r>
              <w:rPr>
                <w:rFonts w:ascii="Courier New" w:cs="Courier New" w:eastAsia="Courier New" w:hAnsi="Courier New"/>
                <w:sz w:val="16"/>
                <w:szCs w:val="16"/>
                <w:color w:val="auto"/>
              </w:rPr>
              <w:t>Assumed</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Annual</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3360" w:type="dxa"/>
            <w:vAlign w:val="bottom"/>
            <w:gridSpan w:val="2"/>
          </w:tcPr>
          <w:p>
            <w:pPr>
              <w:ind w:left="1420"/>
              <w:spacing w:after="0"/>
              <w:rPr>
                <w:sz w:val="20"/>
                <w:szCs w:val="20"/>
                <w:color w:val="auto"/>
              </w:rPr>
            </w:pPr>
            <w:r>
              <w:rPr>
                <w:rFonts w:ascii="Courier New" w:cs="Courier New" w:eastAsia="Courier New" w:hAnsi="Courier New"/>
                <w:sz w:val="16"/>
                <w:szCs w:val="16"/>
                <w:color w:val="auto"/>
                <w:w w:val="99"/>
              </w:rPr>
              <w:t>Rates of Stock Price</w:t>
            </w:r>
          </w:p>
        </w:tc>
        <w:tc>
          <w:tcPr>
            <w:tcW w:w="0" w:type="dxa"/>
            <w:vAlign w:val="bottom"/>
          </w:tcPr>
          <w:p>
            <w:pPr>
              <w:spacing w:after="0"/>
              <w:rPr>
                <w:sz w:val="1"/>
                <w:szCs w:val="1"/>
                <w:color w:val="auto"/>
              </w:rPr>
            </w:pPr>
          </w:p>
        </w:tc>
      </w:tr>
      <w:tr>
        <w:trPr>
          <w:trHeight w:val="188"/>
        </w:trPr>
        <w:tc>
          <w:tcPr>
            <w:tcW w:w="3080" w:type="dxa"/>
            <w:vAlign w:val="bottom"/>
            <w:vMerge w:val="restart"/>
          </w:tcPr>
          <w:p>
            <w:pPr>
              <w:spacing w:after="0"/>
              <w:rPr>
                <w:sz w:val="20"/>
                <w:szCs w:val="20"/>
                <w:color w:val="auto"/>
              </w:rPr>
            </w:pPr>
            <w:r>
              <w:rPr>
                <w:rFonts w:ascii="Courier New" w:cs="Courier New" w:eastAsia="Courier New" w:hAnsi="Courier New"/>
                <w:sz w:val="16"/>
                <w:szCs w:val="16"/>
                <w:color w:val="auto"/>
              </w:rPr>
              <w:t>Individual Awards</w:t>
            </w:r>
          </w:p>
        </w:tc>
        <w:tc>
          <w:tcPr>
            <w:tcW w:w="33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Appreciation</w:t>
            </w:r>
          </w:p>
        </w:tc>
        <w:tc>
          <w:tcPr>
            <w:tcW w:w="0" w:type="dxa"/>
            <w:vAlign w:val="bottom"/>
          </w:tcPr>
          <w:p>
            <w:pPr>
              <w:spacing w:after="0"/>
              <w:rPr>
                <w:sz w:val="1"/>
                <w:szCs w:val="1"/>
                <w:color w:val="auto"/>
              </w:rPr>
            </w:pPr>
          </w:p>
        </w:tc>
      </w:tr>
      <w:tr>
        <w:trPr>
          <w:trHeight w:val="218"/>
        </w:trPr>
        <w:tc>
          <w:tcPr>
            <w:tcW w:w="3080" w:type="dxa"/>
            <w:vAlign w:val="bottom"/>
            <w:vMerge w:val="continue"/>
          </w:tcPr>
          <w:p>
            <w:pPr>
              <w:spacing w:after="0"/>
              <w:rPr>
                <w:sz w:val="18"/>
                <w:szCs w:val="18"/>
                <w:color w:val="auto"/>
              </w:rPr>
            </w:pPr>
          </w:p>
        </w:tc>
        <w:tc>
          <w:tcPr>
            <w:tcW w:w="2440" w:type="dxa"/>
            <w:vAlign w:val="bottom"/>
          </w:tcPr>
          <w:p>
            <w:pPr>
              <w:ind w:left="1420"/>
              <w:spacing w:after="0"/>
              <w:rPr>
                <w:sz w:val="20"/>
                <w:szCs w:val="20"/>
                <w:color w:val="auto"/>
              </w:rPr>
            </w:pPr>
            <w:r>
              <w:rPr>
                <w:rFonts w:ascii="Courier New" w:cs="Courier New" w:eastAsia="Courier New" w:hAnsi="Courier New"/>
                <w:sz w:val="16"/>
                <w:szCs w:val="16"/>
                <w:color w:val="auto"/>
              </w:rPr>
              <w:t>for Option</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Term (1)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tbl>
      <w:tblPr>
        <w:tblLayout w:type="fixed"/>
        <w:tblInd w:w="980" w:type="dxa"/>
        <w:tblCellMar>
          <w:top w:w="0" w:type="dxa"/>
          <w:left w:w="0" w:type="dxa"/>
          <w:bottom w:w="0" w:type="dxa"/>
          <w:right w:w="0" w:type="dxa"/>
        </w:tblCellMar>
      </w:tblPr>
      <w:tr>
        <w:trPr>
          <w:trHeight w:val="165"/>
        </w:trPr>
        <w:tc>
          <w:tcPr>
            <w:tcW w:w="920" w:type="dxa"/>
            <w:vAlign w:val="bottom"/>
          </w:tcPr>
          <w:p>
            <w:pPr>
              <w:spacing w:after="0" w:line="165" w:lineRule="exact"/>
              <w:rPr>
                <w:sz w:val="20"/>
                <w:szCs w:val="20"/>
                <w:color w:val="auto"/>
              </w:rPr>
            </w:pPr>
            <w:r>
              <w:rPr>
                <w:rFonts w:ascii="Courier New" w:cs="Courier New" w:eastAsia="Courier New" w:hAnsi="Courier New"/>
                <w:sz w:val="16"/>
                <w:szCs w:val="16"/>
                <w:color w:val="auto"/>
              </w:rPr>
              <w:t>(a)</w:t>
            </w:r>
          </w:p>
        </w:tc>
        <w:tc>
          <w:tcPr>
            <w:tcW w:w="1720" w:type="dxa"/>
            <w:vAlign w:val="bottom"/>
          </w:tcPr>
          <w:p>
            <w:pPr>
              <w:jc w:val="center"/>
              <w:ind w:left="359"/>
              <w:spacing w:after="0" w:line="165" w:lineRule="exact"/>
              <w:rPr>
                <w:sz w:val="20"/>
                <w:szCs w:val="20"/>
                <w:color w:val="auto"/>
              </w:rPr>
            </w:pPr>
            <w:r>
              <w:rPr>
                <w:rFonts w:ascii="Courier New" w:cs="Courier New" w:eastAsia="Courier New" w:hAnsi="Courier New"/>
                <w:sz w:val="16"/>
                <w:szCs w:val="16"/>
                <w:color w:val="auto"/>
                <w:w w:val="97"/>
              </w:rPr>
              <w:t>(b)</w:t>
            </w:r>
          </w:p>
        </w:tc>
        <w:tc>
          <w:tcPr>
            <w:tcW w:w="1120" w:type="dxa"/>
            <w:vAlign w:val="bottom"/>
          </w:tcPr>
          <w:p>
            <w:pPr>
              <w:jc w:val="center"/>
              <w:spacing w:after="0" w:line="165" w:lineRule="exact"/>
              <w:rPr>
                <w:sz w:val="20"/>
                <w:szCs w:val="20"/>
                <w:color w:val="auto"/>
              </w:rPr>
            </w:pPr>
            <w:r>
              <w:rPr>
                <w:rFonts w:ascii="Courier New" w:cs="Courier New" w:eastAsia="Courier New" w:hAnsi="Courier New"/>
                <w:sz w:val="16"/>
                <w:szCs w:val="16"/>
                <w:color w:val="auto"/>
              </w:rPr>
              <w:t>(c)</w:t>
            </w:r>
          </w:p>
        </w:tc>
        <w:tc>
          <w:tcPr>
            <w:tcW w:w="1280" w:type="dxa"/>
            <w:vAlign w:val="bottom"/>
          </w:tcPr>
          <w:p>
            <w:pPr>
              <w:ind w:left="440"/>
              <w:spacing w:after="0" w:line="165" w:lineRule="exact"/>
              <w:rPr>
                <w:sz w:val="20"/>
                <w:szCs w:val="20"/>
                <w:color w:val="auto"/>
              </w:rPr>
            </w:pPr>
            <w:r>
              <w:rPr>
                <w:rFonts w:ascii="Courier New" w:cs="Courier New" w:eastAsia="Courier New" w:hAnsi="Courier New"/>
                <w:sz w:val="16"/>
                <w:szCs w:val="16"/>
                <w:color w:val="auto"/>
              </w:rPr>
              <w:t>(d)</w:t>
            </w:r>
          </w:p>
        </w:tc>
        <w:tc>
          <w:tcPr>
            <w:tcW w:w="1120" w:type="dxa"/>
            <w:vAlign w:val="bottom"/>
          </w:tcPr>
          <w:p>
            <w:pPr>
              <w:ind w:left="340"/>
              <w:spacing w:after="0" w:line="165" w:lineRule="exact"/>
              <w:rPr>
                <w:sz w:val="20"/>
                <w:szCs w:val="20"/>
                <w:color w:val="auto"/>
              </w:rPr>
            </w:pPr>
            <w:r>
              <w:rPr>
                <w:rFonts w:ascii="Courier New" w:cs="Courier New" w:eastAsia="Courier New" w:hAnsi="Courier New"/>
                <w:sz w:val="16"/>
                <w:szCs w:val="16"/>
                <w:color w:val="auto"/>
              </w:rPr>
              <w:t>(e)</w:t>
            </w:r>
          </w:p>
        </w:tc>
        <w:tc>
          <w:tcPr>
            <w:tcW w:w="880" w:type="dxa"/>
            <w:vAlign w:val="bottom"/>
          </w:tcPr>
          <w:p>
            <w:pPr>
              <w:jc w:val="right"/>
              <w:ind w:right="219"/>
              <w:spacing w:after="0" w:line="165" w:lineRule="exact"/>
              <w:rPr>
                <w:sz w:val="20"/>
                <w:szCs w:val="20"/>
                <w:color w:val="auto"/>
              </w:rPr>
            </w:pPr>
            <w:r>
              <w:rPr>
                <w:rFonts w:ascii="Courier New" w:cs="Courier New" w:eastAsia="Courier New" w:hAnsi="Courier New"/>
                <w:sz w:val="16"/>
                <w:szCs w:val="16"/>
                <w:color w:val="auto"/>
              </w:rPr>
              <w:t>(f)</w:t>
            </w:r>
          </w:p>
        </w:tc>
        <w:tc>
          <w:tcPr>
            <w:tcW w:w="880" w:type="dxa"/>
            <w:vAlign w:val="bottom"/>
          </w:tcPr>
          <w:p>
            <w:pPr>
              <w:jc w:val="right"/>
              <w:spacing w:after="0" w:line="165" w:lineRule="exact"/>
              <w:rPr>
                <w:sz w:val="20"/>
                <w:szCs w:val="20"/>
                <w:color w:val="auto"/>
              </w:rPr>
            </w:pPr>
            <w:r>
              <w:rPr>
                <w:rFonts w:ascii="Courier New" w:cs="Courier New" w:eastAsia="Courier New" w:hAnsi="Courier New"/>
                <w:sz w:val="16"/>
                <w:szCs w:val="16"/>
                <w:color w:val="auto"/>
              </w:rPr>
              <w:t>(g)</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 of</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Options</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Awarded to</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720" w:type="dxa"/>
            <w:vAlign w:val="bottom"/>
            <w:vMerge w:val="restart"/>
          </w:tcPr>
          <w:p>
            <w:pPr>
              <w:jc w:val="center"/>
              <w:ind w:left="359"/>
              <w:spacing w:after="0"/>
              <w:rPr>
                <w:sz w:val="20"/>
                <w:szCs w:val="20"/>
                <w:color w:val="auto"/>
              </w:rPr>
            </w:pPr>
            <w:r>
              <w:rPr>
                <w:rFonts w:ascii="Courier New" w:cs="Courier New" w:eastAsia="Courier New" w:hAnsi="Courier New"/>
                <w:sz w:val="16"/>
                <w:szCs w:val="16"/>
                <w:color w:val="auto"/>
              </w:rPr>
              <w:t>Options</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Employees</w:t>
            </w:r>
          </w:p>
        </w:tc>
        <w:tc>
          <w:tcPr>
            <w:tcW w:w="12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Exercise</w:t>
            </w:r>
          </w:p>
        </w:tc>
        <w:tc>
          <w:tcPr>
            <w:tcW w:w="11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Expiration</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2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72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in Fiscal</w:t>
            </w:r>
          </w:p>
        </w:tc>
        <w:tc>
          <w:tcPr>
            <w:tcW w:w="12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5% ($)</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 ($)</w:t>
            </w:r>
          </w:p>
        </w:tc>
        <w:tc>
          <w:tcPr>
            <w:tcW w:w="0" w:type="dxa"/>
            <w:vAlign w:val="bottom"/>
          </w:tcPr>
          <w:p>
            <w:pPr>
              <w:spacing w:after="0"/>
              <w:rPr>
                <w:sz w:val="1"/>
                <w:szCs w:val="1"/>
                <w:color w:val="auto"/>
              </w:rPr>
            </w:pPr>
          </w:p>
        </w:tc>
      </w:tr>
      <w:tr>
        <w:trPr>
          <w:trHeight w:val="218"/>
        </w:trPr>
        <w:tc>
          <w:tcPr>
            <w:tcW w:w="920" w:type="dxa"/>
            <w:vAlign w:val="bottom"/>
            <w:vMerge w:val="continue"/>
          </w:tcPr>
          <w:p>
            <w:pPr>
              <w:spacing w:after="0"/>
              <w:rPr>
                <w:sz w:val="18"/>
                <w:szCs w:val="18"/>
                <w:color w:val="auto"/>
              </w:rPr>
            </w:pPr>
          </w:p>
        </w:tc>
        <w:tc>
          <w:tcPr>
            <w:tcW w:w="1720" w:type="dxa"/>
            <w:vAlign w:val="bottom"/>
          </w:tcPr>
          <w:p>
            <w:pPr>
              <w:jc w:val="center"/>
              <w:ind w:left="359"/>
              <w:spacing w:after="0"/>
              <w:rPr>
                <w:sz w:val="20"/>
                <w:szCs w:val="20"/>
                <w:color w:val="auto"/>
              </w:rPr>
            </w:pPr>
            <w:r>
              <w:rPr>
                <w:rFonts w:ascii="Courier New" w:cs="Courier New" w:eastAsia="Courier New" w:hAnsi="Courier New"/>
                <w:sz w:val="16"/>
                <w:szCs w:val="16"/>
                <w:color w:val="auto"/>
              </w:rPr>
              <w:t>Awarded (#)</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Year</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Price ($/Sh)</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Date</w:t>
            </w:r>
          </w:p>
        </w:tc>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Steven</w:t>
            </w:r>
          </w:p>
        </w:tc>
        <w:tc>
          <w:tcPr>
            <w:tcW w:w="18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J. Guttman.......</w:t>
            </w:r>
          </w:p>
        </w:tc>
        <w:tc>
          <w:tcPr>
            <w:tcW w:w="13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Howard</w:t>
            </w:r>
          </w:p>
        </w:tc>
        <w:tc>
          <w:tcPr>
            <w:tcW w:w="18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 Biel..........</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200,000(2)</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25.875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1/2/08</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8,430,000</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13,423,000</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Nathan</w:t>
            </w:r>
          </w:p>
        </w:tc>
        <w:tc>
          <w:tcPr>
            <w:tcW w:w="18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 Fishkin.......</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25,000(3)</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24.8125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3/5/08</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390,000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989,000</w:t>
            </w:r>
          </w:p>
        </w:tc>
        <w:tc>
          <w:tcPr>
            <w:tcW w:w="0" w:type="dxa"/>
            <w:vAlign w:val="bottom"/>
          </w:tcPr>
          <w:p>
            <w:pPr>
              <w:spacing w:after="0"/>
              <w:rPr>
                <w:sz w:val="1"/>
                <w:szCs w:val="1"/>
                <w:color w:val="auto"/>
              </w:rPr>
            </w:pPr>
          </w:p>
        </w:tc>
      </w:tr>
      <w:tr>
        <w:trPr>
          <w:trHeight w:val="188"/>
        </w:trPr>
        <w:tc>
          <w:tcPr>
            <w:tcW w:w="25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Ron D. Kaplan</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75,000(4)</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22.0620</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8/5/08</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1,041,000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2,637,000</w:t>
            </w:r>
          </w:p>
        </w:tc>
        <w:tc>
          <w:tcPr>
            <w:tcW w:w="0" w:type="dxa"/>
            <w:vAlign w:val="bottom"/>
          </w:tcPr>
          <w:p>
            <w:pPr>
              <w:spacing w:after="0"/>
              <w:rPr>
                <w:sz w:val="1"/>
                <w:szCs w:val="1"/>
                <w:color w:val="auto"/>
              </w:rPr>
            </w:pPr>
          </w:p>
        </w:tc>
      </w:tr>
      <w:tr>
        <w:trPr>
          <w:trHeight w:val="188"/>
        </w:trPr>
        <w:tc>
          <w:tcPr>
            <w:tcW w:w="2500" w:type="dxa"/>
            <w:vAlign w:val="bottom"/>
            <w:gridSpan w:val="2"/>
            <w:vMerge w:val="continue"/>
          </w:tcPr>
          <w:p>
            <w:pPr>
              <w:jc w:val="right"/>
              <w:ind w:right="79"/>
              <w:spacing w:after="0" w:line="166"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2500" w:type="dxa"/>
            <w:vAlign w:val="bottom"/>
            <w:gridSpan w:val="2"/>
          </w:tcPr>
          <w:p>
            <w:pPr>
              <w:spacing w:after="0"/>
              <w:rPr>
                <w:sz w:val="20"/>
                <w:szCs w:val="20"/>
                <w:color w:val="auto"/>
              </w:rPr>
            </w:pPr>
            <w:r>
              <w:rPr>
                <w:rFonts w:ascii="Courier New" w:cs="Courier New" w:eastAsia="Courier New" w:hAnsi="Courier New"/>
                <w:sz w:val="16"/>
                <w:szCs w:val="16"/>
                <w:color w:val="auto"/>
              </w:rPr>
              <w:t>Cecily A. Ward..........</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50,000(5)</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25.1875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1/26/08</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792,000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2,007,000</w:t>
            </w:r>
          </w:p>
        </w:tc>
        <w:tc>
          <w:tcPr>
            <w:tcW w:w="0" w:type="dxa"/>
            <w:vAlign w:val="bottom"/>
          </w:tcPr>
          <w:p>
            <w:pPr>
              <w:spacing w:after="0"/>
              <w:rPr>
                <w:sz w:val="1"/>
                <w:szCs w:val="1"/>
                <w:color w:val="auto"/>
              </w:rPr>
            </w:pPr>
          </w:p>
        </w:tc>
      </w:tr>
      <w:tr>
        <w:trPr>
          <w:trHeight w:val="276"/>
        </w:trPr>
        <w:tc>
          <w:tcPr>
            <w:tcW w:w="2500" w:type="dxa"/>
            <w:vAlign w:val="bottom"/>
            <w:gridSpan w:val="2"/>
          </w:tcPr>
          <w:p>
            <w:pPr>
              <w:spacing w:after="0"/>
              <w:rPr>
                <w:sz w:val="20"/>
                <w:szCs w:val="20"/>
                <w:color w:val="auto"/>
              </w:rPr>
            </w:pPr>
            <w:r>
              <w:rPr>
                <w:rFonts w:ascii="Courier New" w:cs="Courier New" w:eastAsia="Courier New" w:hAnsi="Courier New"/>
                <w:sz w:val="16"/>
                <w:szCs w:val="16"/>
                <w:color w:val="auto"/>
              </w:rPr>
              <w:t>Donald C. Wood..........</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250,000(6)</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25.25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5/6/08</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3,970,000</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10,060,000</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 w:lineRule="exact"/>
        <w:rPr>
          <w:sz w:val="20"/>
          <w:szCs w:val="20"/>
          <w:color w:val="auto"/>
        </w:rPr>
      </w:pPr>
    </w:p>
    <w:p>
      <w:pPr>
        <w:ind w:left="400" w:right="3700" w:hanging="400"/>
        <w:spacing w:after="0" w:line="248"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assumed annual rates of stock price appreciation are specified by the SEC. No assurance can be given that such rates will be achieved.</w:t>
      </w:r>
    </w:p>
    <w:p>
      <w:pPr>
        <w:spacing w:after="0" w:line="1" w:lineRule="exact"/>
        <w:rPr>
          <w:rFonts w:ascii="Courier New" w:cs="Courier New" w:eastAsia="Courier New" w:hAnsi="Courier New"/>
          <w:sz w:val="16"/>
          <w:szCs w:val="16"/>
          <w:color w:val="auto"/>
        </w:rPr>
      </w:pPr>
    </w:p>
    <w:p>
      <w:pPr>
        <w:ind w:left="480" w:right="3420" w:hanging="480"/>
        <w:spacing w:after="0" w:line="248"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vest in four equal annual installments beginning on January 2, 2000.</w:t>
      </w:r>
    </w:p>
    <w:p>
      <w:pPr>
        <w:spacing w:after="0" w:line="1" w:lineRule="exact"/>
        <w:rPr>
          <w:rFonts w:ascii="Courier New" w:cs="Courier New" w:eastAsia="Courier New" w:hAnsi="Courier New"/>
          <w:sz w:val="16"/>
          <w:szCs w:val="16"/>
          <w:color w:val="auto"/>
        </w:rPr>
      </w:pPr>
    </w:p>
    <w:p>
      <w:pPr>
        <w:ind w:left="480" w:right="3620" w:hanging="480"/>
        <w:spacing w:after="0" w:line="248"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vest in five equal annual installments beginning on March 6, 1999.</w:t>
      </w:r>
    </w:p>
    <w:p>
      <w:pPr>
        <w:spacing w:after="0" w:line="1" w:lineRule="exact"/>
        <w:rPr>
          <w:rFonts w:ascii="Courier New" w:cs="Courier New" w:eastAsia="Courier New" w:hAnsi="Courier New"/>
          <w:sz w:val="16"/>
          <w:szCs w:val="16"/>
          <w:color w:val="auto"/>
        </w:rPr>
      </w:pPr>
    </w:p>
    <w:p>
      <w:pPr>
        <w:ind w:left="480" w:right="3520" w:hanging="480"/>
        <w:spacing w:after="0" w:line="248"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vest in five equal annual installments beginning on August 6, 1999.</w:t>
      </w:r>
    </w:p>
    <w:p>
      <w:pPr>
        <w:spacing w:after="0" w:line="1" w:lineRule="exact"/>
        <w:rPr>
          <w:rFonts w:ascii="Courier New" w:cs="Courier New" w:eastAsia="Courier New" w:hAnsi="Courier New"/>
          <w:sz w:val="16"/>
          <w:szCs w:val="16"/>
          <w:color w:val="auto"/>
        </w:rPr>
      </w:pPr>
    </w:p>
    <w:p>
      <w:pPr>
        <w:ind w:left="480" w:right="4100" w:hanging="480"/>
        <w:spacing w:after="0" w:line="248"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vest in three equal annual installments beginning on January 26, 1999.</w:t>
      </w:r>
    </w:p>
    <w:p>
      <w:pPr>
        <w:spacing w:after="0" w:line="1" w:lineRule="exact"/>
        <w:rPr>
          <w:rFonts w:ascii="Courier New" w:cs="Courier New" w:eastAsia="Courier New" w:hAnsi="Courier New"/>
          <w:sz w:val="16"/>
          <w:szCs w:val="16"/>
          <w:color w:val="auto"/>
        </w:rPr>
      </w:pPr>
    </w:p>
    <w:p>
      <w:pPr>
        <w:ind w:left="480" w:right="3520" w:hanging="480"/>
        <w:spacing w:after="0" w:line="334"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vest in four equal annual installments beginning on May 6, 2000.</w:t>
      </w:r>
    </w:p>
    <w:p>
      <w:pPr>
        <w:spacing w:after="0" w:line="29"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6"/>
          <w:szCs w:val="16"/>
          <w:color w:val="auto"/>
        </w:rPr>
        <w:t>Aggregated Option Exercises in 1998 and December 31, 1998 Option Values</w:t>
      </w:r>
    </w:p>
    <w:p>
      <w:pPr>
        <w:spacing w:after="0" w:line="195" w:lineRule="exact"/>
        <w:rPr>
          <w:sz w:val="20"/>
          <w:szCs w:val="20"/>
          <w:color w:val="auto"/>
        </w:rPr>
      </w:pPr>
    </w:p>
    <w:p>
      <w:pPr>
        <w:ind w:right="3520" w:firstLine="196"/>
        <w:spacing w:after="0" w:line="311" w:lineRule="auto"/>
        <w:rPr>
          <w:sz w:val="20"/>
          <w:szCs w:val="20"/>
          <w:color w:val="auto"/>
        </w:rPr>
      </w:pPr>
      <w:r>
        <w:rPr>
          <w:rFonts w:ascii="Courier New" w:cs="Courier New" w:eastAsia="Courier New" w:hAnsi="Courier New"/>
          <w:sz w:val="16"/>
          <w:szCs w:val="16"/>
          <w:color w:val="auto"/>
        </w:rPr>
        <w:t>The following table provides information on option exercises in 1998 by the named officers, and the value of each such officer's unexercised options at December 31, 1998.</w:t>
      </w:r>
    </w:p>
    <w:p>
      <w:pPr>
        <w:spacing w:after="0" w:line="200" w:lineRule="exact"/>
        <w:rPr>
          <w:sz w:val="20"/>
          <w:szCs w:val="20"/>
          <w:color w:val="auto"/>
        </w:rPr>
      </w:pP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400" w:type="dxa"/>
            <w:vAlign w:val="bottom"/>
          </w:tcPr>
          <w:p>
            <w:pPr>
              <w:ind w:left="1140"/>
              <w:spacing w:after="0"/>
              <w:rPr>
                <w:sz w:val="20"/>
                <w:szCs w:val="20"/>
                <w:color w:val="auto"/>
              </w:rPr>
            </w:pPr>
            <w:r>
              <w:rPr>
                <w:rFonts w:ascii="Courier New" w:cs="Courier New" w:eastAsia="Courier New" w:hAnsi="Courier New"/>
                <w:sz w:val="16"/>
                <w:szCs w:val="16"/>
                <w:color w:val="auto"/>
              </w:rPr>
              <w:t>(b)</w:t>
            </w:r>
          </w:p>
        </w:tc>
        <w:tc>
          <w:tcPr>
            <w:tcW w:w="1120" w:type="dxa"/>
            <w:vAlign w:val="bottom"/>
          </w:tcPr>
          <w:p>
            <w:pPr>
              <w:ind w:left="400"/>
              <w:spacing w:after="0"/>
              <w:rPr>
                <w:sz w:val="20"/>
                <w:szCs w:val="20"/>
                <w:color w:val="auto"/>
              </w:rPr>
            </w:pPr>
            <w:r>
              <w:rPr>
                <w:rFonts w:ascii="Courier New" w:cs="Courier New" w:eastAsia="Courier New" w:hAnsi="Courier New"/>
                <w:sz w:val="16"/>
                <w:szCs w:val="16"/>
                <w:color w:val="auto"/>
              </w:rPr>
              <w:t>(c)</w:t>
            </w:r>
          </w:p>
        </w:tc>
        <w:tc>
          <w:tcPr>
            <w:tcW w:w="294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(d)</w:t>
            </w:r>
          </w:p>
        </w:tc>
        <w:tc>
          <w:tcPr>
            <w:tcW w:w="2480" w:type="dxa"/>
            <w:vAlign w:val="bottom"/>
          </w:tcPr>
          <w:p>
            <w:pPr>
              <w:jc w:val="center"/>
              <w:spacing w:after="0"/>
              <w:rPr>
                <w:sz w:val="20"/>
                <w:szCs w:val="20"/>
                <w:color w:val="auto"/>
              </w:rPr>
            </w:pPr>
            <w:r>
              <w:rPr>
                <w:rFonts w:ascii="Courier New" w:cs="Courier New" w:eastAsia="Courier New" w:hAnsi="Courier New"/>
                <w:sz w:val="16"/>
                <w:szCs w:val="16"/>
                <w:color w:val="auto"/>
              </w:rPr>
              <w:t>(e)</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4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Number of</w:t>
            </w:r>
          </w:p>
        </w:tc>
        <w:tc>
          <w:tcPr>
            <w:tcW w:w="24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Value of</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40" w:type="dxa"/>
            <w:vAlign w:val="bottom"/>
          </w:tcPr>
          <w:p>
            <w:pPr>
              <w:ind w:left="1120"/>
              <w:spacing w:after="0"/>
              <w:rPr>
                <w:sz w:val="20"/>
                <w:szCs w:val="20"/>
                <w:color w:val="auto"/>
              </w:rPr>
            </w:pPr>
            <w:r>
              <w:rPr>
                <w:rFonts w:ascii="Courier New" w:cs="Courier New" w:eastAsia="Courier New" w:hAnsi="Courier New"/>
                <w:sz w:val="16"/>
                <w:szCs w:val="16"/>
                <w:color w:val="auto"/>
              </w:rPr>
              <w:t>Securities</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40" w:type="dxa"/>
            <w:vAlign w:val="bottom"/>
          </w:tcPr>
          <w:p>
            <w:pPr>
              <w:ind w:left="1120"/>
              <w:spacing w:after="0"/>
              <w:rPr>
                <w:sz w:val="20"/>
                <w:szCs w:val="20"/>
                <w:color w:val="auto"/>
              </w:rPr>
            </w:pPr>
            <w:r>
              <w:rPr>
                <w:rFonts w:ascii="Courier New" w:cs="Courier New" w:eastAsia="Courier New" w:hAnsi="Courier New"/>
                <w:sz w:val="16"/>
                <w:szCs w:val="16"/>
                <w:color w:val="auto"/>
              </w:rPr>
              <w:t>Underlying</w:t>
            </w:r>
          </w:p>
        </w:tc>
        <w:tc>
          <w:tcPr>
            <w:tcW w:w="2480" w:type="dxa"/>
            <w:vAlign w:val="bottom"/>
          </w:tcPr>
          <w:p>
            <w:pPr>
              <w:jc w:val="center"/>
              <w:spacing w:after="0"/>
              <w:rPr>
                <w:sz w:val="20"/>
                <w:szCs w:val="20"/>
                <w:color w:val="auto"/>
              </w:rPr>
            </w:pPr>
            <w:r>
              <w:rPr>
                <w:rFonts w:ascii="Courier New" w:cs="Courier New" w:eastAsia="Courier New" w:hAnsi="Courier New"/>
                <w:sz w:val="16"/>
                <w:szCs w:val="16"/>
                <w:color w:val="auto"/>
              </w:rPr>
              <w:t>Unexercised</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4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Unexercised</w:t>
            </w:r>
          </w:p>
        </w:tc>
        <w:tc>
          <w:tcPr>
            <w:tcW w:w="2480" w:type="dxa"/>
            <w:vAlign w:val="bottom"/>
          </w:tcPr>
          <w:p>
            <w:pPr>
              <w:jc w:val="center"/>
              <w:spacing w:after="0"/>
              <w:rPr>
                <w:sz w:val="20"/>
                <w:szCs w:val="20"/>
                <w:color w:val="auto"/>
              </w:rPr>
            </w:pPr>
            <w:r>
              <w:rPr>
                <w:rFonts w:ascii="Courier New" w:cs="Courier New" w:eastAsia="Courier New" w:hAnsi="Courier New"/>
                <w:sz w:val="16"/>
                <w:szCs w:val="16"/>
                <w:color w:val="auto"/>
              </w:rPr>
              <w:t>In-the-Money</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40" w:type="dxa"/>
            <w:vAlign w:val="bottom"/>
          </w:tcPr>
          <w:p>
            <w:pPr>
              <w:ind w:left="1120"/>
              <w:spacing w:after="0"/>
              <w:rPr>
                <w:sz w:val="20"/>
                <w:szCs w:val="20"/>
                <w:color w:val="auto"/>
              </w:rPr>
            </w:pPr>
            <w:r>
              <w:rPr>
                <w:rFonts w:ascii="Courier New" w:cs="Courier New" w:eastAsia="Courier New" w:hAnsi="Courier New"/>
                <w:sz w:val="16"/>
                <w:szCs w:val="16"/>
                <w:color w:val="auto"/>
              </w:rPr>
              <w:t>Options at</w:t>
            </w:r>
          </w:p>
        </w:tc>
        <w:tc>
          <w:tcPr>
            <w:tcW w:w="2480" w:type="dxa"/>
            <w:vAlign w:val="bottom"/>
          </w:tcPr>
          <w:p>
            <w:pPr>
              <w:jc w:val="center"/>
              <w:spacing w:after="0"/>
              <w:rPr>
                <w:sz w:val="20"/>
                <w:szCs w:val="20"/>
                <w:color w:val="auto"/>
              </w:rPr>
            </w:pPr>
            <w:r>
              <w:rPr>
                <w:rFonts w:ascii="Courier New" w:cs="Courier New" w:eastAsia="Courier New" w:hAnsi="Courier New"/>
                <w:sz w:val="16"/>
                <w:szCs w:val="16"/>
                <w:color w:val="auto"/>
              </w:rPr>
              <w:t>Options at</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400" w:type="dxa"/>
            <w:vAlign w:val="bottom"/>
            <w:vMerge w:val="restart"/>
          </w:tcPr>
          <w:p>
            <w:pPr>
              <w:ind w:left="540"/>
              <w:spacing w:after="0"/>
              <w:rPr>
                <w:sz w:val="20"/>
                <w:szCs w:val="20"/>
                <w:color w:val="auto"/>
              </w:rPr>
            </w:pPr>
            <w:r>
              <w:rPr>
                <w:rFonts w:ascii="Courier New" w:cs="Courier New" w:eastAsia="Courier New" w:hAnsi="Courier New"/>
                <w:sz w:val="16"/>
                <w:szCs w:val="16"/>
                <w:color w:val="auto"/>
              </w:rPr>
              <w:t>Shares Acquired</w:t>
            </w:r>
          </w:p>
        </w:tc>
        <w:tc>
          <w:tcPr>
            <w:tcW w:w="1120" w:type="dxa"/>
            <w:vAlign w:val="bottom"/>
          </w:tcPr>
          <w:p>
            <w:pPr>
              <w:spacing w:after="0"/>
              <w:rPr>
                <w:sz w:val="16"/>
                <w:szCs w:val="16"/>
                <w:color w:val="auto"/>
              </w:rPr>
            </w:pPr>
          </w:p>
        </w:tc>
        <w:tc>
          <w:tcPr>
            <w:tcW w:w="294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Fiscal Year-End (#)</w:t>
            </w:r>
          </w:p>
        </w:tc>
        <w:tc>
          <w:tcPr>
            <w:tcW w:w="2480" w:type="dxa"/>
            <w:vAlign w:val="bottom"/>
          </w:tcPr>
          <w:p>
            <w:pPr>
              <w:jc w:val="center"/>
              <w:spacing w:after="0"/>
              <w:rPr>
                <w:sz w:val="20"/>
                <w:szCs w:val="20"/>
                <w:color w:val="auto"/>
              </w:rPr>
            </w:pPr>
            <w:r>
              <w:rPr>
                <w:rFonts w:ascii="Courier New" w:cs="Courier New" w:eastAsia="Courier New" w:hAnsi="Courier New"/>
                <w:sz w:val="16"/>
                <w:szCs w:val="16"/>
                <w:color w:val="auto"/>
              </w:rPr>
              <w:t>Fiscal Year-End ($)(1)</w:t>
            </w:r>
          </w:p>
        </w:tc>
        <w:tc>
          <w:tcPr>
            <w:tcW w:w="0" w:type="dxa"/>
            <w:vAlign w:val="bottom"/>
          </w:tcPr>
          <w:p>
            <w:pPr>
              <w:spacing w:after="0"/>
              <w:rPr>
                <w:sz w:val="1"/>
                <w:szCs w:val="1"/>
                <w:color w:val="auto"/>
              </w:rPr>
            </w:pPr>
          </w:p>
        </w:tc>
      </w:tr>
      <w:tr>
        <w:trPr>
          <w:trHeight w:val="188"/>
        </w:trPr>
        <w:tc>
          <w:tcPr>
            <w:tcW w:w="92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2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94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w:t>
            </w:r>
          </w:p>
        </w:tc>
        <w:tc>
          <w:tcPr>
            <w:tcW w:w="24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18"/>
        </w:trPr>
        <w:tc>
          <w:tcPr>
            <w:tcW w:w="920" w:type="dxa"/>
            <w:vAlign w:val="bottom"/>
            <w:vMerge w:val="continue"/>
          </w:tcPr>
          <w:p>
            <w:pPr>
              <w:spacing w:after="0"/>
              <w:rPr>
                <w:sz w:val="18"/>
                <w:szCs w:val="18"/>
                <w:color w:val="auto"/>
              </w:rPr>
            </w:pPr>
          </w:p>
        </w:tc>
        <w:tc>
          <w:tcPr>
            <w:tcW w:w="8940" w:type="dxa"/>
            <w:vAlign w:val="bottom"/>
            <w:gridSpan w:val="4"/>
          </w:tcPr>
          <w:p>
            <w:pPr>
              <w:ind w:left="540"/>
              <w:spacing w:after="0"/>
              <w:rPr>
                <w:sz w:val="20"/>
                <w:szCs w:val="20"/>
                <w:color w:val="auto"/>
              </w:rPr>
            </w:pPr>
            <w:r>
              <w:rPr>
                <w:rFonts w:ascii="Courier New" w:cs="Courier New" w:eastAsia="Courier New" w:hAnsi="Courier New"/>
                <w:sz w:val="16"/>
                <w:szCs w:val="16"/>
                <w:color w:val="auto"/>
              </w:rPr>
              <w:t>on Exercise (#) Value Realized ($) Exercisable Unexercisable Exercisable Unexercisable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Steven</w:t>
            </w: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J. Guttman.......</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403,333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566,667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$261,250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Howard</w:t>
            </w: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S. Biel..........</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200,000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Nathan</w:t>
            </w: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P. Fishkin.......</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76,666</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133,334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100,625</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117,225</w:t>
            </w: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Ron D.</w:t>
            </w: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Kaplan...........</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9,638</w:t>
            </w:r>
          </w:p>
        </w:tc>
        <w:tc>
          <w:tcPr>
            <w:tcW w:w="64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7"/>
              </w:rPr>
              <w:t>41,563</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68,695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66,667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101,666</w:t>
            </w:r>
          </w:p>
        </w:tc>
        <w:tc>
          <w:tcPr>
            <w:tcW w:w="3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Cecily</w:t>
            </w: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A. Ward..........</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64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3,250</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50,000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50,000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103,125</w:t>
            </w:r>
          </w:p>
        </w:tc>
        <w:tc>
          <w:tcPr>
            <w:tcW w:w="3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276"/>
        </w:trPr>
        <w:tc>
          <w:tcPr>
            <w:tcW w:w="640" w:type="dxa"/>
            <w:vAlign w:val="bottom"/>
          </w:tcPr>
          <w:p>
            <w:pPr>
              <w:spacing w:after="0"/>
              <w:rPr>
                <w:sz w:val="20"/>
                <w:szCs w:val="20"/>
                <w:color w:val="auto"/>
              </w:rPr>
            </w:pPr>
            <w:r>
              <w:rPr>
                <w:rFonts w:ascii="Courier New" w:cs="Courier New" w:eastAsia="Courier New" w:hAnsi="Courier New"/>
                <w:sz w:val="16"/>
                <w:szCs w:val="16"/>
                <w:color w:val="auto"/>
              </w:rPr>
              <w:t>Donald</w:t>
            </w: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C. Wood..........</w:t>
            </w:r>
          </w:p>
        </w:tc>
        <w:tc>
          <w:tcPr>
            <w:tcW w:w="13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3"/>
                <w:szCs w:val="23"/>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250,000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 w:lineRule="exact"/>
        <w:rPr>
          <w:sz w:val="20"/>
          <w:szCs w:val="20"/>
          <w:color w:val="auto"/>
        </w:rPr>
      </w:pPr>
    </w:p>
    <w:p>
      <w:pPr>
        <w:jc w:val="center"/>
        <w:ind w:left="3820" w:right="3420" w:hanging="3820"/>
        <w:spacing w:after="0" w:line="583" w:lineRule="auto"/>
        <w:tabs>
          <w:tab w:leader="none" w:pos="39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$23.625 per Share closing price on the NYSE on December 31, 1998. 9</w:t>
      </w:r>
    </w:p>
    <w:p>
      <w:pPr>
        <w:sectPr>
          <w:pgSz w:w="11900" w:h="16838" w:orient="portrait"/>
          <w:cols w:equalWidth="0" w:num="1">
            <w:col w:w="11040"/>
          </w:cols>
          <w:pgMar w:left="240" w:top="650" w:right="619" w:bottom="992" w:gutter="0" w:footer="0" w:header="0"/>
        </w:sectPr>
      </w:pPr>
    </w:p>
    <w:bookmarkStart w:id="13" w:name="page14"/>
    <w:bookmarkEnd w:id="13"/>
    <w:tbl>
      <w:tblPr>
        <w:tblLayout w:type="fixed"/>
        <w:tblInd w:w="400" w:type="dxa"/>
        <w:tblCellMar>
          <w:top w:w="0" w:type="dxa"/>
          <w:left w:w="0" w:type="dxa"/>
          <w:bottom w:w="0" w:type="dxa"/>
          <w:right w:w="0" w:type="dxa"/>
        </w:tblCellMar>
      </w:tblPr>
      <w:tr>
        <w:trPr>
          <w:trHeight w:val="276"/>
        </w:trPr>
        <w:tc>
          <w:tcPr>
            <w:tcW w:w="580" w:type="dxa"/>
            <w:vAlign w:val="bottom"/>
          </w:tcPr>
          <w:p>
            <w:pPr>
              <w:spacing w:after="0"/>
              <w:rPr>
                <w:sz w:val="23"/>
                <w:szCs w:val="23"/>
                <w:color w:val="auto"/>
              </w:rPr>
            </w:pPr>
          </w:p>
        </w:tc>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Long-Term Incentive Plans -- Awards in</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Last Fiscal Year</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4"/>
        </w:trPr>
        <w:tc>
          <w:tcPr>
            <w:tcW w:w="5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7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(b)</w:t>
            </w:r>
          </w:p>
        </w:tc>
        <w:tc>
          <w:tcPr>
            <w:tcW w:w="11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(c)</w:t>
            </w:r>
          </w:p>
        </w:tc>
        <w:tc>
          <w:tcPr>
            <w:tcW w:w="15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Estimated Future</w:t>
            </w: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Payouts</w:t>
            </w: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27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Number of Shares, Units,</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Performance</w:t>
            </w:r>
          </w:p>
        </w:tc>
        <w:tc>
          <w:tcPr>
            <w:tcW w:w="16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or Other Period</w:t>
            </w:r>
          </w:p>
        </w:tc>
        <w:tc>
          <w:tcPr>
            <w:tcW w:w="15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under Non-Stock</w:t>
            </w:r>
          </w:p>
        </w:tc>
        <w:tc>
          <w:tcPr>
            <w:tcW w:w="0" w:type="dxa"/>
            <w:vAlign w:val="bottom"/>
          </w:tcPr>
          <w:p>
            <w:pPr>
              <w:spacing w:after="0"/>
              <w:rPr>
                <w:sz w:val="1"/>
                <w:szCs w:val="1"/>
                <w:color w:val="auto"/>
              </w:rPr>
            </w:pPr>
          </w:p>
        </w:tc>
      </w:tr>
      <w:tr>
        <w:trPr>
          <w:trHeight w:val="188"/>
        </w:trPr>
        <w:tc>
          <w:tcPr>
            <w:tcW w:w="58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27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5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Price-Based</w:t>
            </w:r>
          </w:p>
        </w:tc>
        <w:tc>
          <w:tcPr>
            <w:tcW w:w="0" w:type="dxa"/>
            <w:vAlign w:val="bottom"/>
          </w:tcPr>
          <w:p>
            <w:pPr>
              <w:spacing w:after="0"/>
              <w:rPr>
                <w:sz w:val="1"/>
                <w:szCs w:val="1"/>
                <w:color w:val="auto"/>
              </w:rPr>
            </w:pPr>
          </w:p>
        </w:tc>
      </w:tr>
      <w:tr>
        <w:trPr>
          <w:trHeight w:val="218"/>
        </w:trPr>
        <w:tc>
          <w:tcPr>
            <w:tcW w:w="580" w:type="dxa"/>
            <w:vAlign w:val="bottom"/>
            <w:vMerge w:val="continue"/>
          </w:tcPr>
          <w:p>
            <w:pPr>
              <w:spacing w:after="0"/>
              <w:rPr>
                <w:sz w:val="18"/>
                <w:szCs w:val="18"/>
                <w:color w:val="auto"/>
              </w:rPr>
            </w:pPr>
          </w:p>
        </w:tc>
        <w:tc>
          <w:tcPr>
            <w:tcW w:w="27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or Other Rights(#)(A)</w:t>
            </w:r>
          </w:p>
        </w:tc>
        <w:tc>
          <w:tcPr>
            <w:tcW w:w="2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Until Maturation or Payout</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rPr>
              <w:t>Plans(#)</w:t>
            </w:r>
          </w:p>
        </w:tc>
        <w:tc>
          <w:tcPr>
            <w:tcW w:w="0" w:type="dxa"/>
            <w:vAlign w:val="bottom"/>
          </w:tcPr>
          <w:p>
            <w:pPr>
              <w:spacing w:after="0"/>
              <w:rPr>
                <w:sz w:val="1"/>
                <w:szCs w:val="1"/>
                <w:color w:val="auto"/>
              </w:rPr>
            </w:pPr>
          </w:p>
        </w:tc>
      </w:tr>
    </w:tbl>
    <w:p>
      <w:pPr>
        <w:ind w:left="1360" w:hanging="969"/>
        <w:spacing w:after="0"/>
        <w:tabs>
          <w:tab w:leader="none" w:pos="13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Steven J.</w:t>
            </w:r>
          </w:p>
        </w:tc>
        <w:tc>
          <w:tcPr>
            <w:tcW w:w="2100" w:type="dxa"/>
            <w:vAlign w:val="bottom"/>
            <w:vMerge w:val="restart"/>
          </w:tcPr>
          <w:p>
            <w:pPr>
              <w:jc w:val="right"/>
              <w:ind w:right="899"/>
              <w:spacing w:after="0"/>
              <w:rPr>
                <w:sz w:val="20"/>
                <w:szCs w:val="20"/>
                <w:color w:val="auto"/>
              </w:rPr>
            </w:pPr>
            <w:r>
              <w:rPr>
                <w:rFonts w:ascii="Courier New" w:cs="Courier New" w:eastAsia="Courier New" w:hAnsi="Courier New"/>
                <w:sz w:val="16"/>
                <w:szCs w:val="16"/>
                <w:color w:val="auto"/>
              </w:rPr>
              <w:t>300,000</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w:t>
            </w:r>
          </w:p>
        </w:tc>
        <w:tc>
          <w:tcPr>
            <w:tcW w:w="10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years</w:t>
            </w:r>
          </w:p>
        </w:tc>
        <w:tc>
          <w:tcPr>
            <w:tcW w:w="210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300,000</w:t>
            </w:r>
          </w:p>
        </w:tc>
        <w:tc>
          <w:tcPr>
            <w:tcW w:w="0" w:type="dxa"/>
            <w:vAlign w:val="bottom"/>
          </w:tcPr>
          <w:p>
            <w:pPr>
              <w:spacing w:after="0"/>
              <w:rPr>
                <w:sz w:val="1"/>
                <w:szCs w:val="1"/>
                <w:color w:val="auto"/>
              </w:rPr>
            </w:pPr>
          </w:p>
        </w:tc>
      </w:tr>
      <w:tr>
        <w:trPr>
          <w:trHeight w:val="188"/>
        </w:trPr>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Guttman(1)</w:t>
            </w:r>
          </w:p>
        </w:tc>
        <w:tc>
          <w:tcPr>
            <w:tcW w:w="2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Nathan P.</w:t>
            </w:r>
          </w:p>
        </w:tc>
        <w:tc>
          <w:tcPr>
            <w:tcW w:w="2100" w:type="dxa"/>
            <w:vAlign w:val="bottom"/>
            <w:vMerge w:val="restart"/>
          </w:tcPr>
          <w:p>
            <w:pPr>
              <w:jc w:val="right"/>
              <w:ind w:right="899"/>
              <w:spacing w:after="0"/>
              <w:rPr>
                <w:sz w:val="20"/>
                <w:szCs w:val="20"/>
                <w:color w:val="auto"/>
              </w:rPr>
            </w:pPr>
            <w:r>
              <w:rPr>
                <w:rFonts w:ascii="Courier New" w:cs="Courier New" w:eastAsia="Courier New" w:hAnsi="Courier New"/>
                <w:sz w:val="16"/>
                <w:szCs w:val="16"/>
                <w:color w:val="auto"/>
              </w:rPr>
              <w:t>75,000</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w:t>
            </w:r>
          </w:p>
        </w:tc>
        <w:tc>
          <w:tcPr>
            <w:tcW w:w="10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years</w:t>
            </w:r>
          </w:p>
        </w:tc>
        <w:tc>
          <w:tcPr>
            <w:tcW w:w="2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Not determinable</w:t>
            </w:r>
          </w:p>
        </w:tc>
        <w:tc>
          <w:tcPr>
            <w:tcW w:w="0" w:type="dxa"/>
            <w:vAlign w:val="bottom"/>
          </w:tcPr>
          <w:p>
            <w:pPr>
              <w:spacing w:after="0"/>
              <w:rPr>
                <w:sz w:val="1"/>
                <w:szCs w:val="1"/>
                <w:color w:val="auto"/>
              </w:rPr>
            </w:pPr>
          </w:p>
        </w:tc>
      </w:tr>
      <w:tr>
        <w:trPr>
          <w:trHeight w:val="188"/>
        </w:trPr>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Fishkin(2)</w:t>
            </w:r>
          </w:p>
        </w:tc>
        <w:tc>
          <w:tcPr>
            <w:tcW w:w="2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Ron D.</w:t>
            </w:r>
          </w:p>
        </w:tc>
        <w:tc>
          <w:tcPr>
            <w:tcW w:w="2100" w:type="dxa"/>
            <w:vAlign w:val="bottom"/>
            <w:vMerge w:val="restart"/>
          </w:tcPr>
          <w:p>
            <w:pPr>
              <w:jc w:val="right"/>
              <w:ind w:right="899"/>
              <w:spacing w:after="0"/>
              <w:rPr>
                <w:sz w:val="20"/>
                <w:szCs w:val="20"/>
                <w:color w:val="auto"/>
              </w:rPr>
            </w:pPr>
            <w:r>
              <w:rPr>
                <w:rFonts w:ascii="Courier New" w:cs="Courier New" w:eastAsia="Courier New" w:hAnsi="Courier New"/>
                <w:sz w:val="16"/>
                <w:szCs w:val="16"/>
                <w:color w:val="auto"/>
              </w:rPr>
              <w:t>62,500</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w:t>
            </w:r>
          </w:p>
        </w:tc>
        <w:tc>
          <w:tcPr>
            <w:tcW w:w="10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years</w:t>
            </w:r>
          </w:p>
        </w:tc>
        <w:tc>
          <w:tcPr>
            <w:tcW w:w="210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62,500</w:t>
            </w:r>
          </w:p>
        </w:tc>
        <w:tc>
          <w:tcPr>
            <w:tcW w:w="0" w:type="dxa"/>
            <w:vAlign w:val="bottom"/>
          </w:tcPr>
          <w:p>
            <w:pPr>
              <w:spacing w:after="0"/>
              <w:rPr>
                <w:sz w:val="1"/>
                <w:szCs w:val="1"/>
                <w:color w:val="auto"/>
              </w:rPr>
            </w:pPr>
          </w:p>
        </w:tc>
      </w:tr>
      <w:tr>
        <w:trPr>
          <w:trHeight w:val="276"/>
        </w:trPr>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Kaplan(3)</w:t>
            </w:r>
          </w:p>
        </w:tc>
        <w:tc>
          <w:tcPr>
            <w:tcW w:w="210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2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400" w:right="2599" w:hanging="400"/>
        <w:spacing w:after="0" w:line="261"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1998, Mr. Guttman was awarded a Performance Share Award of 300,000 Shares, which will vest over an eight-year period if the Trust meets the "Performance Target" of FFO annual growth per share of seven percent (7%), and over a shorter period if FFO annual growth per share is nine percent (9%) or more. Any Performance Shares which remain unvested after 2005 vest in five equal annual installments through 2010. Performance Shares may be forfeited under certain circumstances, or may vest on an accelerated basis under other circumstances. The Performance Target was not met for 1998 and no Performance Shares vested. The terms of this award are described below in "Employment Agreements, Termination of Employment and Change in Control Arrangements."</w:t>
      </w:r>
    </w:p>
    <w:p>
      <w:pPr>
        <w:spacing w:after="0" w:line="87" w:lineRule="exact"/>
        <w:rPr>
          <w:rFonts w:ascii="Courier New" w:cs="Courier New" w:eastAsia="Courier New" w:hAnsi="Courier New"/>
          <w:sz w:val="16"/>
          <w:szCs w:val="16"/>
          <w:color w:val="auto"/>
        </w:rPr>
      </w:pPr>
    </w:p>
    <w:p>
      <w:pPr>
        <w:ind w:left="400" w:right="2599" w:hanging="400"/>
        <w:spacing w:after="0" w:line="264"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26, 1998, Mr. Fishkin was awarded a Performance Share Award of 75,000 Shares. An unspecified number of Performance Shares are eligible to vest each year from 1999 through 2001 based on the calculation of value created in certain real estate projects. Any Performance Shares which remain unvested after 2001 are forfeited. Performance Shares may be forfeited under certain other circumstances, or may vest on an accelerated basis under certain other circumstances. The terms of this award are described in "Employment Agreements; Termination of Employment and Change in Control Arrangements."</w:t>
      </w:r>
    </w:p>
    <w:p>
      <w:pPr>
        <w:spacing w:after="0" w:line="85" w:lineRule="exact"/>
        <w:rPr>
          <w:rFonts w:ascii="Courier New" w:cs="Courier New" w:eastAsia="Courier New" w:hAnsi="Courier New"/>
          <w:sz w:val="16"/>
          <w:szCs w:val="16"/>
          <w:color w:val="auto"/>
        </w:rPr>
      </w:pPr>
    </w:p>
    <w:p>
      <w:pPr>
        <w:ind w:left="400" w:right="2599" w:hanging="400"/>
        <w:spacing w:after="0" w:line="261"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1998, Mr. Kaplan was awarded a Performance Share Award of 62,500 Shares, which will vest over an eight-year period if the Trust meets the "Performance Target" of FFO annual growth per share of seven percent (7%), and over a shorter period if FFO annual growth per share is nine percent (9%) or more. Any Performance Shares which remain unvested after 2005 vest in five equal annual installments through 2010. Performance Shares may be forfeited under certain circumstances, or may vest on an accelerated basis under other circumstances. The Performance Target was not met for 1998 and no Performance Shares vested. The terms of this award are described below in "Employment Agreements, Termination of Employment and Change in Control Arrangements."</w:t>
      </w:r>
    </w:p>
    <w:p>
      <w:pPr>
        <w:spacing w:after="0" w:line="87" w:lineRule="exact"/>
        <w:rPr>
          <w:sz w:val="20"/>
          <w:szCs w:val="20"/>
          <w:color w:val="auto"/>
        </w:rPr>
      </w:pPr>
    </w:p>
    <w:p>
      <w:pPr>
        <w:ind w:left="3720" w:right="5619" w:hanging="3720"/>
        <w:spacing w:after="0" w:line="622" w:lineRule="auto"/>
        <w:tabs>
          <w:tab w:leader="none" w:pos="59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are paid on Performance Shares. 10</w:t>
      </w:r>
    </w:p>
    <w:p>
      <w:pPr>
        <w:sectPr>
          <w:pgSz w:w="11900" w:h="16838" w:orient="portrait"/>
          <w:cols w:equalWidth="0" w:num="1">
            <w:col w:w="10219"/>
          </w:cols>
          <w:pgMar w:left="240" w:top="65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Retirement and Disability Plans</w:t>
      </w:r>
    </w:p>
    <w:p>
      <w:pPr>
        <w:spacing w:after="0" w:line="195" w:lineRule="exact"/>
        <w:rPr>
          <w:sz w:val="20"/>
          <w:szCs w:val="20"/>
          <w:color w:val="auto"/>
        </w:rPr>
      </w:pPr>
    </w:p>
    <w:p>
      <w:pPr>
        <w:ind w:right="2699" w:firstLine="196"/>
        <w:spacing w:after="0" w:line="269" w:lineRule="auto"/>
        <w:rPr>
          <w:sz w:val="20"/>
          <w:szCs w:val="20"/>
          <w:color w:val="auto"/>
        </w:rPr>
      </w:pPr>
      <w:r>
        <w:rPr>
          <w:rFonts w:ascii="Courier New" w:cs="Courier New" w:eastAsia="Courier New" w:hAnsi="Courier New"/>
          <w:sz w:val="16"/>
          <w:szCs w:val="16"/>
          <w:color w:val="auto"/>
        </w:rPr>
        <w:t>The Trust has a retirement and disability plan for Mr. Guttman, in effect since 1978. The agreement implementing the plan provides generally for an annual payment after retirement at or after age 62, or at any time on suffering a total and permanent disability, of $40,000. A lump-sum death benefit of $40,000 will be paid to Mr. Guttman's estate. Mr. Guttman's plan requires funding, and a $200,000 annuity contract was purchased to assist the Trust in meeting this obligation.</w:t>
      </w:r>
    </w:p>
    <w:p>
      <w:pPr>
        <w:spacing w:after="0" w:line="82" w:lineRule="exact"/>
        <w:rPr>
          <w:sz w:val="20"/>
          <w:szCs w:val="20"/>
          <w:color w:val="auto"/>
        </w:rPr>
      </w:pPr>
    </w:p>
    <w:p>
      <w:pPr>
        <w:ind w:right="2599" w:firstLine="196"/>
        <w:spacing w:after="0" w:line="264" w:lineRule="auto"/>
        <w:rPr>
          <w:sz w:val="20"/>
          <w:szCs w:val="20"/>
          <w:color w:val="auto"/>
        </w:rPr>
      </w:pPr>
      <w:r>
        <w:rPr>
          <w:rFonts w:ascii="Courier New" w:cs="Courier New" w:eastAsia="Courier New" w:hAnsi="Courier New"/>
          <w:sz w:val="16"/>
          <w:szCs w:val="16"/>
          <w:color w:val="auto"/>
        </w:rPr>
        <w:t>The Trust has a retirement and consulting plan for Mr. Gorlitz, effective since 1978, and amended in 1988 and 1992 to revise the annual payment.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the retirement payment will be adjusted annually for changes in the Consumer Price Index, except that no annual adjustment may exceed 10%.</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Compensation Committee on Executive Compensation</w:t>
      </w:r>
    </w:p>
    <w:p>
      <w:pPr>
        <w:spacing w:after="0" w:line="195" w:lineRule="exact"/>
        <w:rPr>
          <w:sz w:val="20"/>
          <w:szCs w:val="20"/>
          <w:color w:val="auto"/>
        </w:rPr>
      </w:pPr>
    </w:p>
    <w:p>
      <w:pPr>
        <w:jc w:val="both"/>
        <w:ind w:right="2699" w:firstLine="196"/>
        <w:spacing w:after="0" w:line="290" w:lineRule="auto"/>
        <w:rPr>
          <w:sz w:val="20"/>
          <w:szCs w:val="20"/>
          <w:color w:val="auto"/>
        </w:rPr>
      </w:pPr>
      <w:r>
        <w:rPr>
          <w:rFonts w:ascii="Courier New" w:cs="Courier New" w:eastAsia="Courier New" w:hAnsi="Courier New"/>
          <w:sz w:val="16"/>
          <w:szCs w:val="16"/>
          <w:color w:val="auto"/>
        </w:rPr>
        <w:t>In 1998, as in prior years, the Compensation Committee was responsible for determining the level of compensation paid to the Trust's executive officers, subject to the review and approval of the Board of Trustees. The Compensation Committee is comprised entirely of non-employee Trustees.</w:t>
      </w:r>
    </w:p>
    <w:p>
      <w:pPr>
        <w:spacing w:after="0" w:line="64"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64" w:lineRule="exact"/>
        <w:rPr>
          <w:sz w:val="20"/>
          <w:szCs w:val="20"/>
          <w:color w:val="auto"/>
        </w:rPr>
      </w:pPr>
    </w:p>
    <w:p>
      <w:pPr>
        <w:ind w:left="400" w:right="2699" w:hanging="204"/>
        <w:spacing w:after="0" w:line="311"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compensation programs that stress stock ownership and, thereby, tie long-term compensation to increases in shareholder value as evidenced by Trust Share price appreciation.</w:t>
      </w:r>
    </w:p>
    <w:p>
      <w:pPr>
        <w:spacing w:after="0" w:line="47" w:lineRule="exact"/>
        <w:rPr>
          <w:sz w:val="20"/>
          <w:szCs w:val="20"/>
          <w:color w:val="auto"/>
        </w:rPr>
      </w:pPr>
    </w:p>
    <w:p>
      <w:pPr>
        <w:ind w:left="400" w:right="2879" w:hanging="204"/>
        <w:spacing w:after="0" w:line="290"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compensation programs that enhance the Trust's ability to attract and retain qualified executive officers while providing the financial motivation necessary to achieve continued high levels of Trust performance.</w:t>
      </w:r>
    </w:p>
    <w:p>
      <w:pPr>
        <w:spacing w:after="0" w:line="64" w:lineRule="exact"/>
        <w:rPr>
          <w:sz w:val="20"/>
          <w:szCs w:val="20"/>
          <w:color w:val="auto"/>
        </w:rPr>
      </w:pPr>
    </w:p>
    <w:p>
      <w:pPr>
        <w:ind w:left="400" w:right="2799" w:hanging="204"/>
        <w:spacing w:after="0" w:line="290"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64" w:lineRule="exact"/>
        <w:rPr>
          <w:sz w:val="20"/>
          <w:szCs w:val="20"/>
          <w:color w:val="auto"/>
        </w:rPr>
      </w:pPr>
    </w:p>
    <w:p>
      <w:pPr>
        <w:ind w:left="400" w:right="2979" w:hanging="204"/>
        <w:spacing w:after="0" w:line="373"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 salary, bonuses and other compensation awards commensurate with overall corporate results.</w:t>
      </w:r>
    </w:p>
    <w:p>
      <w:pPr>
        <w:ind w:left="400" w:right="3479" w:hanging="204"/>
        <w:spacing w:after="0" w:line="373"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 compensation programs that emphasize teamwork, pay-for-performance and overall corporate results.</w:t>
      </w:r>
    </w:p>
    <w:p>
      <w:pPr>
        <w:ind w:right="2599" w:firstLine="196"/>
        <w:spacing w:after="0" w:line="280" w:lineRule="auto"/>
        <w:rPr>
          <w:sz w:val="20"/>
          <w:szCs w:val="20"/>
          <w:color w:val="auto"/>
        </w:rPr>
      </w:pPr>
      <w:r>
        <w:rPr>
          <w:rFonts w:ascii="Courier New" w:cs="Courier New" w:eastAsia="Courier New" w:hAnsi="Courier New"/>
          <w:sz w:val="16"/>
          <w:szCs w:val="16"/>
          <w:color w:val="auto"/>
        </w:rPr>
        <w:t>The Compensation Committee has traditionally retained a high degree of flexibility in structuring the Trust's compensation programs. This approach has allowed the Compensation Committee annually to evaluate subjectively and reward each executive officer's individual performance and contribution to the Trust's overall financial and operational success.</w:t>
      </w:r>
    </w:p>
    <w:p>
      <w:pPr>
        <w:spacing w:after="0" w:line="70"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Named Executive Officers (other than the Chief Executive Officer). Near the end of each year, or early in the following year, the Compensation Committee determines the salary to be paid to each executive officer during the subsequent year and the bonus to be paid for the current year. Mr. Guttman assists the Compensation</w:t>
      </w:r>
    </w:p>
    <w:p>
      <w:pPr>
        <w:spacing w:after="0" w:line="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0" w:right="1440" w:bottom="1440" w:gutter="0" w:footer="0" w:header="0"/>
        </w:sectPr>
      </w:pPr>
    </w:p>
    <w:bookmarkStart w:id="15" w:name="page16"/>
    <w:bookmarkEnd w:id="15"/>
    <w:p>
      <w:pPr>
        <w:ind w:right="2599"/>
        <w:spacing w:after="0" w:line="373" w:lineRule="auto"/>
        <w:rPr>
          <w:sz w:val="20"/>
          <w:szCs w:val="20"/>
          <w:color w:val="auto"/>
        </w:rPr>
      </w:pPr>
      <w:r>
        <w:rPr>
          <w:rFonts w:ascii="Courier New" w:cs="Courier New" w:eastAsia="Courier New" w:hAnsi="Courier New"/>
          <w:sz w:val="16"/>
          <w:szCs w:val="16"/>
          <w:color w:val="auto"/>
        </w:rPr>
        <w:t>Committee by making recommendations concerning salaries and bonuses to be paid to executive officers, other than himself.</w:t>
      </w:r>
    </w:p>
    <w:p>
      <w:pPr>
        <w:ind w:right="2599" w:firstLine="196"/>
        <w:spacing w:after="0" w:line="261" w:lineRule="auto"/>
        <w:rPr>
          <w:sz w:val="20"/>
          <w:szCs w:val="20"/>
          <w:color w:val="auto"/>
        </w:rPr>
      </w:pPr>
      <w:r>
        <w:rPr>
          <w:rFonts w:ascii="Courier New" w:cs="Courier New" w:eastAsia="Courier New" w:hAnsi="Courier New"/>
          <w:sz w:val="16"/>
          <w:szCs w:val="16"/>
          <w:color w:val="auto"/>
        </w:rPr>
        <w:t>Mr. Guttman's recommendations and the Committee's decisions are based, in all cases other than for Mr. Wood, upon their subjective evaluation of each executive officer's performance and responsibilities as they relate to certain "Performance Factors" including the productivity of the Trust's leasing effort, the increase in funds from operations ("FFO"), the financing transactions completed and the redevelopment and operation of the Trust's properties. Mr. Wood's letter of employment provided for a guaranteed bonus for 1998 of $125,000. The bonuses awarded by the Compensation Committee for 1998 consider the attainment of the Trust's operating performance in 1998 as well as the market demand for the Trust's key employees. In general, 1998 bonuses were lower than those for 1997.</w:t>
      </w:r>
    </w:p>
    <w:p>
      <w:pPr>
        <w:spacing w:after="0" w:line="87"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In determining the executive officers' salary and bonus levels, the Compensation Committee also takes into account the total cash compensation paid to executive officers with similar positions in select successful real estate investment trusts and other national and regional companies that it concludes possess revenues, profitability and growth that are comparable to the Trust's (the "Survey Group"). Some of the companies in the Survey Group are included in the National Association of Real Estate Investment Trust equity index. The Compensation Committee's goal is to maintain the total compensation package for executive officers at a level which is competitive with the total compensation paid to executive officers of the companies in the Survey Group.</w:t>
      </w:r>
    </w:p>
    <w:p>
      <w:pPr>
        <w:spacing w:after="0" w:line="284"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It is expected that, by the end of 1999, the Compensation Committee will have adopted new incentive compensation plans for all Trust employees aimed at increasing objectivity of the annual bonus awards by quantifying awards based on specific operational performance thresholds and the achievement of individual objectives.</w:t>
      </w:r>
    </w:p>
    <w:p>
      <w:pPr>
        <w:spacing w:after="0" w:line="70" w:lineRule="exact"/>
        <w:rPr>
          <w:sz w:val="20"/>
          <w:szCs w:val="20"/>
          <w:color w:val="auto"/>
        </w:rPr>
      </w:pPr>
    </w:p>
    <w:p>
      <w:pPr>
        <w:ind w:right="3179" w:firstLine="196"/>
        <w:spacing w:after="0" w:line="290" w:lineRule="auto"/>
        <w:rPr>
          <w:sz w:val="20"/>
          <w:szCs w:val="20"/>
          <w:color w:val="auto"/>
        </w:rPr>
      </w:pPr>
      <w:r>
        <w:rPr>
          <w:rFonts w:ascii="Courier New" w:cs="Courier New" w:eastAsia="Courier New" w:hAnsi="Courier New"/>
          <w:sz w:val="16"/>
          <w:szCs w:val="16"/>
          <w:color w:val="auto"/>
        </w:rPr>
        <w:t>Chief Executive Officer. As Chief Executive Officer, Mr. Guttman is compensated pursuant to his employment agreement discussed above and in accordance with the performance factors discussed earlier. Mr. Guttman's compensation package is comprised of:</w:t>
      </w:r>
    </w:p>
    <w:p>
      <w:pPr>
        <w:spacing w:after="0" w:line="64" w:lineRule="exact"/>
        <w:rPr>
          <w:sz w:val="20"/>
          <w:szCs w:val="20"/>
          <w:color w:val="auto"/>
        </w:rPr>
      </w:pPr>
    </w:p>
    <w:p>
      <w:pPr>
        <w:ind w:left="300" w:right="2499" w:hanging="202"/>
        <w:spacing w:after="0" w:line="268" w:lineRule="auto"/>
        <w:tabs>
          <w:tab w:leader="none" w:pos="39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base salary component commensurate with other non-founder chief executive officers in the region and industry</w:t>
      </w:r>
    </w:p>
    <w:p>
      <w:pPr>
        <w:spacing w:after="0" w:line="1" w:lineRule="exact"/>
        <w:rPr>
          <w:sz w:val="20"/>
          <w:szCs w:val="20"/>
          <w:color w:val="auto"/>
        </w:rPr>
      </w:pPr>
    </w:p>
    <w:p>
      <w:pPr>
        <w:ind w:left="300" w:right="3279" w:hanging="202"/>
        <w:spacing w:after="0" w:line="248" w:lineRule="auto"/>
        <w:tabs>
          <w:tab w:leader="none" w:pos="39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incentive bonus awarded at the discretion of the Board of Trustees which has historically approximated 40-60% of base pay</w:t>
      </w:r>
    </w:p>
    <w:p>
      <w:pPr>
        <w:spacing w:after="0" w:line="1" w:lineRule="exact"/>
        <w:rPr>
          <w:sz w:val="20"/>
          <w:szCs w:val="20"/>
          <w:color w:val="auto"/>
        </w:rPr>
      </w:pPr>
    </w:p>
    <w:p>
      <w:pPr>
        <w:ind w:left="300" w:right="3579" w:hanging="202"/>
        <w:spacing w:after="0" w:line="334" w:lineRule="auto"/>
        <w:tabs>
          <w:tab w:leader="none" w:pos="39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long-term performance share component which vests based on FFO performance hurdles.</w:t>
      </w:r>
    </w:p>
    <w:p>
      <w:pPr>
        <w:spacing w:after="0" w:line="2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 September 1997 the Compensation Committee approved a plan to link Mr.</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Guttman's compensation to shareholder value. The Compensation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approved a Stock in Lieu of Salary Plan and a Stock in Lieu of Bonus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which Mr. Guttman may elect to forgo receipt of his salary and/or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in cash and receive instead the number of Shares equal to 133% of 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salary and/or bonus amount divided by the closing price per Share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of the previous year. To implement the Stock in Lieu of Salary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Plans, the Trust and Mr. Guttman entered into restricted share award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pursuant to which Mr. Guttman will receive (unless he elects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Shares in lieu of his salary for the years 1998 through 2002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in lieu of his bonus for the years 1997 through 2001. The terms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agreements are described above in "Employment Agreements; Termination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and Change in Control Arrangements." In connection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 of the Stock in Lieu of Salary and Bonus Plans, Mr. Guttman agreed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if he elected to receive Shares in lieu of his 1998 salary, his salary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1998 would be $475,000, a decrease from his 1997 salary of $529,000.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Guttman's salary for 1999 remained at its 1998 level. Mr. Guttman elected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 Shares in lieu of cash for his 1998 salary and 1997 bonus (cash award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$275,000) as well as his 1999 salary and 1998 bonus (cash award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$265,000). Pursuant to these elections and the applicable restricted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 agreements, a total of 39,055 Restricted Shares were awarded in January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for his 1998 salary and 1997 bonus, and a total of 43,475 Restricted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were awarded in January and February 1999 for his 1999 salary and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w:t>
      </w:r>
    </w:p>
    <w:p>
      <w:pPr>
        <w:spacing w:after="0" w:line="16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0" w:right="1440" w:bottom="1440" w:gutter="0" w:footer="0" w:header="0"/>
        </w:sectPr>
      </w:pPr>
    </w:p>
    <w:bookmarkStart w:id="16" w:name="page17"/>
    <w:bookmarkEnd w:id="16"/>
    <w:p>
      <w:pPr>
        <w:ind w:right="2599" w:firstLine="196"/>
        <w:spacing w:after="0" w:line="280" w:lineRule="auto"/>
        <w:rPr>
          <w:sz w:val="20"/>
          <w:szCs w:val="20"/>
          <w:color w:val="auto"/>
        </w:rPr>
      </w:pPr>
      <w:r>
        <w:rPr>
          <w:rFonts w:ascii="Courier New" w:cs="Courier New" w:eastAsia="Courier New" w:hAnsi="Courier New"/>
          <w:sz w:val="16"/>
          <w:szCs w:val="16"/>
          <w:color w:val="auto"/>
        </w:rPr>
        <w:t>Also in September 1997, the Compensation Committee awarded Mr. Guttman a performance share award of 300,000 Shares effective January 1, 1998, as described above in "Employment Agreements; Termination of Employment and Change in Control Arrangements." Since FFO per Share of the Trust did not equal or exceed 7% in 1998 on as-reported basis, no Performance Shares vested.</w:t>
      </w:r>
    </w:p>
    <w:p>
      <w:pPr>
        <w:spacing w:after="0" w:line="70" w:lineRule="exact"/>
        <w:rPr>
          <w:sz w:val="20"/>
          <w:szCs w:val="20"/>
          <w:color w:val="auto"/>
        </w:rPr>
      </w:pPr>
    </w:p>
    <w:p>
      <w:pPr>
        <w:ind w:right="2699" w:firstLine="196"/>
        <w:spacing w:after="0" w:line="269" w:lineRule="auto"/>
        <w:rPr>
          <w:sz w:val="20"/>
          <w:szCs w:val="20"/>
          <w:color w:val="auto"/>
        </w:rPr>
      </w:pPr>
      <w:r>
        <w:rPr>
          <w:rFonts w:ascii="Courier New" w:cs="Courier New" w:eastAsia="Courier New" w:hAnsi="Courier New"/>
          <w:sz w:val="16"/>
          <w:szCs w:val="16"/>
          <w:color w:val="auto"/>
        </w:rPr>
        <w:t>The Compensation Committee believes that the compensation arrangements described above will fulfill the objective of linking Mr. Guttman's long-term compensation directly and closely to increasing shareholder value. Increasing Mr. Guttman's equity ownership in the Trust will align his interests with shareholders' long-term interests because the value of Mr. Guttman's options and restricted share and performance awards over time will increase only as Share value increases.</w:t>
      </w:r>
    </w:p>
    <w:p>
      <w:pPr>
        <w:spacing w:after="0" w:line="82" w:lineRule="exact"/>
        <w:rPr>
          <w:sz w:val="20"/>
          <w:szCs w:val="20"/>
          <w:color w:val="auto"/>
        </w:rPr>
      </w:pPr>
    </w:p>
    <w:p>
      <w:pPr>
        <w:ind w:right="2599" w:firstLine="196"/>
        <w:spacing w:after="0" w:line="275" w:lineRule="auto"/>
        <w:rPr>
          <w:sz w:val="20"/>
          <w:szCs w:val="20"/>
          <w:color w:val="auto"/>
        </w:rPr>
      </w:pPr>
      <w:r>
        <w:rPr>
          <w:rFonts w:ascii="Courier New" w:cs="Courier New" w:eastAsia="Courier New" w:hAnsi="Courier New"/>
          <w:sz w:val="16"/>
          <w:szCs w:val="16"/>
          <w:color w:val="auto"/>
        </w:rPr>
        <w:t>Amended and Restated 1993 Long-Term Incentive Plan. In 1997, the Compensation Committee, the Board of Trustees and the shareholders approved revisions to the 1993 Plan to improve and modify its terms and to qualify the 1993 Plan under the performance-based compensation exception to Section 162(m) of the Code (the 1993 Plan as amended is referred to hereafter as the Amended Plan).</w:t>
      </w:r>
    </w:p>
    <w:p>
      <w:pPr>
        <w:spacing w:after="0" w:line="277" w:lineRule="exact"/>
        <w:rPr>
          <w:sz w:val="20"/>
          <w:szCs w:val="20"/>
          <w:color w:val="auto"/>
        </w:rPr>
      </w:pPr>
    </w:p>
    <w:p>
      <w:pPr>
        <w:ind w:right="2599" w:firstLine="196"/>
        <w:spacing w:after="0" w:line="257" w:lineRule="auto"/>
        <w:rPr>
          <w:sz w:val="20"/>
          <w:szCs w:val="20"/>
          <w:color w:val="auto"/>
        </w:rPr>
      </w:pPr>
      <w:r>
        <w:rPr>
          <w:rFonts w:ascii="Courier New" w:cs="Courier New" w:eastAsia="Courier New" w:hAnsi="Courier New"/>
          <w:sz w:val="16"/>
          <w:szCs w:val="16"/>
          <w:color w:val="auto"/>
        </w:rPr>
        <w:t>Deductibility of Executive Compensation in Excess of $1.0 Million. Section 162(m) of the Code generally disallows a federal income 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under the Amended Plan to take advantage of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Company to satisfy the requirements for deductibility under Section 162(m) does in fact do so.</w:t>
      </w:r>
    </w:p>
    <w:p>
      <w:pPr>
        <w:spacing w:after="0" w:line="9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Kenneth D. Brody</w:t>
      </w:r>
    </w:p>
    <w:p>
      <w:pPr>
        <w:spacing w:after="0" w:line="3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Walter F. Loeb</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Mark S. Ordan</w:t>
      </w:r>
    </w:p>
    <w:p>
      <w:pPr>
        <w:spacing w:after="0" w:line="16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0" w:right="1440" w:bottom="1440" w:gutter="0" w:footer="0" w:header="0"/>
        </w:sectPr>
      </w:pPr>
    </w:p>
    <w:bookmarkStart w:id="17" w:name="page18"/>
    <w:bookmarkEnd w:id="17"/>
    <w:p>
      <w:pPr>
        <w:ind w:left="980"/>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5" w:lineRule="exact"/>
        <w:rPr>
          <w:sz w:val="20"/>
          <w:szCs w:val="20"/>
          <w:color w:val="auto"/>
        </w:rPr>
      </w:pPr>
    </w:p>
    <w:p>
      <w:pPr>
        <w:ind w:right="2699" w:firstLine="196"/>
        <w:spacing w:after="0" w:line="290" w:lineRule="auto"/>
        <w:rPr>
          <w:sz w:val="20"/>
          <w:szCs w:val="20"/>
          <w:color w:val="auto"/>
        </w:rPr>
      </w:pPr>
      <w:r>
        <w:rPr>
          <w:rFonts w:ascii="Courier New" w:cs="Courier New" w:eastAsia="Courier New" w:hAnsi="Courier New"/>
          <w:sz w:val="16"/>
          <w:szCs w:val="16"/>
          <w:color w:val="auto"/>
        </w:rPr>
        <w:t>The Compensation Committee consists of Messrs. Brody, Loeb and Ordan. Ms. Gamble served as a member of the Compensation Committee until May 1998. There are no Compensation Committee interlocks and no Trust employees serve on the Compensation Committee.</w:t>
      </w:r>
    </w:p>
    <w:p>
      <w:pPr>
        <w:spacing w:after="0" w:line="6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Stock Price Performance</w:t>
      </w:r>
    </w:p>
    <w:p>
      <w:pPr>
        <w:spacing w:after="0" w:line="195" w:lineRule="exact"/>
        <w:rPr>
          <w:sz w:val="20"/>
          <w:szCs w:val="20"/>
          <w:color w:val="auto"/>
        </w:rPr>
      </w:pPr>
    </w:p>
    <w:p>
      <w:pPr>
        <w:ind w:right="2499" w:firstLine="196"/>
        <w:spacing w:after="0" w:line="264" w:lineRule="auto"/>
        <w:rPr>
          <w:sz w:val="20"/>
          <w:szCs w:val="20"/>
          <w:color w:val="auto"/>
        </w:rPr>
      </w:pPr>
      <w:r>
        <w:rPr>
          <w:rFonts w:ascii="Courier New" w:cs="Courier New" w:eastAsia="Courier New" w:hAnsi="Courier New"/>
          <w:sz w:val="16"/>
          <w:szCs w:val="16"/>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273"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[STOCK PERFORMANCE CHART APPEARS HERE]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Equity</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S&amp;P 500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FRT</w:t>
            </w:r>
          </w:p>
        </w:tc>
      </w:tr>
      <w:tr>
        <w:trPr>
          <w:trHeight w:val="276"/>
        </w:trPr>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40" w:type="dxa"/>
            <w:vAlign w:val="bottom"/>
          </w:tcPr>
          <w:p>
            <w:pPr>
              <w:spacing w:after="0"/>
              <w:rPr>
                <w:sz w:val="20"/>
                <w:szCs w:val="20"/>
                <w:color w:val="auto"/>
              </w:rPr>
            </w:pPr>
            <w:r>
              <w:rPr>
                <w:rFonts w:ascii="Courier New" w:cs="Courier New" w:eastAsia="Courier New" w:hAnsi="Courier New"/>
                <w:sz w:val="16"/>
                <w:szCs w:val="16"/>
                <w:color w:val="auto"/>
              </w:rPr>
              <w:t>Dec</w:t>
            </w:r>
          </w:p>
        </w:tc>
        <w:tc>
          <w:tcPr>
            <w:tcW w:w="11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1994</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103.17</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101.31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88.01</w:t>
            </w:r>
          </w:p>
        </w:tc>
      </w:tr>
      <w:tr>
        <w:trPr>
          <w:trHeight w:val="376"/>
        </w:trPr>
        <w:tc>
          <w:tcPr>
            <w:tcW w:w="340" w:type="dxa"/>
            <w:vAlign w:val="bottom"/>
          </w:tcPr>
          <w:p>
            <w:pPr>
              <w:spacing w:after="0"/>
              <w:rPr>
                <w:sz w:val="20"/>
                <w:szCs w:val="20"/>
                <w:color w:val="auto"/>
              </w:rPr>
            </w:pPr>
            <w:r>
              <w:rPr>
                <w:rFonts w:ascii="Courier New" w:cs="Courier New" w:eastAsia="Courier New" w:hAnsi="Courier New"/>
                <w:sz w:val="16"/>
                <w:szCs w:val="16"/>
                <w:color w:val="auto"/>
              </w:rPr>
              <w:t>Dec</w:t>
            </w:r>
          </w:p>
        </w:tc>
        <w:tc>
          <w:tcPr>
            <w:tcW w:w="11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1995</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118.92</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138.23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104.46</w:t>
            </w:r>
          </w:p>
        </w:tc>
      </w:tr>
      <w:tr>
        <w:trPr>
          <w:trHeight w:val="376"/>
        </w:trPr>
        <w:tc>
          <w:tcPr>
            <w:tcW w:w="340" w:type="dxa"/>
            <w:vAlign w:val="bottom"/>
          </w:tcPr>
          <w:p>
            <w:pPr>
              <w:spacing w:after="0"/>
              <w:rPr>
                <w:sz w:val="20"/>
                <w:szCs w:val="20"/>
                <w:color w:val="auto"/>
              </w:rPr>
            </w:pPr>
            <w:r>
              <w:rPr>
                <w:rFonts w:ascii="Courier New" w:cs="Courier New" w:eastAsia="Courier New" w:hAnsi="Courier New"/>
                <w:sz w:val="16"/>
                <w:szCs w:val="16"/>
                <w:color w:val="auto"/>
              </w:rPr>
              <w:t>Dec</w:t>
            </w:r>
          </w:p>
        </w:tc>
        <w:tc>
          <w:tcPr>
            <w:tcW w:w="11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1996</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160.88</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171.18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134.07</w:t>
            </w:r>
          </w:p>
        </w:tc>
      </w:tr>
      <w:tr>
        <w:trPr>
          <w:trHeight w:val="376"/>
        </w:trPr>
        <w:tc>
          <w:tcPr>
            <w:tcW w:w="340" w:type="dxa"/>
            <w:vAlign w:val="bottom"/>
          </w:tcPr>
          <w:p>
            <w:pPr>
              <w:spacing w:after="0"/>
              <w:rPr>
                <w:sz w:val="20"/>
                <w:szCs w:val="20"/>
                <w:color w:val="auto"/>
              </w:rPr>
            </w:pPr>
            <w:r>
              <w:rPr>
                <w:rFonts w:ascii="Courier New" w:cs="Courier New" w:eastAsia="Courier New" w:hAnsi="Courier New"/>
                <w:sz w:val="16"/>
                <w:szCs w:val="16"/>
                <w:color w:val="auto"/>
              </w:rPr>
              <w:t>Dec</w:t>
            </w:r>
          </w:p>
        </w:tc>
        <w:tc>
          <w:tcPr>
            <w:tcW w:w="11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1997</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193.45</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228.32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135.48</w:t>
            </w:r>
          </w:p>
        </w:tc>
      </w:tr>
      <w:tr>
        <w:trPr>
          <w:trHeight w:val="376"/>
        </w:trPr>
        <w:tc>
          <w:tcPr>
            <w:tcW w:w="340" w:type="dxa"/>
            <w:vAlign w:val="bottom"/>
          </w:tcPr>
          <w:p>
            <w:pPr>
              <w:spacing w:after="0"/>
              <w:rPr>
                <w:sz w:val="20"/>
                <w:szCs w:val="20"/>
                <w:color w:val="auto"/>
              </w:rPr>
            </w:pPr>
            <w:r>
              <w:rPr>
                <w:rFonts w:ascii="Courier New" w:cs="Courier New" w:eastAsia="Courier New" w:hAnsi="Courier New"/>
                <w:sz w:val="16"/>
                <w:szCs w:val="16"/>
                <w:color w:val="auto"/>
              </w:rPr>
              <w:t>Dec</w:t>
            </w:r>
          </w:p>
        </w:tc>
        <w:tc>
          <w:tcPr>
            <w:tcW w:w="11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1998</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159.59</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293.57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133.55</w:t>
            </w:r>
          </w:p>
        </w:tc>
      </w:tr>
      <w:tr>
        <w:trPr>
          <w:trHeight w:val="752"/>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14</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18" w:name="page19"/>
    <w:bookmarkEnd w:id="18"/>
    <w:p>
      <w:pPr>
        <w:jc w:val="center"/>
        <w:ind w:right="2599"/>
        <w:spacing w:after="0"/>
        <w:rPr>
          <w:sz w:val="20"/>
          <w:szCs w:val="20"/>
          <w:color w:val="auto"/>
        </w:rPr>
      </w:pPr>
      <w:r>
        <w:rPr>
          <w:rFonts w:ascii="Courier New" w:cs="Courier New" w:eastAsia="Courier New" w:hAnsi="Courier New"/>
          <w:sz w:val="16"/>
          <w:szCs w:val="16"/>
          <w:color w:val="auto"/>
        </w:rPr>
        <w:t>CERTAIN TRANSACTIONS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Pursuant to the terms of stock option plans, from 1984 through 1998 officers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key employees have exercised options and paid for some of the Shares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notes to the Trust. Notes accepted pursuant to the 1983 or 1985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plans are for a term extending to the employee's or 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retirement date with interest payable quarterly at the per annum rate that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either the lesser of (i) the Trust's current borrowing rate or (ii)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indicated annual dividend rate on the Shares acquired pursuant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divided by the purchase price of such Shares. Notes accepted pursuant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Amended Plan are for a period extending to the employee's or 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retirement date with interest payable quarterly at the per annum rate that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lesser of (i) the Trust's borrowing rate on the date of exercise or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indicated annual dividend rate on the date of exercise of the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divided by the option price of such Shares. The stock option notes are secured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Shares, which will not be released until the notes are paid in full.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terms of a restricted stock agreement, Mr. Guttman borrowed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$210,000, $105,000 of which was repaid in 1992. The remaining balance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$105,000 is payable on April 15, 2001, with no interest. The note is secured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18,975 Shares.</w:t>
      </w:r>
    </w:p>
    <w:p>
      <w:pPr>
        <w:spacing w:after="0" w:line="165" w:lineRule="exact"/>
        <w:rPr>
          <w:sz w:val="20"/>
          <w:szCs w:val="20"/>
          <w:color w:val="auto"/>
        </w:rPr>
      </w:pPr>
    </w:p>
    <w:p>
      <w:pPr>
        <w:ind w:right="2599" w:firstLine="196"/>
        <w:spacing w:after="0" w:line="259" w:lineRule="auto"/>
        <w:rPr>
          <w:sz w:val="20"/>
          <w:szCs w:val="20"/>
          <w:color w:val="auto"/>
        </w:rPr>
      </w:pPr>
      <w:r>
        <w:rPr>
          <w:rFonts w:ascii="Courier New" w:cs="Courier New" w:eastAsia="Courier New" w:hAnsi="Courier New"/>
          <w:sz w:val="16"/>
          <w:szCs w:val="16"/>
          <w:color w:val="auto"/>
        </w:rPr>
        <w:t>In 1991, the Trust accepted notes from Trust officers in connection with the 1991 Share Purchase Plan for $5,359,922. The current balance of the notes is $1,936,000. Up to 75% of the original principal balance of these loans may be forgiven by the Trust if certain conditions are met. In connection with the 1991 Share Purchase Plan, the Trust has loaned officers $909,000 with which to pay income taxes associated with the forgiveness. The interest rate on the Share purchase loans and related tax loans is 9.39%. On January 1, 1994, the Trust lent Mr. Kaplan $1,000,000 to purchase 40,000 Shares. The current balance is $625,000 and he has been loaned $150,000 with which to pay income taxes associated with the forgiveness. Up to 75% of the original principal balance of this loan may be forgiven by the Trust if certain conditions are met. The interest rate on his share purchase loans and related tax loans is 6.24%.</w:t>
      </w:r>
    </w:p>
    <w:p>
      <w:pPr>
        <w:spacing w:after="0" w:line="284" w:lineRule="exact"/>
        <w:rPr>
          <w:sz w:val="20"/>
          <w:szCs w:val="20"/>
          <w:color w:val="auto"/>
        </w:rPr>
      </w:pPr>
    </w:p>
    <w:p>
      <w:pPr>
        <w:ind w:right="2599" w:firstLine="196"/>
        <w:spacing w:after="0" w:line="373" w:lineRule="auto"/>
        <w:rPr>
          <w:sz w:val="20"/>
          <w:szCs w:val="20"/>
          <w:color w:val="auto"/>
        </w:rPr>
      </w:pPr>
      <w:r>
        <w:rPr>
          <w:rFonts w:ascii="Courier New" w:cs="Courier New" w:eastAsia="Courier New" w:hAnsi="Courier New"/>
          <w:sz w:val="16"/>
          <w:szCs w:val="16"/>
          <w:color w:val="auto"/>
        </w:rPr>
        <w:t>The following table sets forth the indebtedness to the Trust of the officers as of March 25, 1999:</w:t>
      </w:r>
    </w:p>
    <w:p>
      <w:pPr>
        <w:spacing w:after="0" w:line="376" w:lineRule="exact"/>
        <w:rPr>
          <w:sz w:val="20"/>
          <w:szCs w:val="20"/>
          <w:color w:val="auto"/>
        </w:rPr>
      </w:pPr>
    </w:p>
    <w:tbl>
      <w:tblPr>
        <w:tblLayout w:type="fixed"/>
        <w:tblInd w:w="480" w:type="dxa"/>
        <w:tblCellMar>
          <w:top w:w="0" w:type="dxa"/>
          <w:left w:w="0" w:type="dxa"/>
          <w:bottom w:w="0" w:type="dxa"/>
          <w:right w:w="0" w:type="dxa"/>
        </w:tblCellMar>
      </w:tblPr>
      <w:tr>
        <w:trPr>
          <w:trHeight w:val="188"/>
        </w:trPr>
        <w:tc>
          <w:tcPr>
            <w:tcW w:w="19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0" w:type="dxa"/>
            <w:vAlign w:val="bottom"/>
          </w:tcPr>
          <w:p>
            <w:pPr>
              <w:ind w:left="820"/>
              <w:spacing w:after="0"/>
              <w:rPr>
                <w:sz w:val="20"/>
                <w:szCs w:val="20"/>
                <w:color w:val="auto"/>
              </w:rPr>
            </w:pPr>
            <w:r>
              <w:rPr>
                <w:rFonts w:ascii="Courier New" w:cs="Courier New" w:eastAsia="Courier New" w:hAnsi="Courier New"/>
                <w:sz w:val="16"/>
                <w:szCs w:val="16"/>
                <w:color w:val="auto"/>
              </w:rPr>
              <w:t>Maximum</w:t>
            </w:r>
          </w:p>
        </w:tc>
        <w:tc>
          <w:tcPr>
            <w:tcW w:w="8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Current</w:t>
            </w: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0" w:type="dxa"/>
            <w:vAlign w:val="bottom"/>
          </w:tcPr>
          <w:p>
            <w:pPr>
              <w:ind w:left="620"/>
              <w:spacing w:after="0"/>
              <w:rPr>
                <w:sz w:val="20"/>
                <w:szCs w:val="20"/>
                <w:color w:val="auto"/>
              </w:rPr>
            </w:pPr>
            <w:r>
              <w:rPr>
                <w:rFonts w:ascii="Courier New" w:cs="Courier New" w:eastAsia="Courier New" w:hAnsi="Courier New"/>
                <w:sz w:val="16"/>
                <w:szCs w:val="16"/>
                <w:color w:val="auto"/>
              </w:rPr>
              <w:t>Outstanding</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2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2640" w:type="dxa"/>
            <w:vAlign w:val="bottom"/>
            <w:vMerge w:val="restart"/>
          </w:tcPr>
          <w:p>
            <w:pPr>
              <w:ind w:left="1500"/>
              <w:spacing w:after="0"/>
              <w:rPr>
                <w:sz w:val="20"/>
                <w:szCs w:val="20"/>
                <w:color w:val="auto"/>
              </w:rPr>
            </w:pPr>
            <w:r>
              <w:rPr>
                <w:rFonts w:ascii="Courier New" w:cs="Courier New" w:eastAsia="Courier New" w:hAnsi="Courier New"/>
                <w:sz w:val="16"/>
                <w:szCs w:val="16"/>
                <w:color w:val="auto"/>
              </w:rPr>
              <w:t>Title</w:t>
            </w:r>
          </w:p>
        </w:tc>
        <w:tc>
          <w:tcPr>
            <w:tcW w:w="1800" w:type="dxa"/>
            <w:vAlign w:val="bottom"/>
          </w:tcPr>
          <w:p>
            <w:pPr>
              <w:ind w:left="820"/>
              <w:spacing w:after="0"/>
              <w:rPr>
                <w:sz w:val="20"/>
                <w:szCs w:val="20"/>
                <w:color w:val="auto"/>
              </w:rPr>
            </w:pPr>
            <w:r>
              <w:rPr>
                <w:rFonts w:ascii="Courier New" w:cs="Courier New" w:eastAsia="Courier New" w:hAnsi="Courier New"/>
                <w:sz w:val="16"/>
                <w:szCs w:val="16"/>
                <w:color w:val="auto"/>
              </w:rPr>
              <w:t>during</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Balance</w:t>
            </w:r>
          </w:p>
        </w:tc>
        <w:tc>
          <w:tcPr>
            <w:tcW w:w="0" w:type="dxa"/>
            <w:vAlign w:val="bottom"/>
          </w:tcPr>
          <w:p>
            <w:pPr>
              <w:spacing w:after="0"/>
              <w:rPr>
                <w:sz w:val="1"/>
                <w:szCs w:val="1"/>
                <w:color w:val="auto"/>
              </w:rPr>
            </w:pPr>
          </w:p>
        </w:tc>
      </w:tr>
      <w:tr>
        <w:trPr>
          <w:trHeight w:val="218"/>
        </w:trPr>
        <w:tc>
          <w:tcPr>
            <w:tcW w:w="192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of Notes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8"/>
        </w:trPr>
        <w:tc>
          <w:tcPr>
            <w:tcW w:w="2580" w:type="dxa"/>
            <w:vAlign w:val="bottom"/>
          </w:tcPr>
          <w:p>
            <w:pPr>
              <w:spacing w:after="0"/>
              <w:rPr>
                <w:sz w:val="20"/>
                <w:szCs w:val="20"/>
                <w:color w:val="auto"/>
              </w:rPr>
            </w:pPr>
            <w:r>
              <w:rPr>
                <w:rFonts w:ascii="Courier New" w:cs="Courier New" w:eastAsia="Courier New" w:hAnsi="Courier New"/>
                <w:sz w:val="16"/>
                <w:szCs w:val="16"/>
                <w:color w:val="auto"/>
              </w:rPr>
              <w:t>Steven J. Guttman.........</w:t>
            </w:r>
          </w:p>
        </w:tc>
        <w:tc>
          <w:tcPr>
            <w:tcW w:w="2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President and Chief</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$2,716,000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$2,490,000</w:t>
            </w:r>
          </w:p>
        </w:tc>
        <w:tc>
          <w:tcPr>
            <w:tcW w:w="0" w:type="dxa"/>
            <w:vAlign w:val="bottom"/>
          </w:tcPr>
          <w:p>
            <w:pPr>
              <w:spacing w:after="0"/>
              <w:rPr>
                <w:sz w:val="1"/>
                <w:szCs w:val="1"/>
                <w:color w:val="auto"/>
              </w:rPr>
            </w:pPr>
          </w:p>
        </w:tc>
      </w:tr>
      <w:tr>
        <w:trPr>
          <w:trHeight w:val="188"/>
        </w:trPr>
        <w:tc>
          <w:tcPr>
            <w:tcW w:w="2580" w:type="dxa"/>
            <w:vAlign w:val="bottom"/>
            <w:vMerge w:val="restart"/>
          </w:tcPr>
          <w:p>
            <w:pPr>
              <w:spacing w:after="0"/>
              <w:rPr>
                <w:sz w:val="20"/>
                <w:szCs w:val="20"/>
                <w:color w:val="auto"/>
              </w:rPr>
            </w:pPr>
            <w:r>
              <w:rPr>
                <w:rFonts w:ascii="Courier New" w:cs="Courier New" w:eastAsia="Courier New" w:hAnsi="Courier New"/>
                <w:sz w:val="16"/>
                <w:szCs w:val="16"/>
                <w:color w:val="auto"/>
              </w:rPr>
              <w:t>Nathan P. Fishkin</w:t>
            </w:r>
          </w:p>
        </w:tc>
        <w:tc>
          <w:tcPr>
            <w:tcW w:w="27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Officer</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286,000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263,000</w:t>
            </w:r>
          </w:p>
        </w:tc>
        <w:tc>
          <w:tcPr>
            <w:tcW w:w="0" w:type="dxa"/>
            <w:vAlign w:val="bottom"/>
          </w:tcPr>
          <w:p>
            <w:pPr>
              <w:spacing w:after="0"/>
              <w:rPr>
                <w:sz w:val="1"/>
                <w:szCs w:val="1"/>
                <w:color w:val="auto"/>
              </w:rPr>
            </w:pPr>
          </w:p>
        </w:tc>
      </w:tr>
      <w:tr>
        <w:trPr>
          <w:trHeight w:val="188"/>
        </w:trPr>
        <w:tc>
          <w:tcPr>
            <w:tcW w:w="2580" w:type="dxa"/>
            <w:vAlign w:val="bottom"/>
            <w:vMerge w:val="continue"/>
          </w:tcPr>
          <w:p>
            <w:pPr>
              <w:ind w:left="1660"/>
              <w:spacing w:after="0" w:line="166"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Senior Vice</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President,</w:t>
            </w: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vMerge w:val="restart"/>
          </w:tcPr>
          <w:p>
            <w:pPr>
              <w:spacing w:after="0"/>
              <w:rPr>
                <w:sz w:val="20"/>
                <w:szCs w:val="20"/>
                <w:color w:val="auto"/>
              </w:rPr>
            </w:pPr>
            <w:r>
              <w:rPr>
                <w:rFonts w:ascii="Courier New" w:cs="Courier New" w:eastAsia="Courier New" w:hAnsi="Courier New"/>
                <w:sz w:val="16"/>
                <w:szCs w:val="16"/>
                <w:color w:val="auto"/>
              </w:rPr>
              <w:t>Ron D. Kaplan.............</w:t>
            </w:r>
          </w:p>
        </w:tc>
        <w:tc>
          <w:tcPr>
            <w:tcW w:w="27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Acquisitions</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2,010,000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1,973,000</w:t>
            </w:r>
          </w:p>
        </w:tc>
        <w:tc>
          <w:tcPr>
            <w:tcW w:w="0" w:type="dxa"/>
            <w:vAlign w:val="bottom"/>
          </w:tcPr>
          <w:p>
            <w:pPr>
              <w:spacing w:after="0"/>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Senior Vice</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President,</w:t>
            </w:r>
          </w:p>
        </w:tc>
        <w:tc>
          <w:tcPr>
            <w:tcW w:w="12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27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Capital Markets, Chief</w:t>
            </w: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vMerge w:val="restart"/>
          </w:tcPr>
          <w:p>
            <w:pPr>
              <w:spacing w:after="0"/>
              <w:rPr>
                <w:sz w:val="20"/>
                <w:szCs w:val="20"/>
                <w:color w:val="auto"/>
              </w:rPr>
            </w:pPr>
            <w:r>
              <w:rPr>
                <w:rFonts w:ascii="Courier New" w:cs="Courier New" w:eastAsia="Courier New" w:hAnsi="Courier New"/>
                <w:sz w:val="16"/>
                <w:szCs w:val="16"/>
                <w:color w:val="auto"/>
              </w:rPr>
              <w:t>Cecily A. Ward............</w:t>
            </w:r>
          </w:p>
        </w:tc>
        <w:tc>
          <w:tcPr>
            <w:tcW w:w="1180" w:type="dxa"/>
            <w:vAlign w:val="bottom"/>
          </w:tcPr>
          <w:p>
            <w:pPr>
              <w:ind w:left="160"/>
              <w:spacing w:after="0"/>
              <w:rPr>
                <w:sz w:val="20"/>
                <w:szCs w:val="20"/>
                <w:color w:val="auto"/>
              </w:rPr>
            </w:pPr>
            <w:r>
              <w:rPr>
                <w:rFonts w:ascii="Courier New" w:cs="Courier New" w:eastAsia="Courier New" w:hAnsi="Courier New"/>
                <w:sz w:val="16"/>
                <w:szCs w:val="16"/>
                <w:color w:val="auto"/>
              </w:rPr>
              <w:t>Investment</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Officer</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130,000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119,000</w:t>
            </w:r>
          </w:p>
        </w:tc>
        <w:tc>
          <w:tcPr>
            <w:tcW w:w="0" w:type="dxa"/>
            <w:vAlign w:val="bottom"/>
          </w:tcPr>
          <w:p>
            <w:pPr>
              <w:spacing w:after="0"/>
              <w:rPr>
                <w:sz w:val="1"/>
                <w:szCs w:val="1"/>
                <w:color w:val="auto"/>
              </w:rPr>
            </w:pPr>
          </w:p>
        </w:tc>
      </w:tr>
      <w:tr>
        <w:trPr>
          <w:trHeight w:val="276"/>
        </w:trPr>
        <w:tc>
          <w:tcPr>
            <w:tcW w:w="2580" w:type="dxa"/>
            <w:vAlign w:val="bottom"/>
            <w:vMerge w:val="continue"/>
          </w:tcPr>
          <w:p>
            <w:pPr>
              <w:spacing w:after="0"/>
              <w:rPr>
                <w:sz w:val="23"/>
                <w:szCs w:val="23"/>
                <w:color w:val="auto"/>
              </w:rPr>
            </w:pPr>
          </w:p>
        </w:tc>
        <w:tc>
          <w:tcPr>
            <w:tcW w:w="2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Vice President, Controller</w:t>
            </w:r>
          </w:p>
        </w:tc>
        <w:tc>
          <w:tcPr>
            <w:tcW w:w="12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699" w:firstLine="196"/>
        <w:spacing w:after="0" w:line="262" w:lineRule="auto"/>
        <w:rPr>
          <w:sz w:val="20"/>
          <w:szCs w:val="20"/>
          <w:color w:val="auto"/>
        </w:rPr>
      </w:pPr>
      <w:r>
        <w:rPr>
          <w:rFonts w:ascii="Courier New" w:cs="Courier New" w:eastAsia="Courier New" w:hAnsi="Courier New"/>
          <w:sz w:val="16"/>
          <w:szCs w:val="16"/>
          <w:color w:val="auto"/>
        </w:rPr>
        <w:t>A retail women's clothing store in which Mr. Guttman had an ownership interest until February 1998 leases space at one of the Trust's properties. Terms of the lease were negotiated at arms length and reflected prevailing market conditions. Total payments in 1998 for rent, operating expenses and real estate taxes were $90,000.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8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0" w:right="1440" w:bottom="1440" w:gutter="0" w:footer="0" w:header="0"/>
        </w:sectPr>
      </w:pPr>
    </w:p>
    <w:bookmarkStart w:id="19" w:name="page20"/>
    <w:bookmarkEnd w:id="19"/>
    <w:p>
      <w:pPr>
        <w:ind w:left="118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5"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The Trustees and executive officers of the Trust are required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 except that Mr. Guttman and Mr. Kaplan each filed one report that was not filed on a timely basis; Mr. Guttman's report covered one transaction, and Mr. Kaplan's covered two transactions. Both reports were filed within 30 days after their due date.</w:t>
      </w:r>
    </w:p>
    <w:p>
      <w:pPr>
        <w:spacing w:after="0" w:line="8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PROPOSAL 2</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Proposal to Reorganize the Trust under the laws of the State of Maryland by</w:t>
      </w:r>
    </w:p>
    <w:p>
      <w:pPr>
        <w:spacing w:after="0" w:line="3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Amending and Restating the Trust's Declaration of Trust</w:t>
      </w:r>
    </w:p>
    <w:p>
      <w:pPr>
        <w:spacing w:after="0" w:line="165" w:lineRule="exact"/>
        <w:rPr>
          <w:sz w:val="20"/>
          <w:szCs w:val="20"/>
          <w:color w:val="auto"/>
        </w:rPr>
      </w:pPr>
    </w:p>
    <w:p>
      <w:pPr>
        <w:ind w:right="2699" w:firstLine="196"/>
        <w:spacing w:after="0" w:line="262" w:lineRule="auto"/>
        <w:rPr>
          <w:sz w:val="20"/>
          <w:szCs w:val="20"/>
          <w:color w:val="auto"/>
        </w:rPr>
      </w:pPr>
      <w:r>
        <w:rPr>
          <w:rFonts w:ascii="Courier New" w:cs="Courier New" w:eastAsia="Courier New" w:hAnsi="Courier New"/>
          <w:sz w:val="16"/>
          <w:szCs w:val="16"/>
          <w:color w:val="auto"/>
        </w:rPr>
        <w:t>The Board of Trustees believes that it is in the best interests of Federal Realty and its shareholders to reorganize the Trust as a Maryland real estate investment trust by amending and restating the Trust's declaration of trust.</w:t>
      </w:r>
    </w:p>
    <w:p>
      <w:pPr>
        <w:ind w:right="2599"/>
        <w:spacing w:after="0" w:line="291" w:lineRule="auto"/>
        <w:rPr>
          <w:sz w:val="20"/>
          <w:szCs w:val="20"/>
          <w:color w:val="auto"/>
        </w:rPr>
      </w:pPr>
      <w:r>
        <w:rPr>
          <w:rFonts w:ascii="Courier New" w:cs="Courier New" w:eastAsia="Courier New" w:hAnsi="Courier New"/>
          <w:sz w:val="16"/>
          <w:szCs w:val="16"/>
          <w:color w:val="auto"/>
        </w:rPr>
        <w:t>To effect this reorganization (the "Reorganization"), the Board of Trustees is proposing to amend and restate Federal Realty's existing declaration of trust and bylaws in their entirety (the "Reorganization Proposal").</w:t>
      </w:r>
    </w:p>
    <w:p>
      <w:pPr>
        <w:spacing w:after="0" w:line="63" w:lineRule="exact"/>
        <w:rPr>
          <w:sz w:val="20"/>
          <w:szCs w:val="20"/>
          <w:color w:val="auto"/>
        </w:rPr>
      </w:pPr>
    </w:p>
    <w:p>
      <w:pPr>
        <w:ind w:right="2879" w:firstLine="196"/>
        <w:spacing w:after="0" w:line="280" w:lineRule="auto"/>
        <w:rPr>
          <w:sz w:val="20"/>
          <w:szCs w:val="20"/>
          <w:color w:val="auto"/>
        </w:rPr>
      </w:pPr>
      <w:r>
        <w:rPr>
          <w:rFonts w:ascii="Courier New" w:cs="Courier New" w:eastAsia="Courier New" w:hAnsi="Courier New"/>
          <w:sz w:val="16"/>
          <w:szCs w:val="16"/>
          <w:color w:val="auto"/>
        </w:rPr>
        <w:t>The form of Articles of Amendment and Restatement, including the form of amended and restated Declaration of Trust, and the form of amended and restated Bylaws are attached to this proxy statement as Appendices A and B. Please read these documents. They are the legal documents that govern the Reorganization.</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the Reorganization</w:t>
      </w:r>
    </w:p>
    <w:p>
      <w:pPr>
        <w:spacing w:after="0" w:line="195"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The Reorganization will become effective upon the later of (i) the time the Articles of Amendment and Restatement are filed with and recorded by the District of Columbia Recorder of Deeds and (ii) the time the Restated Declaration of Trust is filed with and accepted by the State Department of Assessments and Taxation (the "SDAT") of the State of Maryland (the "Effective Time"). These filings are expected to be made as soon as practicable after the Annual Meeting. At the Effective Time:</w:t>
      </w:r>
    </w:p>
    <w:p>
      <w:pPr>
        <w:spacing w:after="0" w:line="82" w:lineRule="exact"/>
        <w:rPr>
          <w:sz w:val="20"/>
          <w:szCs w:val="20"/>
          <w:color w:val="auto"/>
        </w:rPr>
      </w:pPr>
    </w:p>
    <w:p>
      <w:pPr>
        <w:ind w:left="480" w:right="2699" w:hanging="284"/>
        <w:spacing w:after="0" w:line="273" w:lineRule="auto"/>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trust of Federal Realty, as amended and in effect, including the Statement of Designation relating to the Trust's Series A Cumulative Redeemable Preferred Shares (the "Existing Declaration of Trust"), will be further amended and restated in its entirety to read as set forth in the Declaration of Trust attached hereto as Appendix A (the "Restated Declaration of Trust");</w:t>
      </w:r>
    </w:p>
    <w:p>
      <w:pPr>
        <w:spacing w:after="0" w:line="79" w:lineRule="exact"/>
        <w:rPr>
          <w:sz w:val="20"/>
          <w:szCs w:val="20"/>
          <w:color w:val="auto"/>
        </w:rPr>
      </w:pPr>
    </w:p>
    <w:p>
      <w:pPr>
        <w:ind w:left="480" w:right="2699" w:hanging="284"/>
        <w:spacing w:after="0" w:line="290"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Federal Realty, as amended and in effect (the "Existing Bylaws"), will be further amended and restated in their entirety to read as set forth in the Bylaws attached hereto as Appendix B (the "Restated Bylaws");</w:t>
      </w:r>
    </w:p>
    <w:p>
      <w:pPr>
        <w:spacing w:after="0" w:line="64" w:lineRule="exact"/>
        <w:rPr>
          <w:sz w:val="20"/>
          <w:szCs w:val="20"/>
          <w:color w:val="auto"/>
        </w:rPr>
      </w:pPr>
    </w:p>
    <w:p>
      <w:pPr>
        <w:ind w:left="480" w:right="2799" w:hanging="284"/>
        <w:spacing w:after="0" w:line="266" w:lineRule="auto"/>
        <w:tabs>
          <w:tab w:leader="none" w:pos="4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 will cease to be governed by the laws of the District of Columbia and shall thereupon be subject to Title 8 of the Corporations and Associations Article of the Annotated Code of Maryland, as amended ("Title 8"), a general statute governing Maryland trust REITs and dealing with a wide variety of matters, including powers of REITs, rights and liabilities of shareholders, certain powers of trustees, and certain extraordinary actions, such as mergers and declaration of trust amendments;</w:t>
      </w:r>
    </w:p>
    <w:p>
      <w:pPr>
        <w:spacing w:after="0" w:line="84" w:lineRule="exact"/>
        <w:rPr>
          <w:sz w:val="20"/>
          <w:szCs w:val="20"/>
          <w:color w:val="auto"/>
        </w:rPr>
      </w:pPr>
    </w:p>
    <w:p>
      <w:pPr>
        <w:ind w:left="480" w:right="2699" w:hanging="284"/>
        <w:spacing w:after="0" w:line="273" w:lineRule="auto"/>
        <w:tabs>
          <w:tab w:leader="none" w:pos="4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Common Shares of beneficial interest, no par value, of Federal Realty which were issued and outstanding pursuant to the Existing Declaration of Trust immediately prior to the Effective Time ("Common Shares") will be reclassified and continue to exist as Common Shares of beneficial interest, $0.01 par value per share, of Federal Realty issued pursuant to the Restated Declaration of Trust ("New Common Shares");</w:t>
      </w:r>
    </w:p>
    <w:p>
      <w:pPr>
        <w:spacing w:after="0" w:line="79" w:lineRule="exact"/>
        <w:rPr>
          <w:sz w:val="20"/>
          <w:szCs w:val="20"/>
          <w:color w:val="auto"/>
        </w:rPr>
      </w:pPr>
    </w:p>
    <w:p>
      <w:pPr>
        <w:ind w:left="480" w:right="2879" w:hanging="284"/>
        <w:spacing w:after="0" w:line="266" w:lineRule="auto"/>
        <w:tabs>
          <w:tab w:leader="none" w:pos="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Series A Cumulative Redeemable Preferred Shares of beneficial interest, no par value, of Federal Realty which were issued and outstanding pursuant to the Existing Declaration of Trust immediately prior to the Effective Time ("Series A Preferred Shares") will be reclassified and continue to exist as Series A Cumulative Redeemable Preferred Shares of beneficial interest, $0.01 par value per share, of Federal Realty issued pursuant to the Restated Declaration of Trust ("New Series A Preferred Shares");</w:t>
      </w:r>
    </w:p>
    <w:p>
      <w:pPr>
        <w:spacing w:after="0" w:line="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0" w:right="1440" w:bottom="781" w:gutter="0" w:footer="0" w:header="0"/>
        </w:sectPr>
      </w:pPr>
    </w:p>
    <w:bookmarkStart w:id="20" w:name="page21"/>
    <w:bookmarkEnd w:id="20"/>
    <w:p>
      <w:pPr>
        <w:ind w:left="480" w:right="2879" w:hanging="284"/>
        <w:spacing w:after="0" w:line="280" w:lineRule="auto"/>
        <w:tabs>
          <w:tab w:leader="none" w:pos="4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 certificates which immediately prior to the Effective Time represented Common Shares or Series A Preferred Shares, without any action on the part of the holder thereof, will thereafter be deemed to represent a like number of New Common Shares or New Series A Preferred Shares, as the case may be; and</w:t>
      </w:r>
    </w:p>
    <w:p>
      <w:pPr>
        <w:spacing w:after="0" w:line="70" w:lineRule="exact"/>
        <w:rPr>
          <w:sz w:val="20"/>
          <w:szCs w:val="20"/>
          <w:color w:val="auto"/>
        </w:rPr>
      </w:pPr>
    </w:p>
    <w:p>
      <w:pPr>
        <w:ind w:left="480" w:right="2699" w:hanging="284"/>
        <w:spacing w:after="0" w:line="290"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rights, or warrants to purchase or subscribe for Common Shares, without any action on the part of the holder thereof, will thereafter entitle the holder to purchase or subscribe for a like number of New Common Shares on the same terms.</w:t>
      </w:r>
    </w:p>
    <w:p>
      <w:pPr>
        <w:spacing w:after="0" w:line="64" w:lineRule="exact"/>
        <w:rPr>
          <w:sz w:val="20"/>
          <w:szCs w:val="20"/>
          <w:color w:val="auto"/>
        </w:rPr>
      </w:pPr>
    </w:p>
    <w:p>
      <w:pPr>
        <w:ind w:right="2799" w:firstLine="196"/>
        <w:spacing w:after="0" w:line="311" w:lineRule="auto"/>
        <w:rPr>
          <w:sz w:val="20"/>
          <w:szCs w:val="20"/>
          <w:color w:val="auto"/>
        </w:rPr>
      </w:pPr>
      <w:r>
        <w:rPr>
          <w:rFonts w:ascii="Courier New" w:cs="Courier New" w:eastAsia="Courier New" w:hAnsi="Courier New"/>
          <w:sz w:val="16"/>
          <w:szCs w:val="16"/>
          <w:color w:val="auto"/>
        </w:rPr>
        <w:t>The Reorganization will not result in any change in Federal Realty's name, business, trustees, management, fiscal year, assets or liabilities, or the location of its principal offices.</w:t>
      </w:r>
    </w:p>
    <w:p>
      <w:pPr>
        <w:spacing w:after="0" w:line="47" w:lineRule="exact"/>
        <w:rPr>
          <w:sz w:val="20"/>
          <w:szCs w:val="20"/>
          <w:color w:val="auto"/>
        </w:rPr>
      </w:pPr>
    </w:p>
    <w:p>
      <w:pPr>
        <w:ind w:right="2599" w:firstLine="196"/>
        <w:spacing w:after="0" w:line="260" w:lineRule="auto"/>
        <w:rPr>
          <w:sz w:val="20"/>
          <w:szCs w:val="20"/>
          <w:color w:val="auto"/>
        </w:rPr>
      </w:pPr>
      <w:r>
        <w:rPr>
          <w:rFonts w:ascii="Courier New" w:cs="Courier New" w:eastAsia="Courier New" w:hAnsi="Courier New"/>
          <w:sz w:val="16"/>
          <w:szCs w:val="16"/>
          <w:color w:val="auto"/>
        </w:rPr>
        <w:t>Each New Common Share or New Series A Preferred Share outstanding after the Effective Time of the Reorganization will entitle the holder thereof to voting rights, dividend rights and liquidation rights equivalent to the rights of a holder of a Common Share or Series A Preferred Share prior to the Effective Time. The Common Shares and Series A Preferred Shares are listed for trading on the New York Stock Exchange under the symbols "FRT" and "FRTpa," respectively. After the Reorganization, the New Common Shares and New Series A Preferred Shares will continue to be listed on the NYSE under the same trading symbols. The NYSE has advised the Trust that it will consider delivery of existing certificates representing Common Shares or Series A Preferred Shares as constituting "good delivery" of New Common Shares or New Series A Preferred Shares in transactions subsequent to the Effective Time.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the Reorganization</w:t>
      </w:r>
    </w:p>
    <w:p>
      <w:pPr>
        <w:spacing w:after="0" w:line="195" w:lineRule="exact"/>
        <w:rPr>
          <w:sz w:val="20"/>
          <w:szCs w:val="20"/>
          <w:color w:val="auto"/>
        </w:rPr>
      </w:pPr>
    </w:p>
    <w:p>
      <w:pPr>
        <w:ind w:right="2599" w:firstLine="196"/>
        <w:spacing w:after="0" w:line="259" w:lineRule="auto"/>
        <w:rPr>
          <w:sz w:val="20"/>
          <w:szCs w:val="20"/>
          <w:color w:val="auto"/>
        </w:rPr>
      </w:pPr>
      <w:r>
        <w:rPr>
          <w:rFonts w:ascii="Courier New" w:cs="Courier New" w:eastAsia="Courier New" w:hAnsi="Courier New"/>
          <w:sz w:val="16"/>
          <w:szCs w:val="16"/>
          <w:color w:val="auto"/>
        </w:rPr>
        <w:t>The Reorganization is intended to permit Federal Realty to avail itself of Title 8, the Maryland real estate investment trust statute. Title 8 contains provisions conducive to the operations of a REIT. Federal Realty is a common law trust under District of Columbia law and is not generally governed by a statutory framework. The District of Columbia common law is not well developed and very few shareholder rights are addressed. As a result, the rights of the Federal Realty's shareholders are governed primarily by Federal Realty's Declaration of Trust and Bylaws. Many REITs are organized under the laws of the State of Maryland and we believe that this fact has resulted in the development of a more comprehensive and clearer body of law and practice than is available to common law trusts formed under District of Columbia law. In addition, Maryland law provides statutory guidance with respect to the limited liability of shareholders and trustees of REITs.</w:t>
      </w:r>
    </w:p>
    <w:p>
      <w:pPr>
        <w:spacing w:after="0" w:line="89" w:lineRule="exact"/>
        <w:rPr>
          <w:sz w:val="20"/>
          <w:szCs w:val="20"/>
          <w:color w:val="auto"/>
        </w:rPr>
      </w:pPr>
    </w:p>
    <w:p>
      <w:pPr>
        <w:ind w:right="2599" w:firstLine="196"/>
        <w:spacing w:after="0" w:line="252" w:lineRule="auto"/>
        <w:rPr>
          <w:sz w:val="20"/>
          <w:szCs w:val="20"/>
          <w:color w:val="auto"/>
        </w:rPr>
      </w:pPr>
      <w:r>
        <w:rPr>
          <w:rFonts w:ascii="Courier New" w:cs="Courier New" w:eastAsia="Courier New" w:hAnsi="Courier New"/>
          <w:sz w:val="16"/>
          <w:szCs w:val="16"/>
          <w:color w:val="auto"/>
        </w:rPr>
        <w:t>At the time of Federal Realty's organization in 1962, no state had statutory provisions pertaining to the organization or operation of a real estate investment trust and Federal Realty was headquartered in the District of Columbia. Since that time, Federal Realty has relocated its headquarters to Maryland, and Maryland has adopted and continues to improve statutory provisions pertaining to the organization and operation of real estate investment trusts. The Board of Trustees believes that Maryland law, including Title 8, will provide specific rights and powers in connection with the organization and operation of Federal Realty and will make clear, rights and powers which are not expressly granted to trusts under District of Columbia law. In addition, Maryland trust REITs are not subject to annual franchise or similar taxes imposed by many other states on corporate or trust entities.</w:t>
      </w:r>
    </w:p>
    <w:p>
      <w:pPr>
        <w:spacing w:after="0" w:line="2" w:lineRule="exact"/>
        <w:rPr>
          <w:sz w:val="20"/>
          <w:szCs w:val="20"/>
          <w:color w:val="auto"/>
        </w:rPr>
      </w:pPr>
    </w:p>
    <w:p>
      <w:pPr>
        <w:ind w:right="2599"/>
        <w:spacing w:after="0" w:line="277" w:lineRule="auto"/>
        <w:rPr>
          <w:sz w:val="20"/>
          <w:szCs w:val="20"/>
          <w:color w:val="auto"/>
        </w:rPr>
      </w:pPr>
      <w:r>
        <w:rPr>
          <w:rFonts w:ascii="Courier New" w:cs="Courier New" w:eastAsia="Courier New" w:hAnsi="Courier New"/>
          <w:sz w:val="16"/>
          <w:szCs w:val="16"/>
          <w:color w:val="auto"/>
        </w:rPr>
        <w:t>Currently approximately publicly owned real estate investment trusts are believed to be organized under Maryland law. The Board of Trustees believes that reorganization as a Maryland trust REIT should provide greater predictability with respect to Federal Realty's affairs.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Possible Disadvantages of the Reorganization</w:t>
      </w:r>
    </w:p>
    <w:p>
      <w:pPr>
        <w:spacing w:after="0" w:line="195"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Despite the belief of the Board of Trustees that the Reorganization is in the best interests of the Trust and its shareholders, it should be noted that District of Columbia and Maryland law differ in certain respects. Maryland law may not afford shareholders the same rights as District of Columiba law. For a comparison of shareholders' rights and the powers of management under Maryland and District of Columbia law, see "--Comparison of Rights of Shareholders Before and After the Reorganization."</w:t>
      </w:r>
    </w:p>
    <w:p>
      <w:pPr>
        <w:spacing w:after="0" w:line="2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Comparison of Rights of Shareholders Before and After the Reorganization</w:t>
      </w:r>
    </w:p>
    <w:p>
      <w:pPr>
        <w:spacing w:after="0" w:line="195" w:lineRule="exact"/>
        <w:rPr>
          <w:sz w:val="20"/>
          <w:szCs w:val="20"/>
          <w:color w:val="auto"/>
        </w:rPr>
      </w:pPr>
    </w:p>
    <w:p>
      <w:pPr>
        <w:ind w:right="2599" w:firstLine="196"/>
        <w:spacing w:after="0" w:line="282" w:lineRule="auto"/>
        <w:rPr>
          <w:sz w:val="20"/>
          <w:szCs w:val="20"/>
          <w:color w:val="auto"/>
        </w:rPr>
      </w:pPr>
      <w:r>
        <w:rPr>
          <w:rFonts w:ascii="Courier New" w:cs="Courier New" w:eastAsia="Courier New" w:hAnsi="Courier New"/>
          <w:sz w:val="16"/>
          <w:szCs w:val="16"/>
          <w:color w:val="auto"/>
        </w:rPr>
        <w:t>Federal Realty is organized as a business trust under the laws of the District of Columbia and will be reorganized as a trust REIT under the laws of the State of Maryland. As a District of Columbia business trust, Federal Realty is not governed by any statutory framework but is subject to the following:</w:t>
      </w:r>
    </w:p>
    <w:p>
      <w:pPr>
        <w:spacing w:after="0" w:line="276" w:lineRule="exact"/>
        <w:rPr>
          <w:sz w:val="20"/>
          <w:szCs w:val="20"/>
          <w:color w:val="auto"/>
        </w:rPr>
      </w:pPr>
    </w:p>
    <w:p>
      <w:pPr>
        <w:ind w:left="480" w:right="3179" w:hanging="284"/>
        <w:spacing w:after="0" w:line="373" w:lineRule="auto"/>
        <w:tabs>
          <w:tab w:leader="none" w:pos="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law of the District of Columbia with respect to business trusts, which is not well developed;</w:t>
      </w:r>
    </w:p>
    <w:p>
      <w:pPr>
        <w:ind w:left="200"/>
        <w:spacing w:after="0"/>
        <w:rPr>
          <w:sz w:val="20"/>
          <w:szCs w:val="20"/>
          <w:color w:val="auto"/>
        </w:rPr>
      </w:pPr>
      <w:r>
        <w:rPr>
          <w:rFonts w:ascii="Courier New" w:cs="Courier New" w:eastAsia="Courier New" w:hAnsi="Courier New"/>
          <w:sz w:val="16"/>
          <w:szCs w:val="16"/>
          <w:color w:val="auto"/>
        </w:rPr>
        <w:t>.the Existing Declaration of Trust; and</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Existing Bylaws.</w:t>
      </w:r>
    </w:p>
    <w:p>
      <w:pPr>
        <w:spacing w:after="0" w:line="383" w:lineRule="exact"/>
        <w:rPr>
          <w:sz w:val="20"/>
          <w:szCs w:val="20"/>
          <w:color w:val="auto"/>
        </w:rPr>
      </w:pPr>
    </w:p>
    <w:p>
      <w:pPr>
        <w:ind w:right="3079"/>
        <w:spacing w:after="0" w:line="373" w:lineRule="auto"/>
        <w:rPr>
          <w:sz w:val="20"/>
          <w:szCs w:val="20"/>
          <w:color w:val="auto"/>
        </w:rPr>
      </w:pPr>
      <w:r>
        <w:rPr>
          <w:rFonts w:ascii="Courier New" w:cs="Courier New" w:eastAsia="Courier New" w:hAnsi="Courier New"/>
          <w:sz w:val="16"/>
          <w:szCs w:val="16"/>
          <w:color w:val="auto"/>
        </w:rPr>
        <w:t>As a Maryland trust REIT, after the Reorganization Federal Realty will be governed by:</w:t>
      </w:r>
    </w:p>
    <w:p>
      <w:pPr>
        <w:ind w:left="200"/>
        <w:spacing w:after="0"/>
        <w:rPr>
          <w:sz w:val="20"/>
          <w:szCs w:val="20"/>
          <w:color w:val="auto"/>
        </w:rPr>
      </w:pPr>
      <w:r>
        <w:rPr>
          <w:rFonts w:ascii="Courier New" w:cs="Courier New" w:eastAsia="Courier New" w:hAnsi="Courier New"/>
          <w:sz w:val="16"/>
          <w:szCs w:val="16"/>
          <w:color w:val="auto"/>
        </w:rPr>
        <w:t>.Title 8;</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Restated Declaration of Trust; and</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Restated Bylaws.</w:t>
      </w:r>
    </w:p>
    <w:p>
      <w:pPr>
        <w:spacing w:after="0" w:line="195"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The material differences between the applicable District of Columbia law and Title 8 and among these various documents are summarized below. The comparison of certain rights of the Shareholders of the Trust before and after the Reorganization set forth below does not purport to be complete and is subject to and qualified in its entirety by reference to the common law of the District of Columbia, Title 8, the Restated Declaration of Trust and the Restated Bylaws (which are attached as Appendices A and B to this proxy statement) and also to the Existing Declaration of Trust and the Existing Bylaws, copies of which may be obtained from the Trust by writing to the Trust at Federal Realty Investment Trust, 1626 E. Jefferson Street, Rockville, MD 20852-4041, Attention: Corporate Secretary.</w:t>
      </w:r>
    </w:p>
    <w:p>
      <w:pPr>
        <w:spacing w:after="0" w:line="87" w:lineRule="exact"/>
        <w:rPr>
          <w:sz w:val="20"/>
          <w:szCs w:val="20"/>
          <w:color w:val="auto"/>
        </w:rPr>
      </w:pPr>
    </w:p>
    <w:p>
      <w:pPr>
        <w:ind w:right="2699" w:firstLine="196"/>
        <w:spacing w:after="0" w:line="290" w:lineRule="auto"/>
        <w:rPr>
          <w:sz w:val="20"/>
          <w:szCs w:val="20"/>
          <w:color w:val="auto"/>
        </w:rPr>
      </w:pPr>
      <w:r>
        <w:rPr>
          <w:rFonts w:ascii="Courier New" w:cs="Courier New" w:eastAsia="Courier New" w:hAnsi="Courier New"/>
          <w:sz w:val="16"/>
          <w:szCs w:val="16"/>
          <w:color w:val="auto"/>
        </w:rPr>
        <w:t>The comparison below describes District of Columbia common law, if any, and provisions of the Existing Declaration of Trust and the Existing Bylaws, with respect to the rights discussed, and compares them to Title 8, the Restated Declaration of Trust and the Restated Bylaws.</w:t>
      </w:r>
    </w:p>
    <w:p>
      <w:pPr>
        <w:spacing w:after="0" w:line="200" w:lineRule="exact"/>
        <w:rPr>
          <w:sz w:val="20"/>
          <w:szCs w:val="20"/>
          <w:color w:val="auto"/>
        </w:rPr>
      </w:pPr>
    </w:p>
    <w:p>
      <w:pPr>
        <w:spacing w:after="0" w:line="24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0" w:right="1440" w:bottom="1440" w:gutter="0" w:footer="0" w:header="0"/>
        </w:sectPr>
      </w:pPr>
    </w:p>
    <w:bookmarkStart w:id="22" w:name="page23"/>
    <w:bookmarkEnd w:id="22"/>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AUTHORIZED SHARES OF BENEFICIAL INTEREST</w:t>
      </w:r>
    </w:p>
    <w:p>
      <w:pPr>
        <w:sectPr>
          <w:pgSz w:w="11900" w:h="16838" w:orient="portrait"/>
          <w:cols w:equalWidth="0" w:num="1">
            <w:col w:w="10219"/>
          </w:cols>
          <w:pgMar w:left="240" w:top="838" w:right="1440" w:bottom="1440" w:gutter="0" w:footer="0" w:header="0"/>
        </w:sectPr>
      </w:pPr>
    </w:p>
    <w:p>
      <w:pPr>
        <w:spacing w:after="0" w:line="195" w:lineRule="exact"/>
        <w:rPr>
          <w:sz w:val="20"/>
          <w:szCs w:val="20"/>
          <w:color w:val="auto"/>
        </w:rPr>
      </w:pPr>
    </w:p>
    <w:p>
      <w:pPr>
        <w:spacing w:after="0" w:line="269" w:lineRule="auto"/>
        <w:rPr>
          <w:sz w:val="20"/>
          <w:szCs w:val="20"/>
          <w:color w:val="auto"/>
        </w:rPr>
      </w:pPr>
      <w:r>
        <w:rPr>
          <w:rFonts w:ascii="Courier New" w:cs="Courier New" w:eastAsia="Courier New" w:hAnsi="Courier New"/>
          <w:sz w:val="16"/>
          <w:szCs w:val="16"/>
          <w:color w:val="auto"/>
        </w:rPr>
        <w:t>The Existing Declaration of Trust authorizes the Trust to issue an unlimited number of common shares and a limited or unlimited number of shares other than common shares upon such terms and conditions and pursuant to such agreements as the Trustees may determine.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399"/>
        <w:spacing w:after="0" w:line="262" w:lineRule="auto"/>
        <w:rPr>
          <w:sz w:val="20"/>
          <w:szCs w:val="20"/>
          <w:color w:val="auto"/>
        </w:rPr>
      </w:pPr>
      <w:r>
        <w:rPr>
          <w:rFonts w:ascii="Courier New" w:cs="Courier New" w:eastAsia="Courier New" w:hAnsi="Courier New"/>
          <w:sz w:val="16"/>
          <w:szCs w:val="16"/>
          <w:color w:val="auto"/>
        </w:rPr>
        <w:t>The Restated Declaration of Trust authorizes the Trust to issue up to 115,000,000 shares, of which</w:t>
      </w:r>
    </w:p>
    <w:p>
      <w:pPr>
        <w:spacing w:after="0"/>
        <w:rPr>
          <w:sz w:val="20"/>
          <w:szCs w:val="20"/>
          <w:color w:val="auto"/>
        </w:rPr>
      </w:pPr>
      <w:r>
        <w:rPr>
          <w:rFonts w:ascii="Courier New" w:cs="Courier New" w:eastAsia="Courier New" w:hAnsi="Courier New"/>
          <w:sz w:val="16"/>
          <w:szCs w:val="16"/>
          <w:color w:val="auto"/>
        </w:rPr>
        <w:t>100,000,000 have been designated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and 15,000,000 have been designated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shares. The Board of Trustees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to increase or decrease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aggregate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number of authorized shares in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or series without shareholder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w:t>
      </w:r>
    </w:p>
    <w:p>
      <w:pPr>
        <w:spacing w:after="0" w:line="200" w:lineRule="exact"/>
        <w:rPr>
          <w:sz w:val="20"/>
          <w:szCs w:val="20"/>
          <w:color w:val="auto"/>
        </w:rPr>
      </w:pPr>
    </w:p>
    <w:p>
      <w:pPr>
        <w:sectPr>
          <w:pgSz w:w="11900" w:h="16838" w:orient="portrait"/>
          <w:cols w:equalWidth="0" w:num="2">
            <w:col w:w="4000" w:space="400"/>
            <w:col w:w="5819"/>
          </w:cols>
          <w:pgMar w:left="240" w:top="838" w:right="1440" w:bottom="1440" w:gutter="0" w:footer="0" w:header="0"/>
          <w:type w:val="continuous"/>
        </w:sectPr>
      </w:pPr>
    </w:p>
    <w:p>
      <w:pPr>
        <w:spacing w:after="0" w:line="15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SHAREHOLDER VOTING RIGHTS</w:t>
      </w:r>
    </w:p>
    <w:p>
      <w:pPr>
        <w:sectPr>
          <w:pgSz w:w="11900" w:h="16838" w:orient="portrait"/>
          <w:cols w:equalWidth="0" w:num="1">
            <w:col w:w="10219"/>
          </w:cols>
          <w:pgMar w:left="240" w:top="838" w:right="1440" w:bottom="1440" w:gutter="0" w:footer="0" w:header="0"/>
          <w:type w:val="continuous"/>
        </w:sectPr>
      </w:pPr>
    </w:p>
    <w:p>
      <w:pPr>
        <w:spacing w:after="0" w:line="195"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Under the Existing Declaration of Trust, the affirmative vote of the holders</w:t>
      </w:r>
    </w:p>
    <w:p>
      <w:pPr>
        <w:spacing w:after="0" w:line="1" w:lineRule="exact"/>
        <w:rPr>
          <w:sz w:val="20"/>
          <w:szCs w:val="20"/>
          <w:color w:val="auto"/>
        </w:rPr>
      </w:pPr>
    </w:p>
    <w:p>
      <w:pPr>
        <w:ind w:right="80"/>
        <w:spacing w:after="0" w:line="334" w:lineRule="auto"/>
        <w:rPr>
          <w:sz w:val="20"/>
          <w:szCs w:val="20"/>
          <w:color w:val="auto"/>
        </w:rPr>
      </w:pPr>
      <w:r>
        <w:rPr>
          <w:rFonts w:ascii="Courier New" w:cs="Courier New" w:eastAsia="Courier New" w:hAnsi="Courier New"/>
          <w:sz w:val="16"/>
          <w:szCs w:val="16"/>
          <w:color w:val="auto"/>
        </w:rPr>
        <w:t>of two-thirds of the shares entitled to vote on the matter is required for:</w:t>
      </w:r>
    </w:p>
    <w:p>
      <w:pPr>
        <w:spacing w:after="0" w:line="29" w:lineRule="exact"/>
        <w:rPr>
          <w:sz w:val="20"/>
          <w:szCs w:val="20"/>
          <w:color w:val="auto"/>
        </w:rPr>
      </w:pPr>
    </w:p>
    <w:p>
      <w:pPr>
        <w:ind w:left="400" w:hanging="302"/>
        <w:spacing w:after="0"/>
        <w:tabs>
          <w:tab w:leader="none" w:pos="4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removal of a trustee,</w:t>
      </w:r>
    </w:p>
    <w:p>
      <w:pPr>
        <w:spacing w:after="0" w:line="37" w:lineRule="exact"/>
        <w:rPr>
          <w:sz w:val="20"/>
          <w:szCs w:val="20"/>
          <w:color w:val="auto"/>
        </w:rPr>
      </w:pPr>
    </w:p>
    <w:p>
      <w:pPr>
        <w:ind w:left="300" w:right="280" w:hanging="202"/>
        <w:spacing w:after="0" w:line="248" w:lineRule="auto"/>
        <w:tabs>
          <w:tab w:leader="none" w:pos="39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amendment to the Existing Declaration of Trust with Board of Trustees approval,</w:t>
      </w:r>
    </w:p>
    <w:p>
      <w:pPr>
        <w:spacing w:after="0" w:line="2" w:lineRule="exact"/>
        <w:rPr>
          <w:sz w:val="20"/>
          <w:szCs w:val="20"/>
          <w:color w:val="auto"/>
        </w:rPr>
      </w:pPr>
    </w:p>
    <w:p>
      <w:pPr>
        <w:ind w:left="400" w:hanging="302"/>
        <w:spacing w:after="0"/>
        <w:tabs>
          <w:tab w:leader="none" w:pos="4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Trust,</w:t>
      </w:r>
    </w:p>
    <w:p>
      <w:pPr>
        <w:spacing w:after="0" w:line="6" w:lineRule="exact"/>
        <w:rPr>
          <w:rFonts w:ascii="Courier New" w:cs="Courier New" w:eastAsia="Courier New" w:hAnsi="Courier New"/>
          <w:sz w:val="16"/>
          <w:szCs w:val="16"/>
          <w:color w:val="auto"/>
        </w:rPr>
      </w:pPr>
    </w:p>
    <w:p>
      <w:pPr>
        <w:ind w:left="300" w:right="780" w:hanging="202"/>
        <w:spacing w:after="0" w:line="248" w:lineRule="auto"/>
        <w:tabs>
          <w:tab w:leader="none" w:pos="39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of the Trust, or</w:t>
      </w:r>
    </w:p>
    <w:p>
      <w:pPr>
        <w:spacing w:after="0" w:line="1" w:lineRule="exact"/>
        <w:rPr>
          <w:rFonts w:ascii="Courier New" w:cs="Courier New" w:eastAsia="Courier New" w:hAnsi="Courier New"/>
          <w:sz w:val="16"/>
          <w:szCs w:val="16"/>
          <w:color w:val="auto"/>
        </w:rPr>
      </w:pPr>
    </w:p>
    <w:p>
      <w:pPr>
        <w:ind w:left="300" w:right="380" w:hanging="202"/>
        <w:spacing w:after="0" w:line="291" w:lineRule="auto"/>
        <w:tabs>
          <w:tab w:leader="none" w:pos="39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disposition of substantially all of the property of the Trust.</w:t>
      </w:r>
    </w:p>
    <w:p>
      <w:pPr>
        <w:spacing w:after="0" w:line="63" w:lineRule="exact"/>
        <w:rPr>
          <w:sz w:val="20"/>
          <w:szCs w:val="20"/>
          <w:color w:val="auto"/>
        </w:rPr>
      </w:pPr>
    </w:p>
    <w:p>
      <w:pPr>
        <w:ind w:right="180"/>
        <w:spacing w:after="0" w:line="280" w:lineRule="auto"/>
        <w:rPr>
          <w:sz w:val="20"/>
          <w:szCs w:val="20"/>
          <w:color w:val="auto"/>
        </w:rPr>
      </w:pPr>
      <w:r>
        <w:rPr>
          <w:rFonts w:ascii="Courier New" w:cs="Courier New" w:eastAsia="Courier New" w:hAnsi="Courier New"/>
          <w:sz w:val="16"/>
          <w:szCs w:val="16"/>
          <w:color w:val="auto"/>
        </w:rPr>
        <w:t>An amendment to the Existing Declaration of Trust without board approval requires the affirmative vote of holders of 80% of the shares entitled to vote on the matter.</w:t>
      </w:r>
    </w:p>
    <w:p>
      <w:pPr>
        <w:spacing w:after="0" w:line="70"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The election of trustees requires the affirmative vote of holders of a majority of the Shares present in person or by proxy at an annual meeting duly called and at which a quorum is present. The Existing Declaration of Trust</w:t>
      </w:r>
    </w:p>
    <w:p>
      <w:pPr>
        <w:spacing w:after="0" w:line="2" w:lineRule="exact"/>
        <w:rPr>
          <w:sz w:val="20"/>
          <w:szCs w:val="20"/>
          <w:color w:val="auto"/>
        </w:rPr>
      </w:pPr>
    </w:p>
    <w:p>
      <w:pPr>
        <w:ind w:right="480"/>
        <w:spacing w:after="0" w:line="334" w:lineRule="auto"/>
        <w:rPr>
          <w:sz w:val="20"/>
          <w:szCs w:val="20"/>
          <w:color w:val="auto"/>
        </w:rPr>
      </w:pPr>
      <w:r>
        <w:rPr>
          <w:rFonts w:ascii="Courier New" w:cs="Courier New" w:eastAsia="Courier New" w:hAnsi="Courier New"/>
          <w:sz w:val="16"/>
          <w:szCs w:val="16"/>
          <w:color w:val="auto"/>
        </w:rPr>
        <w:t>does not provide for cumulative voting in the election of trustees.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2" w:right="1819"/>
        <w:spacing w:after="0" w:line="280" w:lineRule="auto"/>
        <w:rPr>
          <w:sz w:val="20"/>
          <w:szCs w:val="20"/>
          <w:color w:val="auto"/>
        </w:rPr>
      </w:pPr>
      <w:r>
        <w:rPr>
          <w:rFonts w:ascii="Courier New" w:cs="Courier New" w:eastAsia="Courier New" w:hAnsi="Courier New"/>
          <w:sz w:val="16"/>
          <w:szCs w:val="16"/>
          <w:color w:val="auto"/>
        </w:rPr>
        <w:t>In accordance with Title 8 and under the Restated Declaration of Trust, the affirmative vote of the holders of two-thirds of the shares entitled to vote on the matter is required for:</w:t>
      </w:r>
    </w:p>
    <w:p>
      <w:pPr>
        <w:spacing w:after="0" w:line="70" w:lineRule="exact"/>
        <w:rPr>
          <w:sz w:val="20"/>
          <w:szCs w:val="20"/>
          <w:color w:val="auto"/>
        </w:rPr>
      </w:pPr>
    </w:p>
    <w:p>
      <w:pPr>
        <w:ind w:left="382" w:hanging="284"/>
        <w:spacing w:after="0"/>
        <w:tabs>
          <w:tab w:leader="none" w:pos="38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removal of a trustee,</w:t>
      </w:r>
    </w:p>
    <w:p>
      <w:pPr>
        <w:spacing w:after="0" w:line="37" w:lineRule="exact"/>
        <w:rPr>
          <w:sz w:val="20"/>
          <w:szCs w:val="20"/>
          <w:color w:val="auto"/>
        </w:rPr>
      </w:pPr>
    </w:p>
    <w:p>
      <w:pPr>
        <w:ind w:left="302" w:right="1619" w:hanging="302"/>
        <w:spacing w:after="0" w:line="248" w:lineRule="auto"/>
        <w:tabs>
          <w:tab w:leader="none" w:pos="30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amendment to the Restated Declaration of Trust with Board of Trustees</w:t>
      </w:r>
    </w:p>
    <w:p>
      <w:pPr>
        <w:spacing w:after="0" w:line="1"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approval,</w:t>
      </w:r>
    </w:p>
    <w:p>
      <w:pPr>
        <w:spacing w:after="0" w:line="7" w:lineRule="exact"/>
        <w:rPr>
          <w:sz w:val="20"/>
          <w:szCs w:val="20"/>
          <w:color w:val="auto"/>
        </w:rPr>
      </w:pPr>
    </w:p>
    <w:p>
      <w:pPr>
        <w:ind w:left="382" w:hanging="284"/>
        <w:spacing w:after="0"/>
        <w:tabs>
          <w:tab w:leader="none" w:pos="38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Trust,</w:t>
      </w:r>
    </w:p>
    <w:p>
      <w:pPr>
        <w:spacing w:after="0" w:line="7" w:lineRule="exact"/>
        <w:rPr>
          <w:sz w:val="20"/>
          <w:szCs w:val="20"/>
          <w:color w:val="auto"/>
        </w:rPr>
      </w:pPr>
    </w:p>
    <w:p>
      <w:pPr>
        <w:ind w:left="302" w:hanging="302"/>
        <w:spacing w:after="0"/>
        <w:tabs>
          <w:tab w:leader="none" w:pos="30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of the Trust, or</w:t>
      </w:r>
    </w:p>
    <w:p>
      <w:pPr>
        <w:spacing w:after="0" w:line="6" w:lineRule="exact"/>
        <w:rPr>
          <w:rFonts w:ascii="Courier New" w:cs="Courier New" w:eastAsia="Courier New" w:hAnsi="Courier New"/>
          <w:sz w:val="16"/>
          <w:szCs w:val="16"/>
          <w:color w:val="auto"/>
        </w:rPr>
      </w:pPr>
    </w:p>
    <w:p>
      <w:pPr>
        <w:ind w:left="302" w:right="1719" w:hanging="196"/>
        <w:spacing w:after="0" w:line="3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 sale or disposition of substantially all of the property of the Trust.</w:t>
      </w:r>
    </w:p>
    <w:p>
      <w:pPr>
        <w:spacing w:after="0" w:line="29" w:lineRule="exact"/>
        <w:rPr>
          <w:sz w:val="20"/>
          <w:szCs w:val="20"/>
          <w:color w:val="auto"/>
        </w:rPr>
      </w:pPr>
    </w:p>
    <w:p>
      <w:pPr>
        <w:ind w:left="2" w:right="1999"/>
        <w:spacing w:after="0" w:line="269" w:lineRule="auto"/>
        <w:rPr>
          <w:sz w:val="20"/>
          <w:szCs w:val="20"/>
          <w:color w:val="auto"/>
        </w:rPr>
      </w:pPr>
      <w:r>
        <w:rPr>
          <w:rFonts w:ascii="Courier New" w:cs="Courier New" w:eastAsia="Courier New" w:hAnsi="Courier New"/>
          <w:sz w:val="16"/>
          <w:szCs w:val="16"/>
          <w:color w:val="auto"/>
        </w:rPr>
        <w:t>The election of trustees requires a plurality of all the votes cast at the meeting of shareholders duly called and at which a quorum is present. The Restated Declaration of Trust does not provide for cumulative voting in the election of trustees.</w:t>
      </w:r>
    </w:p>
    <w:p>
      <w:pPr>
        <w:spacing w:after="0" w:line="1584" w:lineRule="exact"/>
        <w:rPr>
          <w:sz w:val="20"/>
          <w:szCs w:val="20"/>
          <w:color w:val="auto"/>
        </w:rPr>
      </w:pPr>
    </w:p>
    <w:p>
      <w:pPr>
        <w:sectPr>
          <w:pgSz w:w="11900" w:h="16838" w:orient="portrait"/>
          <w:cols w:equalWidth="0" w:num="2">
            <w:col w:w="3900" w:space="498"/>
            <w:col w:w="5821"/>
          </w:cols>
          <w:pgMar w:left="240" w:top="838"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6"/>
          <w:szCs w:val="16"/>
          <w:color w:val="auto"/>
        </w:rPr>
        <w:t>PRE-EMPTIVE RIGHTS</w:t>
      </w:r>
    </w:p>
    <w:p>
      <w:pPr>
        <w:sectPr>
          <w:pgSz w:w="11900" w:h="16838" w:orient="portrait"/>
          <w:cols w:equalWidth="0" w:num="1">
            <w:col w:w="10219"/>
          </w:cols>
          <w:pgMar w:left="240" w:top="838" w:right="1440" w:bottom="1440" w:gutter="0" w:footer="0" w:header="0"/>
          <w:type w:val="continuous"/>
        </w:sectPr>
      </w:pPr>
    </w:p>
    <w:p>
      <w:pPr>
        <w:spacing w:after="0" w:line="195" w:lineRule="exact"/>
        <w:rPr>
          <w:sz w:val="20"/>
          <w:szCs w:val="20"/>
          <w:color w:val="auto"/>
        </w:rPr>
      </w:pPr>
    </w:p>
    <w:p>
      <w:pPr>
        <w:spacing w:after="0" w:line="311" w:lineRule="auto"/>
        <w:rPr>
          <w:sz w:val="20"/>
          <w:szCs w:val="20"/>
          <w:color w:val="auto"/>
        </w:rPr>
      </w:pPr>
      <w:r>
        <w:rPr>
          <w:rFonts w:ascii="Courier New" w:cs="Courier New" w:eastAsia="Courier New" w:hAnsi="Courier New"/>
          <w:sz w:val="16"/>
          <w:szCs w:val="16"/>
          <w:color w:val="auto"/>
        </w:rPr>
        <w:t>Neither the Existing Declaration of Trust nor the Existing Bylaws provides for pre-emptive rights.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819"/>
        <w:spacing w:after="0" w:line="258" w:lineRule="auto"/>
        <w:rPr>
          <w:sz w:val="20"/>
          <w:szCs w:val="20"/>
          <w:color w:val="auto"/>
        </w:rPr>
      </w:pPr>
      <w:r>
        <w:rPr>
          <w:rFonts w:ascii="Courier New" w:cs="Courier New" w:eastAsia="Courier New" w:hAnsi="Courier New"/>
          <w:sz w:val="16"/>
          <w:szCs w:val="16"/>
          <w:color w:val="auto"/>
        </w:rPr>
        <w:t>Under the Restated Declaration of Trust, except as provided by the Board of Trustees or set forth in the terms of any classified or reclassified shares,</w:t>
      </w:r>
    </w:p>
    <w:p>
      <w:pPr>
        <w:spacing w:after="0" w:line="2" w:lineRule="exact"/>
        <w:rPr>
          <w:sz w:val="20"/>
          <w:szCs w:val="20"/>
          <w:color w:val="auto"/>
        </w:rPr>
      </w:pPr>
    </w:p>
    <w:p>
      <w:pPr>
        <w:ind w:right="1519"/>
        <w:spacing w:after="0" w:line="277" w:lineRule="auto"/>
        <w:rPr>
          <w:sz w:val="20"/>
          <w:szCs w:val="20"/>
          <w:color w:val="auto"/>
        </w:rPr>
      </w:pPr>
      <w:r>
        <w:rPr>
          <w:rFonts w:ascii="Courier New" w:cs="Courier New" w:eastAsia="Courier New" w:hAnsi="Courier New"/>
          <w:sz w:val="16"/>
          <w:szCs w:val="16"/>
          <w:color w:val="auto"/>
        </w:rPr>
        <w:t>no holder of shares shall have any preemptive rights. Neither the holders of Series A Preferred Shares nor the holders of common shares have preemptive rights.</w:t>
      </w:r>
    </w:p>
    <w:p>
      <w:pPr>
        <w:spacing w:after="0" w:line="200" w:lineRule="exact"/>
        <w:rPr>
          <w:sz w:val="20"/>
          <w:szCs w:val="20"/>
          <w:color w:val="auto"/>
        </w:rPr>
      </w:pPr>
    </w:p>
    <w:p>
      <w:pPr>
        <w:sectPr>
          <w:pgSz w:w="11900" w:h="16838" w:orient="portrait"/>
          <w:cols w:equalWidth="0" w:num="2">
            <w:col w:w="4000" w:space="400"/>
            <w:col w:w="5819"/>
          </w:cols>
          <w:pgMar w:left="240" w:top="838" w:right="1440" w:bottom="1440" w:gutter="0" w:footer="0" w:header="0"/>
          <w:type w:val="continuous"/>
        </w:sectPr>
      </w:pPr>
    </w:p>
    <w:p>
      <w:pPr>
        <w:spacing w:after="0" w:line="6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38" w:right="1440" w:bottom="1440" w:gutter="0" w:footer="0" w:header="0"/>
          <w:type w:val="continuous"/>
        </w:sectPr>
      </w:pPr>
    </w:p>
    <w:bookmarkStart w:id="23" w:name="page24"/>
    <w:bookmarkEnd w:id="23"/>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Restrictions on Dividends and Other Distributions</w:t>
      </w:r>
    </w:p>
    <w:p>
      <w:pPr>
        <w:sectPr>
          <w:pgSz w:w="11900" w:h="16838" w:orient="portrait"/>
          <w:cols w:equalWidth="0" w:num="1">
            <w:col w:w="10219"/>
          </w:cols>
          <w:pgMar w:left="240" w:top="838" w:right="1440" w:bottom="229" w:gutter="0" w:footer="0" w:header="0"/>
        </w:sectPr>
      </w:pPr>
    </w:p>
    <w:p>
      <w:pPr>
        <w:spacing w:after="0" w:line="195" w:lineRule="exact"/>
        <w:rPr>
          <w:sz w:val="20"/>
          <w:szCs w:val="20"/>
          <w:color w:val="auto"/>
        </w:rPr>
      </w:pPr>
    </w:p>
    <w:p>
      <w:pPr>
        <w:spacing w:after="0" w:line="266" w:lineRule="auto"/>
        <w:rPr>
          <w:sz w:val="20"/>
          <w:szCs w:val="20"/>
          <w:color w:val="auto"/>
        </w:rPr>
      </w:pPr>
      <w:r>
        <w:rPr>
          <w:rFonts w:ascii="Courier New" w:cs="Courier New" w:eastAsia="Courier New" w:hAnsi="Courier New"/>
          <w:sz w:val="16"/>
          <w:szCs w:val="16"/>
          <w:color w:val="auto"/>
        </w:rPr>
        <w:t>Under the Existing Declaration of Trust, the Trustees have the right to declare and pay dividends from any source from time to time, but shall endeavor to pay dividends and distributions, as shall be necessary for the Trust to qualify as a real estate investment trust under the Internal Revenue Code.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619"/>
        <w:spacing w:after="0" w:line="255" w:lineRule="auto"/>
        <w:rPr>
          <w:sz w:val="20"/>
          <w:szCs w:val="20"/>
          <w:color w:val="auto"/>
        </w:rPr>
      </w:pPr>
      <w:r>
        <w:rPr>
          <w:rFonts w:ascii="Courier New" w:cs="Courier New" w:eastAsia="Courier New" w:hAnsi="Courier New"/>
          <w:sz w:val="16"/>
          <w:szCs w:val="16"/>
          <w:color w:val="auto"/>
        </w:rPr>
        <w:t>Title 8 does not set forth any standards for dividends or other distribution to shareholders. The Restated Declaration of Trust allows for the Board of Trustees to authorize the Trust to pay to shareholders dividends or distributions in cash, assets or securities of the trust or from any other source. The Trust may pay any dividend or make any other distribution to the shareholders as authorized in the Restated Declaration of Trust and by the Board of Trustees if, after giving effect to the dividend or distribution, the Trust would be able to pay its debts as they become due in the usual course of its business. The Restated Declaration of Trust requires the Board of Trustees to endeavor to authorize and cause the Trust to pay such dividends and distributions as may be necessary for the trust to qualify as a REIT under the Code.</w:t>
      </w:r>
    </w:p>
    <w:p>
      <w:pPr>
        <w:spacing w:after="0" w:line="200" w:lineRule="exact"/>
        <w:rPr>
          <w:sz w:val="20"/>
          <w:szCs w:val="20"/>
          <w:color w:val="auto"/>
        </w:rPr>
      </w:pPr>
    </w:p>
    <w:p>
      <w:pPr>
        <w:sectPr>
          <w:pgSz w:w="11900" w:h="16838" w:orient="portrait"/>
          <w:cols w:equalWidth="0" w:num="2">
            <w:col w:w="4200" w:space="200"/>
            <w:col w:w="5819"/>
          </w:cols>
          <w:pgMar w:left="240" w:top="838" w:right="1440" w:bottom="229" w:gutter="0" w:footer="0" w:header="0"/>
          <w:type w:val="continuous"/>
        </w:sectPr>
      </w:pPr>
    </w:p>
    <w:p>
      <w:pPr>
        <w:spacing w:after="0" w:line="79"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Dissenting Shareholder's Appraisal Rights</w:t>
      </w:r>
    </w:p>
    <w:p>
      <w:pPr>
        <w:sectPr>
          <w:pgSz w:w="11900" w:h="16838" w:orient="portrait"/>
          <w:cols w:equalWidth="0" w:num="1">
            <w:col w:w="10219"/>
          </w:cols>
          <w:pgMar w:left="240" w:top="838" w:right="1440" w:bottom="229"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311" w:lineRule="auto"/>
        <w:rPr>
          <w:sz w:val="20"/>
          <w:szCs w:val="20"/>
          <w:color w:val="auto"/>
        </w:rPr>
      </w:pPr>
      <w:r>
        <w:rPr>
          <w:rFonts w:ascii="Courier New" w:cs="Courier New" w:eastAsia="Courier New" w:hAnsi="Courier New"/>
          <w:sz w:val="16"/>
          <w:szCs w:val="16"/>
          <w:color w:val="auto"/>
        </w:rPr>
        <w:t>Neither the Existing Declaration of Trust nor the Existing Bylaws provides for appraisal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719"/>
        <w:spacing w:after="0" w:line="269" w:lineRule="auto"/>
        <w:rPr>
          <w:sz w:val="20"/>
          <w:szCs w:val="20"/>
          <w:color w:val="auto"/>
        </w:rPr>
      </w:pPr>
      <w:r>
        <w:rPr>
          <w:rFonts w:ascii="Courier New" w:cs="Courier New" w:eastAsia="Courier New" w:hAnsi="Courier New"/>
          <w:sz w:val="16"/>
          <w:szCs w:val="16"/>
          <w:color w:val="auto"/>
        </w:rPr>
        <w:t>Title 8 does not provide appraisal rights to shareholders of a Maryland REIT if the Maryland REIT's shares, such as the Trust's shares, are listed on a national securities exchange. Neither the Restated Declaration of Trust nor the Restated Bylaws provides for appraisal rights.</w:t>
      </w:r>
    </w:p>
    <w:p>
      <w:pPr>
        <w:spacing w:after="0" w:line="200" w:lineRule="exact"/>
        <w:rPr>
          <w:sz w:val="20"/>
          <w:szCs w:val="20"/>
          <w:color w:val="auto"/>
        </w:rPr>
      </w:pPr>
    </w:p>
    <w:p>
      <w:pPr>
        <w:sectPr>
          <w:pgSz w:w="11900" w:h="16838" w:orient="portrait"/>
          <w:cols w:equalWidth="0" w:num="2">
            <w:col w:w="4000" w:space="300"/>
            <w:col w:w="5919"/>
          </w:cols>
          <w:pgMar w:left="240" w:top="838" w:right="1440" w:bottom="229" w:gutter="0" w:footer="0" w:header="0"/>
          <w:type w:val="continuous"/>
        </w:sectPr>
      </w:pPr>
    </w:p>
    <w:p>
      <w:pPr>
        <w:spacing w:after="0" w:line="70"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Board of Trustees</w:t>
      </w:r>
    </w:p>
    <w:p>
      <w:pPr>
        <w:sectPr>
          <w:pgSz w:w="11900" w:h="16838" w:orient="portrait"/>
          <w:cols w:equalWidth="0" w:num="1">
            <w:col w:w="10219"/>
          </w:cols>
          <w:pgMar w:left="240" w:top="838" w:right="1440" w:bottom="229"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258" w:lineRule="auto"/>
        <w:rPr>
          <w:sz w:val="20"/>
          <w:szCs w:val="20"/>
          <w:color w:val="auto"/>
        </w:rPr>
      </w:pPr>
      <w:r>
        <w:rPr>
          <w:rFonts w:ascii="Courier New" w:cs="Courier New" w:eastAsia="Courier New" w:hAnsi="Courier New"/>
          <w:sz w:val="16"/>
          <w:szCs w:val="16"/>
          <w:color w:val="auto"/>
        </w:rPr>
        <w:t>Under the Existing Declaration of Trust, Trustees are to be elected in three classes for staggered, three-year terms. The total number of Trustees shall be at least three</w:t>
      </w:r>
    </w:p>
    <w:p>
      <w:pPr>
        <w:spacing w:after="0" w:line="2" w:lineRule="exact"/>
        <w:rPr>
          <w:sz w:val="20"/>
          <w:szCs w:val="20"/>
          <w:color w:val="auto"/>
        </w:rPr>
      </w:pPr>
    </w:p>
    <w:p>
      <w:pPr>
        <w:ind w:right="100"/>
        <w:spacing w:after="0" w:line="291" w:lineRule="auto"/>
        <w:tabs>
          <w:tab w:leader="none" w:pos="3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not more than fifteen (15). Trustees shall be competent individuals at least 21 years of 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73" w:lineRule="auto"/>
        <w:rPr>
          <w:sz w:val="20"/>
          <w:szCs w:val="20"/>
          <w:color w:val="auto"/>
        </w:rPr>
      </w:pPr>
      <w:r>
        <w:rPr>
          <w:rFonts w:ascii="Courier New" w:cs="Courier New" w:eastAsia="Courier New" w:hAnsi="Courier New"/>
          <w:sz w:val="16"/>
          <w:szCs w:val="16"/>
          <w:color w:val="auto"/>
        </w:rPr>
        <w:t>Under the Restated Declaration of Trust, Trustees are to be elected in three classes for staggered, three-year terms. The initial number of Trustees shall be nine but may be increased or decreased pursuant to the Restated Bylaws.</w:t>
      </w:r>
    </w:p>
    <w:p>
      <w:pPr>
        <w:spacing w:after="0" w:line="267" w:lineRule="exact"/>
        <w:rPr>
          <w:sz w:val="20"/>
          <w:szCs w:val="20"/>
          <w:color w:val="auto"/>
        </w:rPr>
      </w:pPr>
    </w:p>
    <w:p>
      <w:pPr>
        <w:sectPr>
          <w:pgSz w:w="11900" w:h="16838" w:orient="portrait"/>
          <w:cols w:equalWidth="0" w:num="2">
            <w:col w:w="4200" w:space="200"/>
            <w:col w:w="5819"/>
          </w:cols>
          <w:pgMar w:left="240" w:top="838" w:right="1440" w:bottom="229" w:gutter="0" w:footer="0" w:header="0"/>
          <w:type w:val="continuous"/>
        </w:sectPr>
      </w:pPr>
    </w:p>
    <w:p>
      <w:pPr>
        <w:ind w:left="2940"/>
        <w:spacing w:after="0"/>
        <w:rPr>
          <w:sz w:val="20"/>
          <w:szCs w:val="20"/>
          <w:color w:val="auto"/>
        </w:rPr>
      </w:pPr>
      <w:r>
        <w:rPr>
          <w:rFonts w:ascii="Courier New" w:cs="Courier New" w:eastAsia="Courier New" w:hAnsi="Courier New"/>
          <w:sz w:val="16"/>
          <w:szCs w:val="16"/>
          <w:color w:val="auto"/>
        </w:rPr>
        <w:t>Removal of Trustees</w:t>
      </w:r>
    </w:p>
    <w:p>
      <w:pPr>
        <w:sectPr>
          <w:pgSz w:w="11900" w:h="16838" w:orient="portrait"/>
          <w:cols w:equalWidth="0" w:num="1">
            <w:col w:w="10219"/>
          </w:cols>
          <w:pgMar w:left="240" w:top="838" w:right="1440" w:bottom="229"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right="480"/>
        <w:spacing w:after="0" w:line="373" w:lineRule="auto"/>
        <w:rPr>
          <w:sz w:val="20"/>
          <w:szCs w:val="20"/>
          <w:color w:val="auto"/>
        </w:rPr>
      </w:pPr>
      <w:r>
        <w:rPr>
          <w:rFonts w:ascii="Courier New" w:cs="Courier New" w:eastAsia="Courier New" w:hAnsi="Courier New"/>
          <w:sz w:val="16"/>
          <w:szCs w:val="16"/>
          <w:color w:val="auto"/>
        </w:rPr>
        <w:t>Pursuant to the Existing Declaration of Trust, Trustees may be removed</w:t>
      </w:r>
    </w:p>
    <w:p>
      <w:pPr>
        <w:spacing w:after="0" w:line="200" w:lineRule="exact"/>
        <w:rPr>
          <w:sz w:val="20"/>
          <w:szCs w:val="20"/>
          <w:color w:val="auto"/>
        </w:rPr>
      </w:pPr>
    </w:p>
    <w:p>
      <w:pPr>
        <w:spacing w:after="0" w:line="364" w:lineRule="exact"/>
        <w:rPr>
          <w:sz w:val="20"/>
          <w:szCs w:val="20"/>
          <w:color w:val="auto"/>
        </w:rPr>
      </w:pPr>
    </w:p>
    <w:p>
      <w:pPr>
        <w:ind w:left="300" w:hanging="202"/>
        <w:spacing w:after="0" w:line="268" w:lineRule="auto"/>
        <w:tabs>
          <w:tab w:leader="none" w:pos="39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or without cause, at a shareholders meeting called for that purpose</w:t>
      </w:r>
    </w:p>
    <w:p>
      <w:pPr>
        <w:spacing w:after="0" w:line="1" w:lineRule="exact"/>
        <w:rPr>
          <w:rFonts w:ascii="Courier New" w:cs="Courier New" w:eastAsia="Courier New" w:hAnsi="Courier New"/>
          <w:sz w:val="16"/>
          <w:szCs w:val="16"/>
          <w:color w:val="auto"/>
        </w:rPr>
      </w:pPr>
    </w:p>
    <w:p>
      <w:pPr>
        <w:ind w:left="300" w:right="10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two-thirds of the Shares then outstanding and entitled to vote if such removal is approved by a vote of not less than two-thirds of the Trustees; or</w:t>
      </w:r>
    </w:p>
    <w:p>
      <w:pPr>
        <w:spacing w:after="0" w:line="3" w:lineRule="exact"/>
        <w:rPr>
          <w:sz w:val="20"/>
          <w:szCs w:val="20"/>
          <w:color w:val="auto"/>
        </w:rPr>
      </w:pPr>
    </w:p>
    <w:p>
      <w:pPr>
        <w:ind w:left="300" w:right="100"/>
        <w:spacing w:after="0" w:line="248" w:lineRule="auto"/>
        <w:rPr>
          <w:sz w:val="20"/>
          <w:szCs w:val="20"/>
          <w:color w:val="auto"/>
        </w:rPr>
      </w:pPr>
      <w:r>
        <w:rPr>
          <w:rFonts w:ascii="Courier New" w:cs="Courier New" w:eastAsia="Courier New" w:hAnsi="Courier New"/>
          <w:sz w:val="16"/>
          <w:szCs w:val="16"/>
          <w:color w:val="auto"/>
        </w:rPr>
        <w:t>--by at least 80% of the Shares then outstanding if two-thirds of the Trustees do not approve such removal; or</w:t>
      </w:r>
    </w:p>
    <w:p>
      <w:pPr>
        <w:spacing w:after="0" w:line="2" w:lineRule="exact"/>
        <w:rPr>
          <w:sz w:val="20"/>
          <w:szCs w:val="20"/>
          <w:color w:val="auto"/>
        </w:rPr>
      </w:pPr>
    </w:p>
    <w:p>
      <w:pPr>
        <w:ind w:left="100" w:right="300"/>
        <w:spacing w:after="0" w:line="334" w:lineRule="auto"/>
        <w:rPr>
          <w:sz w:val="20"/>
          <w:szCs w:val="20"/>
          <w:color w:val="auto"/>
        </w:rPr>
      </w:pPr>
      <w:r>
        <w:rPr>
          <w:rFonts w:ascii="Courier New" w:cs="Courier New" w:eastAsia="Courier New" w:hAnsi="Courier New"/>
          <w:sz w:val="16"/>
          <w:szCs w:val="16"/>
          <w:color w:val="auto"/>
        </w:rPr>
        <w:t>.with cause by the vote of all the other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73" w:lineRule="auto"/>
        <w:rPr>
          <w:sz w:val="20"/>
          <w:szCs w:val="20"/>
          <w:color w:val="auto"/>
        </w:rPr>
      </w:pPr>
      <w:r>
        <w:rPr>
          <w:rFonts w:ascii="Courier New" w:cs="Courier New" w:eastAsia="Courier New" w:hAnsi="Courier New"/>
          <w:sz w:val="16"/>
          <w:szCs w:val="16"/>
          <w:color w:val="auto"/>
        </w:rPr>
        <w:t>Under the Restated Declaration of Trust, the shareholders of the Trust may remove a trustee only with cause and upon the affirmative vote of the holders of not less than two-thirds of the shares entitled to vote on the matter.</w:t>
      </w:r>
    </w:p>
    <w:p>
      <w:pPr>
        <w:spacing w:after="0" w:line="2316" w:lineRule="exact"/>
        <w:rPr>
          <w:sz w:val="20"/>
          <w:szCs w:val="20"/>
          <w:color w:val="auto"/>
        </w:rPr>
      </w:pPr>
    </w:p>
    <w:p>
      <w:pPr>
        <w:sectPr>
          <w:pgSz w:w="11900" w:h="16838" w:orient="portrait"/>
          <w:cols w:equalWidth="0" w:num="2">
            <w:col w:w="4300" w:space="100"/>
            <w:col w:w="5819"/>
          </w:cols>
          <w:pgMar w:left="240" w:top="838" w:right="1440" w:bottom="229" w:gutter="0" w:footer="0" w:header="0"/>
          <w:type w:val="continuous"/>
        </w:sectPr>
      </w:pPr>
    </w:p>
    <w:p>
      <w:pPr>
        <w:spacing w:after="0" w:line="20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38" w:right="1440" w:bottom="229" w:gutter="0" w:footer="0" w:header="0"/>
          <w:type w:val="continuous"/>
        </w:sectPr>
      </w:pPr>
    </w:p>
    <w:bookmarkStart w:id="24" w:name="page25"/>
    <w:bookmarkEnd w:id="24"/>
    <w:p>
      <w:pPr>
        <w:spacing w:after="0" w:line="114"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Vacancies on the Board of Trustees</w:t>
      </w:r>
    </w:p>
    <w:p>
      <w:pPr>
        <w:sectPr>
          <w:pgSz w:w="11900" w:h="16952" w:orient="portrait"/>
          <w:cols w:equalWidth="0" w:num="1">
            <w:col w:w="10219"/>
          </w:cols>
          <w:pgMar w:left="240" w:top="838" w:right="1440" w:bottom="0" w:gutter="0" w:footer="0" w:header="0"/>
        </w:sectPr>
      </w:pPr>
    </w:p>
    <w:p>
      <w:pPr>
        <w:spacing w:after="0" w:line="195" w:lineRule="exact"/>
        <w:rPr>
          <w:sz w:val="20"/>
          <w:szCs w:val="20"/>
          <w:color w:val="auto"/>
        </w:rPr>
      </w:pPr>
    </w:p>
    <w:p>
      <w:pPr>
        <w:spacing w:after="0" w:line="262" w:lineRule="auto"/>
        <w:rPr>
          <w:sz w:val="20"/>
          <w:szCs w:val="20"/>
          <w:color w:val="auto"/>
        </w:rPr>
      </w:pPr>
      <w:r>
        <w:rPr>
          <w:rFonts w:ascii="Courier New" w:cs="Courier New" w:eastAsia="Courier New" w:hAnsi="Courier New"/>
          <w:sz w:val="16"/>
          <w:szCs w:val="16"/>
          <w:color w:val="auto"/>
        </w:rPr>
        <w:t>The Existing Declaration of Trust provides that, subject to the provisions of any class or series of Shares at the time outstanding, any vacancy may be filled by a majority of the remaining Trustees or by the vote of holders of at least a majority of the Shares entitled to vote on the matter and present in person or by proxy at any meeting of the Shareholders called for that purpose.</w:t>
      </w:r>
    </w:p>
    <w:p>
      <w:pPr>
        <w:spacing w:after="0" w:line="89" w:lineRule="exact"/>
        <w:rPr>
          <w:sz w:val="20"/>
          <w:szCs w:val="20"/>
          <w:color w:val="auto"/>
        </w:rPr>
      </w:pPr>
    </w:p>
    <w:p>
      <w:pPr>
        <w:spacing w:after="0" w:line="262" w:lineRule="auto"/>
        <w:rPr>
          <w:sz w:val="20"/>
          <w:szCs w:val="20"/>
          <w:color w:val="auto"/>
        </w:rPr>
      </w:pPr>
      <w:r>
        <w:rPr>
          <w:rFonts w:ascii="Courier New" w:cs="Courier New" w:eastAsia="Courier New" w:hAnsi="Courier New"/>
          <w:sz w:val="16"/>
          <w:szCs w:val="16"/>
          <w:color w:val="auto"/>
        </w:rPr>
        <w:t>The Existing Declaration of Trust provides that when six consecutive quarterly dividends payable to Series A Preferred Shareholders are in arrears, Series A Preferred Shareholders, together with the holders of shares of every other series of Parity Shares (as defined therein), voting as a single class regardless of series, shall be entitled to elect two additional Trustees to serve on the Board of Trustees.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619"/>
        <w:spacing w:after="0" w:line="264" w:lineRule="auto"/>
        <w:rPr>
          <w:sz w:val="20"/>
          <w:szCs w:val="20"/>
          <w:color w:val="auto"/>
        </w:rPr>
      </w:pPr>
      <w:r>
        <w:rPr>
          <w:rFonts w:ascii="Courier New" w:cs="Courier New" w:eastAsia="Courier New" w:hAnsi="Courier New"/>
          <w:sz w:val="16"/>
          <w:szCs w:val="16"/>
          <w:color w:val="auto"/>
        </w:rPr>
        <w:t>Title 8 does not address vacancies in a board of trustees. The Restated Bylaws provide that any vacancy (including a vacancy created by an increase in the number of trustees) in the Board of Trustees may be filled by a majority of the remaining trustees. Each trustee so elected shall serve for the unexpired term of the trustee he is replacing.</w:t>
      </w:r>
    </w:p>
    <w:p>
      <w:pPr>
        <w:spacing w:after="0" w:line="85" w:lineRule="exact"/>
        <w:rPr>
          <w:sz w:val="20"/>
          <w:szCs w:val="20"/>
          <w:color w:val="auto"/>
        </w:rPr>
      </w:pPr>
    </w:p>
    <w:p>
      <w:pPr>
        <w:ind w:right="1619"/>
        <w:spacing w:after="0" w:line="262" w:lineRule="auto"/>
        <w:rPr>
          <w:sz w:val="20"/>
          <w:szCs w:val="20"/>
          <w:color w:val="auto"/>
        </w:rPr>
      </w:pPr>
      <w:r>
        <w:rPr>
          <w:rFonts w:ascii="Courier New" w:cs="Courier New" w:eastAsia="Courier New" w:hAnsi="Courier New"/>
          <w:sz w:val="16"/>
          <w:szCs w:val="16"/>
          <w:color w:val="auto"/>
        </w:rPr>
        <w:t>The Restated Declaration of Trust provides that when six consecutive quarterly dividends payable to Series A Preferred Shareholders are in arrears, Series A Preferred Shareholders, together with the holders of shares of every other series of Parity Shares (as defined therein), voting as a single class regardless of series, shall be entitled to elect two additional Trustees to serve on the Board of Trustees.</w:t>
      </w:r>
    </w:p>
    <w:p>
      <w:pPr>
        <w:spacing w:after="0" w:line="387" w:lineRule="exact"/>
        <w:rPr>
          <w:sz w:val="20"/>
          <w:szCs w:val="20"/>
          <w:color w:val="auto"/>
        </w:rPr>
      </w:pPr>
    </w:p>
    <w:p>
      <w:pPr>
        <w:sectPr>
          <w:pgSz w:w="11900" w:h="16952" w:orient="portrait"/>
          <w:cols w:equalWidth="0" w:num="2">
            <w:col w:w="4200" w:space="200"/>
            <w:col w:w="5819"/>
          </w:cols>
          <w:pgMar w:left="240" w:top="838" w:right="1440" w:bottom="0" w:gutter="0" w:footer="0" w:header="0"/>
          <w:type w:val="continuous"/>
        </w:sectPr>
      </w:pPr>
    </w:p>
    <w:p>
      <w:pPr>
        <w:spacing w:after="0" w:line="7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Annual Meetings of Shareholders</w:t>
      </w:r>
    </w:p>
    <w:p>
      <w:pPr>
        <w:sectPr>
          <w:pgSz w:w="11900" w:h="16952" w:orient="portrait"/>
          <w:cols w:equalWidth="0" w:num="1">
            <w:col w:w="10219"/>
          </w:cols>
          <w:pgMar w:left="240" w:top="838" w:right="1440" w:bottom="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256" w:lineRule="auto"/>
        <w:rPr>
          <w:sz w:val="20"/>
          <w:szCs w:val="20"/>
          <w:color w:val="auto"/>
        </w:rPr>
      </w:pPr>
      <w:r>
        <w:rPr>
          <w:rFonts w:ascii="Courier New" w:cs="Courier New" w:eastAsia="Courier New" w:hAnsi="Courier New"/>
          <w:sz w:val="16"/>
          <w:szCs w:val="16"/>
          <w:color w:val="auto"/>
        </w:rPr>
        <w:t>Under the Existing Declaration of Trust and the Existing Bylaws an annual meeting of shareholders shall be held on such date as designated by the Trustees, each year, after the delivery of the annual report. The Existing Bylaws provide procedures which must be followed relating to annual meetings, including the requirement that nominations for elections to the Board of Trustees and new business proposals shall be delivered to the secretary at the principal executive offices of the Trust not less than 60 days nor more than 90 days prior to the anniversary date of the preceding year's annual meeting. To be timely, a shareholder's notice shall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 to each person:</w:t>
      </w:r>
    </w:p>
    <w:p>
      <w:pPr>
        <w:spacing w:after="0" w:line="37" w:lineRule="exact"/>
        <w:rPr>
          <w:sz w:val="20"/>
          <w:szCs w:val="20"/>
          <w:color w:val="auto"/>
        </w:rPr>
      </w:pPr>
    </w:p>
    <w:p>
      <w:pPr>
        <w:ind w:left="300" w:right="100" w:hanging="7"/>
        <w:spacing w:after="0" w:line="248" w:lineRule="auto"/>
        <w:tabs>
          <w:tab w:leader="none" w:pos="5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who intends to make the nomination and of the person or persons to be nominated;</w:t>
      </w:r>
    </w:p>
    <w:p>
      <w:pPr>
        <w:spacing w:after="0" w:line="2" w:lineRule="exact"/>
        <w:rPr>
          <w:rFonts w:ascii="Courier New" w:cs="Courier New" w:eastAsia="Courier New" w:hAnsi="Courier New"/>
          <w:sz w:val="16"/>
          <w:szCs w:val="16"/>
          <w:color w:val="auto"/>
        </w:rPr>
      </w:pPr>
    </w:p>
    <w:p>
      <w:pPr>
        <w:ind w:left="300" w:hanging="7"/>
        <w:spacing w:after="0" w:line="248" w:lineRule="auto"/>
        <w:tabs>
          <w:tab w:leader="none" w:pos="5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representation that the shareholder is a holder of record of shares of the Trust entitled to vote at such meeting and intends to appear in person or by proxy at the meeting to nominate the person or persons specified in the notice;</w:t>
      </w:r>
    </w:p>
    <w:p>
      <w:pPr>
        <w:spacing w:after="0" w:line="4" w:lineRule="exact"/>
        <w:rPr>
          <w:rFonts w:ascii="Courier New" w:cs="Courier New" w:eastAsia="Courier New" w:hAnsi="Courier New"/>
          <w:sz w:val="16"/>
          <w:szCs w:val="16"/>
          <w:color w:val="auto"/>
        </w:rPr>
      </w:pPr>
    </w:p>
    <w:p>
      <w:pPr>
        <w:ind w:left="300" w:hanging="7"/>
        <w:spacing w:after="0" w:line="291" w:lineRule="auto"/>
        <w:tabs>
          <w:tab w:leader="none" w:pos="5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all arrangements or understandings between the shareholder and each nominee and any other person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419"/>
        <w:spacing w:after="0" w:line="252" w:lineRule="auto"/>
        <w:rPr>
          <w:sz w:val="20"/>
          <w:szCs w:val="20"/>
          <w:color w:val="auto"/>
        </w:rPr>
      </w:pPr>
      <w:r>
        <w:rPr>
          <w:rFonts w:ascii="Courier New" w:cs="Courier New" w:eastAsia="Courier New" w:hAnsi="Courier New"/>
          <w:sz w:val="16"/>
          <w:szCs w:val="16"/>
          <w:color w:val="auto"/>
        </w:rPr>
        <w:t>The Restated Bylaws provide that an annual meeting of shareholders for the election of trustees and the transaction of any business within the powers of the Trust shall be held in the month of May of each year, after the delivery of the annual report. Failure to hold such a meeting does not invalidate the Trust's existence or affect any otherwise valid acts of the Trust. The Restated Bylaws provide procedures which must be followed relating to annual meetings, including the requirement that nominations for elections to the Board of Trustees and new business proposals shall be delivered to the secretary at the principal executive offices of the Trust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 or delayed by more than 60 days from such anniversary date or if the Trust has not previously held an annual meeting, notice by the shareholder to be timely must be so delivered not earlier than the close of business on the 120th day prior to such annual meeting and not later than the close of business on the later of the 90th day prior to such annual meeting or the tenth day following the day on which public</w:t>
      </w:r>
    </w:p>
    <w:p>
      <w:pPr>
        <w:sectPr>
          <w:pgSz w:w="11900" w:h="16952" w:orient="portrait"/>
          <w:cols w:equalWidth="0" w:num="2">
            <w:col w:w="4200" w:space="400"/>
            <w:col w:w="5619"/>
          </w:cols>
          <w:pgMar w:left="240" w:top="838" w:right="1440" w:bottom="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persons (naming such person or persons);</w:t>
      </w:r>
    </w:p>
    <w:p>
      <w:pPr>
        <w:sectPr>
          <w:pgSz w:w="11900" w:h="16838" w:orient="portrait"/>
          <w:cols w:equalWidth="0" w:num="1">
            <w:col w:w="9919"/>
          </w:cols>
          <w:pgMar w:left="540" w:top="112" w:right="1440" w:bottom="1440" w:gutter="0" w:footer="0" w:header="0"/>
        </w:sectPr>
      </w:pP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19"/>
          </w:cols>
          <w:pgMar w:left="540" w:top="112" w:right="1440" w:bottom="1440" w:gutter="0" w:footer="0" w:header="0"/>
          <w:type w:val="continuous"/>
        </w:sectPr>
      </w:pPr>
    </w:p>
    <w:bookmarkStart w:id="26" w:name="page27"/>
    <w:bookmarkEnd w:id="26"/>
    <w:p>
      <w:pPr>
        <w:ind w:left="200" w:hanging="200"/>
        <w:spacing w:after="0"/>
        <w:tabs>
          <w:tab w:leader="none" w:pos="2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District of Columbia</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00" w:hanging="202"/>
        <w:spacing w:after="0" w:line="311" w:lineRule="auto"/>
        <w:tabs>
          <w:tab w:leader="none" w:pos="39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any other business that the shareholder proposes to bring before the meeting:</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300" w:right="200" w:hanging="7"/>
        <w:spacing w:after="0" w:line="262" w:lineRule="auto"/>
        <w:tabs>
          <w:tab w:leader="none" w:pos="5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description of the business desired to be brought before the meeting,</w:t>
      </w:r>
    </w:p>
    <w:p>
      <w:pPr>
        <w:ind w:left="300" w:right="580" w:hanging="7"/>
        <w:spacing w:after="0" w:line="248" w:lineRule="auto"/>
        <w:tabs>
          <w:tab w:leader="none" w:pos="5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for conducting such business at the meeting and</w:t>
      </w:r>
    </w:p>
    <w:p>
      <w:pPr>
        <w:spacing w:after="0" w:line="1" w:lineRule="exact"/>
        <w:rPr>
          <w:rFonts w:ascii="Courier New" w:cs="Courier New" w:eastAsia="Courier New" w:hAnsi="Courier New"/>
          <w:sz w:val="16"/>
          <w:szCs w:val="16"/>
          <w:color w:val="auto"/>
        </w:rPr>
      </w:pPr>
    </w:p>
    <w:p>
      <w:pPr>
        <w:ind w:left="300" w:right="100" w:hanging="7"/>
        <w:spacing w:after="0" w:line="277" w:lineRule="auto"/>
        <w:tabs>
          <w:tab w:leader="none" w:pos="5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interest in such business of such shareholder and of the beneficial owner, if any, on whose behalf the proposal is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hanging="202"/>
        <w:spacing w:after="0" w:line="258" w:lineRule="auto"/>
        <w:tabs>
          <w:tab w:leader="none" w:pos="3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the shareholder giving the notice and the beneficial owner, if any, on whose behalf the nomination or proposal is made,</w:t>
      </w:r>
    </w:p>
    <w:p>
      <w:pPr>
        <w:spacing w:after="0" w:line="2" w:lineRule="exact"/>
        <w:rPr>
          <w:rFonts w:ascii="Courier New" w:cs="Courier New" w:eastAsia="Courier New" w:hAnsi="Courier New"/>
          <w:sz w:val="16"/>
          <w:szCs w:val="16"/>
          <w:color w:val="auto"/>
        </w:rPr>
      </w:pPr>
    </w:p>
    <w:p>
      <w:pPr>
        <w:ind w:left="580" w:hanging="287"/>
        <w:spacing w:after="0"/>
        <w:tabs>
          <w:tab w:leader="none" w:pos="5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such</w:t>
      </w:r>
    </w:p>
    <w:p>
      <w:pPr>
        <w:spacing w:after="0" w:line="6" w:lineRule="exact"/>
        <w:rPr>
          <w:rFonts w:ascii="Courier New" w:cs="Courier New" w:eastAsia="Courier New" w:hAnsi="Courier New"/>
          <w:sz w:val="16"/>
          <w:szCs w:val="16"/>
          <w:color w:val="auto"/>
        </w:rPr>
      </w:pPr>
    </w:p>
    <w:p>
      <w:pPr>
        <w:ind w:left="300" w:right="30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as they appear on the Trust's books, and of such beneficial owner and</w:t>
      </w:r>
    </w:p>
    <w:p>
      <w:pPr>
        <w:spacing w:after="0" w:line="1" w:lineRule="exact"/>
        <w:rPr>
          <w:rFonts w:ascii="Courier New" w:cs="Courier New" w:eastAsia="Courier New" w:hAnsi="Courier New"/>
          <w:sz w:val="16"/>
          <w:szCs w:val="16"/>
          <w:color w:val="auto"/>
        </w:rPr>
      </w:pPr>
    </w:p>
    <w:p>
      <w:pPr>
        <w:ind w:left="300" w:hanging="7"/>
        <w:spacing w:after="0" w:line="277" w:lineRule="auto"/>
        <w:tabs>
          <w:tab w:leader="none" w:pos="59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each class of shares of the Trust which are owned beneficially and of record by such shareholder and such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466"/>
        <w:spacing w:after="0"/>
        <w:rPr>
          <w:sz w:val="20"/>
          <w:szCs w:val="20"/>
          <w:color w:val="auto"/>
        </w:rPr>
      </w:pPr>
      <w:r>
        <w:rPr>
          <w:rFonts w:ascii="Courier New" w:cs="Courier New" w:eastAsia="Courier New" w:hAnsi="Courier New"/>
          <w:sz w:val="16"/>
          <w:szCs w:val="16"/>
          <w:color w:val="auto"/>
        </w:rPr>
        <w:t>Maryland</w:t>
      </w:r>
    </w:p>
    <w:p>
      <w:pPr>
        <w:spacing w:after="0" w:line="195"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6" w:right="1319" w:firstLine="98"/>
        <w:spacing w:after="0" w:line="266" w:lineRule="auto"/>
        <w:rPr>
          <w:sz w:val="20"/>
          <w:szCs w:val="20"/>
          <w:color w:val="auto"/>
        </w:rPr>
      </w:pPr>
      <w:r>
        <w:rPr>
          <w:rFonts w:ascii="Courier New" w:cs="Courier New" w:eastAsia="Courier New" w:hAnsi="Courier New"/>
          <w:sz w:val="16"/>
          <w:szCs w:val="16"/>
          <w:color w:val="auto"/>
        </w:rPr>
        <w:t>announcement of the date of such meeting is first made by the Trust. In no event shall the public announcement of a postponement or adjournment of an annual meeting to a later date or time commence a new time period for the giving of a shareholder's notice as described above. Such shareholder's notice shall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6" w:right="1419" w:hanging="286"/>
        <w:spacing w:after="0" w:line="258" w:lineRule="auto"/>
        <w:tabs>
          <w:tab w:leader="none" w:pos="286"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 w:right="1419" w:hanging="286"/>
        <w:spacing w:after="0" w:line="253" w:lineRule="auto"/>
        <w:tabs>
          <w:tab w:leader="none" w:pos="28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w:t>
      </w:r>
    </w:p>
    <w:p>
      <w:pPr>
        <w:spacing w:after="0" w:line="2" w:lineRule="exact"/>
        <w:rPr>
          <w:sz w:val="20"/>
          <w:szCs w:val="20"/>
          <w:color w:val="auto"/>
        </w:rPr>
      </w:pPr>
    </w:p>
    <w:p>
      <w:pPr>
        <w:ind w:left="286"/>
        <w:spacing w:after="0"/>
        <w:rPr>
          <w:sz w:val="20"/>
          <w:szCs w:val="20"/>
          <w:color w:val="auto"/>
        </w:rPr>
      </w:pPr>
      <w:r>
        <w:rPr>
          <w:rFonts w:ascii="Courier New" w:cs="Courier New" w:eastAsia="Courier New" w:hAnsi="Courier New"/>
          <w:sz w:val="16"/>
          <w:szCs w:val="16"/>
          <w:color w:val="auto"/>
        </w:rPr>
        <w:t>proposal is made; and</w:t>
      </w:r>
    </w:p>
    <w:p>
      <w:pPr>
        <w:spacing w:after="0" w:line="7" w:lineRule="exact"/>
        <w:rPr>
          <w:sz w:val="20"/>
          <w:szCs w:val="20"/>
          <w:color w:val="auto"/>
        </w:rPr>
      </w:pPr>
    </w:p>
    <w:p>
      <w:pPr>
        <w:ind w:left="286" w:right="1519" w:hanging="286"/>
        <w:spacing w:after="0" w:line="248" w:lineRule="auto"/>
        <w:tabs>
          <w:tab w:leader="none" w:pos="286"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the shareholder giving the notice and the beneficial owner, if any, on whose behalf the nomination or proposal is made:</w:t>
      </w:r>
    </w:p>
    <w:p>
      <w:pPr>
        <w:spacing w:after="0" w:line="2" w:lineRule="exact"/>
        <w:rPr>
          <w:rFonts w:ascii="Courier New" w:cs="Courier New" w:eastAsia="Courier New" w:hAnsi="Courier New"/>
          <w:sz w:val="16"/>
          <w:szCs w:val="16"/>
          <w:color w:val="auto"/>
        </w:rPr>
      </w:pPr>
    </w:p>
    <w:p>
      <w:pPr>
        <w:ind w:left="286" w:right="19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such shareholder, as they appear on the</w:t>
      </w:r>
    </w:p>
    <w:p>
      <w:pPr>
        <w:spacing w:after="0" w:line="1" w:lineRule="exact"/>
        <w:rPr>
          <w:sz w:val="20"/>
          <w:szCs w:val="20"/>
          <w:color w:val="auto"/>
        </w:rPr>
      </w:pPr>
    </w:p>
    <w:p>
      <w:pPr>
        <w:ind w:left="286" w:right="1719"/>
        <w:spacing w:after="0" w:line="248" w:lineRule="auto"/>
        <w:rPr>
          <w:sz w:val="20"/>
          <w:szCs w:val="20"/>
          <w:color w:val="auto"/>
        </w:rPr>
      </w:pPr>
      <w:r>
        <w:rPr>
          <w:rFonts w:ascii="Courier New" w:cs="Courier New" w:eastAsia="Courier New" w:hAnsi="Courier New"/>
          <w:sz w:val="16"/>
          <w:szCs w:val="16"/>
          <w:color w:val="auto"/>
        </w:rPr>
        <w:t>Trust's books, and of such beneficial owner, and</w:t>
      </w:r>
    </w:p>
    <w:p>
      <w:pPr>
        <w:spacing w:after="0" w:line="1" w:lineRule="exact"/>
        <w:rPr>
          <w:sz w:val="20"/>
          <w:szCs w:val="20"/>
          <w:color w:val="auto"/>
        </w:rPr>
      </w:pPr>
    </w:p>
    <w:p>
      <w:pPr>
        <w:ind w:left="286" w:right="1519"/>
        <w:spacing w:after="0" w:line="248" w:lineRule="auto"/>
        <w:rPr>
          <w:sz w:val="20"/>
          <w:szCs w:val="20"/>
          <w:color w:val="auto"/>
        </w:rPr>
      </w:pPr>
      <w:r>
        <w:rPr>
          <w:rFonts w:ascii="Courier New" w:cs="Courier New" w:eastAsia="Courier New" w:hAnsi="Courier New"/>
          <w:sz w:val="16"/>
          <w:szCs w:val="16"/>
          <w:color w:val="auto"/>
        </w:rPr>
        <w:t>--the number of each class of shares of the Trust which are owned beneficially and of record by such shareholder and such beneficial owner.</w:t>
      </w:r>
    </w:p>
    <w:p>
      <w:pPr>
        <w:spacing w:after="0" w:line="3" w:lineRule="exact"/>
        <w:rPr>
          <w:sz w:val="20"/>
          <w:szCs w:val="20"/>
          <w:color w:val="auto"/>
        </w:rPr>
      </w:pPr>
    </w:p>
    <w:p>
      <w:pPr>
        <w:ind w:left="6" w:right="1419"/>
        <w:spacing w:after="0" w:line="258" w:lineRule="auto"/>
        <w:rPr>
          <w:sz w:val="20"/>
          <w:szCs w:val="20"/>
          <w:color w:val="auto"/>
        </w:rPr>
      </w:pPr>
      <w:r>
        <w:rPr>
          <w:rFonts w:ascii="Courier New" w:cs="Courier New" w:eastAsia="Courier New" w:hAnsi="Courier New"/>
          <w:sz w:val="16"/>
          <w:szCs w:val="16"/>
          <w:color w:val="auto"/>
        </w:rPr>
        <w:t>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shall also be considered timely, but only with</w:t>
      </w:r>
    </w:p>
    <w:p>
      <w:pPr>
        <w:sectPr>
          <w:pgSz w:w="11900" w:h="16838" w:orient="portrait"/>
          <w:cols w:equalWidth="0" w:num="2">
            <w:col w:w="4200" w:space="394"/>
            <w:col w:w="5625"/>
          </w:cols>
          <w:pgMar w:left="240" w:top="838" w:right="1440" w:bottom="1157" w:gutter="0" w:footer="0" w:header="0"/>
        </w:sectPr>
      </w:pPr>
    </w:p>
    <w:bookmarkStart w:id="27" w:name="page28"/>
    <w:bookmarkEnd w:id="27"/>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respect to nominees for any new positions</w:t>
      </w:r>
    </w:p>
    <w:p>
      <w:pPr>
        <w:spacing w:after="0" w:line="3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created by such increase, if it shall be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delivered to the secretary at the principal</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executive offices of the Trust not later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than the close of business on the tenth day</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following the day on which such public</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announcement is first made by the Trust.</w:t>
      </w:r>
    </w:p>
    <w:p>
      <w:pPr>
        <w:spacing w:after="0" w:line="353"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Special Meetings of Shareholders</w:t>
      </w:r>
    </w:p>
    <w:p>
      <w:pPr>
        <w:sectPr>
          <w:pgSz w:w="11900" w:h="16838" w:orient="portrait"/>
          <w:cols w:equalWidth="0" w:num="1">
            <w:col w:w="10219"/>
          </w:cols>
          <w:pgMar w:left="240" w:top="838" w:right="1440" w:bottom="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line="257" w:lineRule="auto"/>
        <w:rPr>
          <w:sz w:val="20"/>
          <w:szCs w:val="20"/>
          <w:color w:val="auto"/>
        </w:rPr>
      </w:pPr>
      <w:r>
        <w:rPr>
          <w:rFonts w:ascii="Courier New" w:cs="Courier New" w:eastAsia="Courier New" w:hAnsi="Courier New"/>
          <w:sz w:val="16"/>
          <w:szCs w:val="16"/>
          <w:color w:val="auto"/>
        </w:rPr>
        <w:t>Pursuant to the Existing Declaration of Trust, special meetings of Shareholders may be called by the Trustees, or upon the written request of Shareholders holding not less than 25% of the outstanding Shares entitled to vote at such meeting. The Bylaws provide procedures which must be followed for both the request for a special meeting by shareholders and the conduct of the special meeting, including the requirement that nominations for elections to the Board of Trustees must be delivered to the secretary not later than the 10th day following the day on which notice of such meeting is first given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54" w:lineRule="auto"/>
        <w:rPr>
          <w:sz w:val="20"/>
          <w:szCs w:val="20"/>
          <w:color w:val="auto"/>
        </w:rPr>
      </w:pPr>
      <w:r>
        <w:rPr>
          <w:rFonts w:ascii="Courier New" w:cs="Courier New" w:eastAsia="Courier New" w:hAnsi="Courier New"/>
          <w:sz w:val="16"/>
          <w:szCs w:val="16"/>
          <w:color w:val="auto"/>
        </w:rPr>
        <w:t>Title 8 does not address special meetings of shareholders. The Restated Bylaws provide that a special meeting of shareholders may be called by the President, one-third of the trustees or upon the written request of the holders of shares entitled to cast not less than twenty-five percent of all of the votes entitled to be cast at such a meeting. The Restated Bylaws provide procedures which must be followed for both the request for a special meeting by shareholders and the conduct of the special meeting, including the requirement that nominations for elections to the Board of Trustees and new business proposals must be delivered to the secretary not earlier than the close of business on the 120th day prior to the special meeting and not later than the close of business on the later of the 90th day prior to the special meeting or the 10th day following the day on which public announcement is first made of the special meeting.</w:t>
      </w:r>
    </w:p>
    <w:p>
      <w:pPr>
        <w:spacing w:after="0" w:line="200" w:lineRule="exact"/>
        <w:rPr>
          <w:sz w:val="20"/>
          <w:szCs w:val="20"/>
          <w:color w:val="auto"/>
        </w:rPr>
      </w:pPr>
    </w:p>
    <w:p>
      <w:pPr>
        <w:sectPr>
          <w:pgSz w:w="11900" w:h="16838" w:orient="portrait"/>
          <w:cols w:equalWidth="0" w:num="2">
            <w:col w:w="4200" w:space="200"/>
            <w:col w:w="5819"/>
          </w:cols>
          <w:pgMar w:left="240" w:top="838" w:right="1440" w:bottom="0" w:gutter="0" w:footer="0" w:header="0"/>
          <w:type w:val="continuous"/>
        </w:sectPr>
      </w:pPr>
    </w:p>
    <w:p>
      <w:pPr>
        <w:spacing w:after="0" w:line="83"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Shareholders Action by Written Consent</w:t>
      </w:r>
    </w:p>
    <w:p>
      <w:pPr>
        <w:sectPr>
          <w:pgSz w:w="11900" w:h="16838" w:orient="portrait"/>
          <w:cols w:equalWidth="0" w:num="1">
            <w:col w:w="10219"/>
          </w:cols>
          <w:pgMar w:left="240" w:top="838" w:right="1440" w:bottom="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261" w:lineRule="auto"/>
        <w:rPr>
          <w:sz w:val="20"/>
          <w:szCs w:val="20"/>
          <w:color w:val="auto"/>
        </w:rPr>
      </w:pPr>
      <w:r>
        <w:rPr>
          <w:rFonts w:ascii="Courier New" w:cs="Courier New" w:eastAsia="Courier New" w:hAnsi="Courier New"/>
          <w:sz w:val="16"/>
          <w:szCs w:val="16"/>
          <w:color w:val="auto"/>
        </w:rPr>
        <w:t>The Existing Declaration of Trust provides that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 Such consent shall have the effect of a vote taken at a meeting of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61" w:lineRule="auto"/>
        <w:rPr>
          <w:sz w:val="20"/>
          <w:szCs w:val="20"/>
          <w:color w:val="auto"/>
        </w:rPr>
      </w:pPr>
      <w:r>
        <w:rPr>
          <w:rFonts w:ascii="Courier New" w:cs="Courier New" w:eastAsia="Courier New" w:hAnsi="Courier New"/>
          <w:sz w:val="16"/>
          <w:szCs w:val="16"/>
          <w:color w:val="auto"/>
        </w:rPr>
        <w:t>Title 8 does not address actions by written consent of shareholders. The Restated Declaration of Trust provides that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 of Shareholders.</w:t>
      </w:r>
    </w:p>
    <w:p>
      <w:pPr>
        <w:spacing w:after="0" w:line="200" w:lineRule="exact"/>
        <w:rPr>
          <w:sz w:val="20"/>
          <w:szCs w:val="20"/>
          <w:color w:val="auto"/>
        </w:rPr>
      </w:pPr>
    </w:p>
    <w:p>
      <w:pPr>
        <w:sectPr>
          <w:pgSz w:w="11900" w:h="16838" w:orient="portrait"/>
          <w:cols w:equalWidth="0" w:num="2">
            <w:col w:w="4200" w:space="200"/>
            <w:col w:w="5819"/>
          </w:cols>
          <w:pgMar w:left="240" w:top="838" w:right="1440" w:bottom="0" w:gutter="0" w:footer="0" w:header="0"/>
          <w:type w:val="continuous"/>
        </w:sectPr>
      </w:pPr>
    </w:p>
    <w:p>
      <w:pPr>
        <w:spacing w:after="0" w:line="7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Amendments to Declaration of Trust and Bylaws</w:t>
      </w:r>
    </w:p>
    <w:p>
      <w:pPr>
        <w:sectPr>
          <w:pgSz w:w="11900" w:h="16838" w:orient="portrait"/>
          <w:cols w:equalWidth="0" w:num="1">
            <w:col w:w="10219"/>
          </w:cols>
          <w:pgMar w:left="240" w:top="838" w:right="1440" w:bottom="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right="200"/>
        <w:spacing w:after="0" w:line="280" w:lineRule="auto"/>
        <w:rPr>
          <w:sz w:val="20"/>
          <w:szCs w:val="20"/>
          <w:color w:val="auto"/>
        </w:rPr>
      </w:pPr>
      <w:r>
        <w:rPr>
          <w:rFonts w:ascii="Courier New" w:cs="Courier New" w:eastAsia="Courier New" w:hAnsi="Courier New"/>
          <w:sz w:val="16"/>
          <w:szCs w:val="16"/>
          <w:color w:val="auto"/>
        </w:rPr>
        <w:t>The Existing Declaration of Trust provides that certain specific sections of the Existing Declaration of Trust may be amended at a meeting called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hanging="202"/>
        <w:spacing w:after="0" w:line="282" w:lineRule="auto"/>
        <w:tabs>
          <w:tab w:leader="none" w:pos="39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affirmative vote of at least two-thirds of the Shares then outstanding and entitled to vote, if the Trustees approved or recommended the amendment,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60" w:lineRule="auto"/>
        <w:rPr>
          <w:sz w:val="20"/>
          <w:szCs w:val="20"/>
          <w:color w:val="auto"/>
        </w:rPr>
      </w:pPr>
      <w:r>
        <w:rPr>
          <w:rFonts w:ascii="Courier New" w:cs="Courier New" w:eastAsia="Courier New" w:hAnsi="Courier New"/>
          <w:sz w:val="16"/>
          <w:szCs w:val="16"/>
          <w:color w:val="auto"/>
        </w:rPr>
        <w:t>Under Title 8, an amendment to a declaration of trust must be approved by at least a majority of the board of trustees and the affirmative vote of the holders of two-thirds of the shares entitled to vote on such matter unless otherwise provided in the declaration of trust. The Restated Declaration of Trust provides for amendments to the Restated Declaration of Trust by the affirmative vote of the holders of a majority of the shares entitled to vote on the matter if the</w:t>
      </w:r>
    </w:p>
    <w:p>
      <w:pPr>
        <w:sectPr>
          <w:pgSz w:w="11900" w:h="16838" w:orient="portrait"/>
          <w:cols w:equalWidth="0" w:num="2">
            <w:col w:w="4300" w:space="100"/>
            <w:col w:w="5819"/>
          </w:cols>
          <w:pgMar w:left="240" w:top="838" w:right="1440" w:bottom="0" w:gutter="0" w:footer="0" w:header="0"/>
          <w:type w:val="continuous"/>
        </w:sectPr>
      </w:pPr>
    </w:p>
    <w:bookmarkStart w:id="28" w:name="page29"/>
    <w:bookmarkEnd w:id="28"/>
    <w:p>
      <w:pPr>
        <w:ind w:left="26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300" w:right="1440" w:bottom="1440" w:gutter="0" w:footer="0" w:header="0"/>
        </w:sectPr>
      </w:pPr>
    </w:p>
    <w:bookmarkStart w:id="29" w:name="page30"/>
    <w:bookmarkEnd w:id="29"/>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838" w:right="1440" w:bottom="1440" w:gutter="0" w:footer="0" w:header="0"/>
        </w:sectPr>
      </w:pPr>
    </w:p>
    <w:p>
      <w:pPr>
        <w:spacing w:after="0" w:line="195" w:lineRule="exact"/>
        <w:rPr>
          <w:sz w:val="20"/>
          <w:szCs w:val="20"/>
          <w:color w:val="auto"/>
        </w:rPr>
      </w:pPr>
    </w:p>
    <w:p>
      <w:pPr>
        <w:ind w:left="300" w:right="100" w:hanging="202"/>
        <w:spacing w:after="0" w:line="262" w:lineRule="auto"/>
        <w:tabs>
          <w:tab w:leader="none" w:pos="39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80% or more of the shares then outstanding and entitled to vote absent Trustee approval or recommendation.</w:t>
      </w:r>
    </w:p>
    <w:p>
      <w:pPr>
        <w:ind w:right="680"/>
        <w:spacing w:after="0" w:line="334" w:lineRule="auto"/>
        <w:rPr>
          <w:sz w:val="20"/>
          <w:szCs w:val="20"/>
          <w:color w:val="auto"/>
        </w:rPr>
      </w:pPr>
      <w:r>
        <w:rPr>
          <w:rFonts w:ascii="Courier New" w:cs="Courier New" w:eastAsia="Courier New" w:hAnsi="Courier New"/>
          <w:sz w:val="16"/>
          <w:szCs w:val="16"/>
          <w:color w:val="auto"/>
        </w:rPr>
        <w:t>All other sections of the Existing Declaration of Trust may be amended:</w:t>
      </w:r>
    </w:p>
    <w:p>
      <w:pPr>
        <w:spacing w:after="0" w:line="200" w:lineRule="exact"/>
        <w:rPr>
          <w:sz w:val="20"/>
          <w:szCs w:val="20"/>
          <w:color w:val="auto"/>
        </w:rPr>
      </w:pPr>
    </w:p>
    <w:p>
      <w:pPr>
        <w:spacing w:after="0" w:line="205" w:lineRule="exact"/>
        <w:rPr>
          <w:sz w:val="20"/>
          <w:szCs w:val="20"/>
          <w:color w:val="auto"/>
        </w:rPr>
      </w:pPr>
    </w:p>
    <w:p>
      <w:pPr>
        <w:ind w:left="300" w:hanging="202"/>
        <w:spacing w:after="0" w:line="311" w:lineRule="auto"/>
        <w:tabs>
          <w:tab w:leader="none" w:pos="39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 meeting called for the purpose, by a two-thirds vote of the Shares then outstanding and entitled to vote; or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0" w:right="300" w:hanging="202"/>
        <w:spacing w:after="0" w:line="268" w:lineRule="auto"/>
        <w:tabs>
          <w:tab w:leader="none" w:pos="39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a meeting, by the written consent signed by the majority of the</w:t>
      </w:r>
    </w:p>
    <w:p>
      <w:pPr>
        <w:spacing w:after="0" w:line="1" w:lineRule="exact"/>
        <w:rPr>
          <w:sz w:val="20"/>
          <w:szCs w:val="20"/>
          <w:color w:val="auto"/>
        </w:rPr>
      </w:pPr>
    </w:p>
    <w:p>
      <w:pPr>
        <w:ind w:left="300" w:right="300"/>
        <w:spacing w:after="0" w:line="248" w:lineRule="auto"/>
        <w:rPr>
          <w:sz w:val="20"/>
          <w:szCs w:val="20"/>
          <w:color w:val="auto"/>
        </w:rPr>
      </w:pPr>
      <w:r>
        <w:rPr>
          <w:rFonts w:ascii="Courier New" w:cs="Courier New" w:eastAsia="Courier New" w:hAnsi="Courier New"/>
          <w:sz w:val="16"/>
          <w:szCs w:val="16"/>
          <w:color w:val="auto"/>
        </w:rPr>
        <w:t>Trustees and by two-thirds or more of such outstanding Shares.</w:t>
      </w:r>
    </w:p>
    <w:p>
      <w:pPr>
        <w:spacing w:after="0" w:line="1" w:lineRule="exact"/>
        <w:rPr>
          <w:sz w:val="20"/>
          <w:szCs w:val="20"/>
          <w:color w:val="auto"/>
        </w:rPr>
      </w:pPr>
    </w:p>
    <w:p>
      <w:pPr>
        <w:ind w:right="200"/>
        <w:spacing w:after="0" w:line="248" w:lineRule="auto"/>
        <w:rPr>
          <w:sz w:val="20"/>
          <w:szCs w:val="20"/>
          <w:color w:val="auto"/>
        </w:rPr>
      </w:pPr>
      <w:r>
        <w:rPr>
          <w:rFonts w:ascii="Courier New" w:cs="Courier New" w:eastAsia="Courier New" w:hAnsi="Courier New"/>
          <w:sz w:val="16"/>
          <w:szCs w:val="16"/>
          <w:color w:val="auto"/>
        </w:rPr>
        <w:t>The Existing Declaration of Trust also gives the Trustees the power to amend the Existing Declaration of Trust without the vote or consent of any Shareholders</w:t>
      </w:r>
    </w:p>
    <w:p>
      <w:pPr>
        <w:spacing w:after="0" w:line="3" w:lineRule="exact"/>
        <w:rPr>
          <w:sz w:val="20"/>
          <w:szCs w:val="20"/>
          <w:color w:val="auto"/>
        </w:rPr>
      </w:pPr>
    </w:p>
    <w:p>
      <w:pPr>
        <w:ind w:left="300" w:right="300" w:hanging="202"/>
        <w:spacing w:after="0" w:line="248" w:lineRule="auto"/>
        <w:tabs>
          <w:tab w:leader="none" w:pos="39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they deem necessary to qualify the Trust as a real estate investment trust under the Internal</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Revenue Code, or</w:t>
      </w:r>
    </w:p>
    <w:p>
      <w:pPr>
        <w:spacing w:after="0" w:line="7" w:lineRule="exact"/>
        <w:rPr>
          <w:sz w:val="20"/>
          <w:szCs w:val="20"/>
          <w:color w:val="auto"/>
        </w:rPr>
      </w:pPr>
    </w:p>
    <w:p>
      <w:pPr>
        <w:ind w:left="400" w:hanging="302"/>
        <w:spacing w:after="0"/>
        <w:tabs>
          <w:tab w:leader="none" w:pos="4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conform the Existing Declaration of</w:t>
      </w:r>
    </w:p>
    <w:p>
      <w:pPr>
        <w:spacing w:after="0" w:line="7" w:lineRule="exact"/>
        <w:rPr>
          <w:sz w:val="20"/>
          <w:szCs w:val="20"/>
          <w:color w:val="auto"/>
        </w:rPr>
      </w:pPr>
    </w:p>
    <w:p>
      <w:pPr>
        <w:ind w:left="300" w:right="100"/>
        <w:spacing w:after="0" w:line="248" w:lineRule="auto"/>
        <w:rPr>
          <w:sz w:val="20"/>
          <w:szCs w:val="20"/>
          <w:color w:val="auto"/>
        </w:rPr>
      </w:pPr>
      <w:r>
        <w:rPr>
          <w:rFonts w:ascii="Courier New" w:cs="Courier New" w:eastAsia="Courier New" w:hAnsi="Courier New"/>
          <w:sz w:val="16"/>
          <w:szCs w:val="16"/>
          <w:color w:val="auto"/>
        </w:rPr>
        <w:t>Trust to the requirements of applicable federal or state laws or regulations.</w:t>
      </w:r>
    </w:p>
    <w:p>
      <w:pPr>
        <w:spacing w:after="0" w:line="1" w:lineRule="exact"/>
        <w:rPr>
          <w:sz w:val="20"/>
          <w:szCs w:val="20"/>
          <w:color w:val="auto"/>
        </w:rPr>
      </w:pPr>
    </w:p>
    <w:p>
      <w:pPr>
        <w:ind w:right="100"/>
        <w:spacing w:after="0" w:line="291" w:lineRule="auto"/>
        <w:rPr>
          <w:sz w:val="20"/>
          <w:szCs w:val="20"/>
          <w:color w:val="auto"/>
        </w:rPr>
      </w:pPr>
      <w:r>
        <w:rPr>
          <w:rFonts w:ascii="Courier New" w:cs="Courier New" w:eastAsia="Courier New" w:hAnsi="Courier New"/>
          <w:sz w:val="16"/>
          <w:szCs w:val="16"/>
          <w:color w:val="auto"/>
        </w:rPr>
        <w:t>Generally, the Existing Bylaws may be amended, modified or repealed by a vote of two-thirds or more of the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819"/>
        <w:spacing w:after="0" w:line="256" w:lineRule="auto"/>
        <w:rPr>
          <w:sz w:val="20"/>
          <w:szCs w:val="20"/>
          <w:color w:val="auto"/>
        </w:rPr>
      </w:pPr>
      <w:r>
        <w:rPr>
          <w:rFonts w:ascii="Courier New" w:cs="Courier New" w:eastAsia="Courier New" w:hAnsi="Courier New"/>
          <w:sz w:val="16"/>
          <w:szCs w:val="16"/>
          <w:color w:val="auto"/>
        </w:rPr>
        <w:t>trustees have unanimously approved a shareholder vote on the matter. The Board of Trustees has the authority to increase the authorized shares of the trust without the approval of the shareholders.</w:t>
      </w:r>
    </w:p>
    <w:p>
      <w:pPr>
        <w:spacing w:after="0" w:line="3" w:lineRule="exact"/>
        <w:rPr>
          <w:sz w:val="20"/>
          <w:szCs w:val="20"/>
          <w:color w:val="auto"/>
        </w:rPr>
      </w:pPr>
    </w:p>
    <w:p>
      <w:pPr>
        <w:ind w:right="1719" w:firstLine="98"/>
        <w:spacing w:after="0" w:line="248" w:lineRule="auto"/>
        <w:rPr>
          <w:sz w:val="20"/>
          <w:szCs w:val="20"/>
          <w:color w:val="auto"/>
        </w:rPr>
      </w:pPr>
      <w:r>
        <w:rPr>
          <w:rFonts w:ascii="Courier New" w:cs="Courier New" w:eastAsia="Courier New" w:hAnsi="Courier New"/>
          <w:sz w:val="16"/>
          <w:szCs w:val="16"/>
          <w:color w:val="auto"/>
        </w:rPr>
        <w:t>The Restated Declaration of Trust provides that the Trustees may amend the Restated Declaration of Trust, in the manner provided by Title 8, without any actions by the Shareholders, to qualify as a REIT under the Code or under Title 8 and as otherwise provided in the Declaration of Trust.</w:t>
      </w:r>
    </w:p>
    <w:p>
      <w:pPr>
        <w:spacing w:after="0" w:line="5" w:lineRule="exact"/>
        <w:rPr>
          <w:sz w:val="20"/>
          <w:szCs w:val="20"/>
          <w:color w:val="auto"/>
        </w:rPr>
      </w:pPr>
    </w:p>
    <w:p>
      <w:pPr>
        <w:ind w:right="1719" w:firstLine="98"/>
        <w:spacing w:after="0" w:line="277" w:lineRule="auto"/>
        <w:rPr>
          <w:sz w:val="20"/>
          <w:szCs w:val="20"/>
          <w:color w:val="auto"/>
        </w:rPr>
      </w:pPr>
      <w:r>
        <w:rPr>
          <w:rFonts w:ascii="Courier New" w:cs="Courier New" w:eastAsia="Courier New" w:hAnsi="Courier New"/>
          <w:sz w:val="16"/>
          <w:szCs w:val="16"/>
          <w:color w:val="auto"/>
        </w:rPr>
        <w:t>The Restated Bylaws provide that the Board of Trustees has the exclusive power to adopt, amend or repeal any provision of the bylaws and to make new bylaws.</w:t>
      </w:r>
    </w:p>
    <w:p>
      <w:pPr>
        <w:spacing w:after="0" w:line="2841" w:lineRule="exact"/>
        <w:rPr>
          <w:sz w:val="20"/>
          <w:szCs w:val="20"/>
          <w:color w:val="auto"/>
        </w:rPr>
      </w:pPr>
    </w:p>
    <w:p>
      <w:pPr>
        <w:sectPr>
          <w:pgSz w:w="11900" w:h="16838" w:orient="portrait"/>
          <w:cols w:equalWidth="0" w:num="2">
            <w:col w:w="4200" w:space="100"/>
            <w:col w:w="5919"/>
          </w:cols>
          <w:pgMar w:left="240" w:top="838" w:right="1440" w:bottom="1440" w:gutter="0" w:footer="0" w:header="0"/>
          <w:type w:val="continuous"/>
        </w:sectPr>
      </w:pPr>
    </w:p>
    <w:p>
      <w:pPr>
        <w:spacing w:after="0" w:line="50"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Limit on Share Ownership</w:t>
      </w:r>
    </w:p>
    <w:p>
      <w:pPr>
        <w:sectPr>
          <w:pgSz w:w="11900" w:h="16838" w:orient="portrait"/>
          <w:cols w:equalWidth="0" w:num="1">
            <w:col w:w="10219"/>
          </w:cols>
          <w:pgMar w:left="240" w:top="838"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258" w:lineRule="auto"/>
        <w:rPr>
          <w:sz w:val="20"/>
          <w:szCs w:val="20"/>
          <w:color w:val="auto"/>
        </w:rPr>
      </w:pPr>
      <w:r>
        <w:rPr>
          <w:rFonts w:ascii="Courier New" w:cs="Courier New" w:eastAsia="Courier New" w:hAnsi="Courier New"/>
          <w:sz w:val="16"/>
          <w:szCs w:val="16"/>
          <w:color w:val="auto"/>
        </w:rPr>
        <w:t>The Existing Declaration of Trust prohibits any Person (as defined therein) from owning greater than 9.8% in fair market value of the Trust's Shares outstanding at any time. The Trustees may authorize a single Person (as defined therein) to own up to a maximum of 20% in fair market value of outstanding Shares. The share ownership limit does not prohibit the completion of a tender offer for all of the outstanding Shares, provided that the consideration offered is in cash or voting securities of a public company and the offer is approved by the Trustees or 80% of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57" w:lineRule="auto"/>
        <w:rPr>
          <w:sz w:val="20"/>
          <w:szCs w:val="20"/>
          <w:color w:val="auto"/>
        </w:rPr>
      </w:pPr>
      <w:r>
        <w:rPr>
          <w:rFonts w:ascii="Courier New" w:cs="Courier New" w:eastAsia="Courier New" w:hAnsi="Courier New"/>
          <w:sz w:val="16"/>
          <w:szCs w:val="16"/>
          <w:color w:val="auto"/>
        </w:rPr>
        <w:t>Title 8 does not limit share ownership. The Restated Declaration of Trust prohibits the ownership by any person of greater than 9.8% in value of the aggregate of the outstanding equity shares and 9.8% (in value or in number of shares, whichever is more restrictive) of the aggregate number of the outstanding common shares. Subject to certain exceptions and requirements, the Board of Trustees, in its sole discretion, may exempt a Person from the Aggregate Share Ownership Limit and the Common Share Ownership Limit, as the case may be, and may establish or increase an Excepted Holder Limit for such Person.</w:t>
      </w:r>
    </w:p>
    <w:p>
      <w:pPr>
        <w:spacing w:after="0" w:line="200" w:lineRule="exact"/>
        <w:rPr>
          <w:sz w:val="20"/>
          <w:szCs w:val="20"/>
          <w:color w:val="auto"/>
        </w:rPr>
      </w:pPr>
    </w:p>
    <w:p>
      <w:pPr>
        <w:sectPr>
          <w:pgSz w:w="11900" w:h="16838" w:orient="portrait"/>
          <w:cols w:equalWidth="0" w:num="2">
            <w:col w:w="4200" w:space="200"/>
            <w:col w:w="5819"/>
          </w:cols>
          <w:pgMar w:left="240" w:top="838" w:right="1440" w:bottom="1440" w:gutter="0" w:footer="0" w:header="0"/>
          <w:type w:val="continuous"/>
        </w:sectPr>
      </w:pPr>
    </w:p>
    <w:p>
      <w:pPr>
        <w:spacing w:after="0" w:line="27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38" w:right="1440" w:bottom="1440" w:gutter="0" w:footer="0" w:header="0"/>
          <w:type w:val="continuous"/>
        </w:sectPr>
      </w:pPr>
    </w:p>
    <w:bookmarkStart w:id="30" w:name="page31"/>
    <w:bookmarkEnd w:id="30"/>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Certain Business Combinations</w:t>
      </w:r>
    </w:p>
    <w:p>
      <w:pPr>
        <w:sectPr>
          <w:pgSz w:w="11900" w:h="16838" w:orient="portrait"/>
          <w:cols w:equalWidth="0" w:num="1">
            <w:col w:w="10219"/>
          </w:cols>
          <w:pgMar w:left="240" w:top="838" w:right="1440" w:bottom="1440" w:gutter="0" w:footer="0" w:header="0"/>
        </w:sectPr>
      </w:pPr>
    </w:p>
    <w:p>
      <w:pPr>
        <w:spacing w:after="0" w:line="195" w:lineRule="exact"/>
        <w:rPr>
          <w:sz w:val="20"/>
          <w:szCs w:val="20"/>
          <w:color w:val="auto"/>
        </w:rPr>
      </w:pPr>
    </w:p>
    <w:p>
      <w:pPr>
        <w:spacing w:after="0" w:line="258" w:lineRule="auto"/>
        <w:rPr>
          <w:sz w:val="20"/>
          <w:szCs w:val="20"/>
          <w:color w:val="auto"/>
        </w:rPr>
      </w:pPr>
      <w:r>
        <w:rPr>
          <w:rFonts w:ascii="Courier New" w:cs="Courier New" w:eastAsia="Courier New" w:hAnsi="Courier New"/>
          <w:sz w:val="16"/>
          <w:szCs w:val="16"/>
          <w:color w:val="auto"/>
        </w:rPr>
        <w:t>Under the Existing Declaration of Trust, certain "business combinations" (including certain mergers, consolidations, dispositions of assets and issuances of securities) between the Trust and any person who beneficially owns 9.8% of the outstanding Shares entitled to vote require the affirmative vote of the holders of 80% of the Shares then outstanding and entitled to vote on the matter, unless the consideration received by shareholders in the business combination satisfies certain fair price conditions and certain other conditions are satisfied.</w:t>
      </w:r>
    </w:p>
    <w:p>
      <w:pPr>
        <w:spacing w:after="0" w:line="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619"/>
        <w:spacing w:after="0" w:line="253" w:lineRule="auto"/>
        <w:rPr>
          <w:sz w:val="20"/>
          <w:szCs w:val="20"/>
          <w:color w:val="auto"/>
        </w:rPr>
      </w:pPr>
      <w:r>
        <w:rPr>
          <w:rFonts w:ascii="Courier New" w:cs="Courier New" w:eastAsia="Courier New" w:hAnsi="Courier New"/>
          <w:sz w:val="16"/>
          <w:szCs w:val="16"/>
          <w:color w:val="auto"/>
        </w:rPr>
        <w:t>Under the Maryland General Corporation Law, as amended ("MGCL"), as applicable to real estate investment trusts formed under Title 8, certain "business combinations" (including certain mergers, asset transfers and issuances of equity securities) between a Maryland REIT and any person who beneficially owns 10% or more of the voting power of the trust's shares or certain affiliates or associates (as defined in the MGCL) of the trust (an "Interested Shareholder") or an affiliate thereof are prohibited for five years after the most recent date on which the Interested Shareholder becomes an Interested Shareholder. Thereafter, any such business combination must be recommended by the board of trustees and approved by two super-majority shareholder votes unless, among other conditions, the trust's common shareholders receive a minimum price (as defined in the MGCL) for their shares and the consideration is received in cash or in the same form as previously paid by the Interested Shareholder for its common shares. These provisions do not apply, however, to business combinations that are approved or exempted by the board of trustees before the Interested Shareholder becomes an Interested Shareholder.</w:t>
      </w:r>
    </w:p>
    <w:p>
      <w:pPr>
        <w:spacing w:after="0" w:line="200" w:lineRule="exact"/>
        <w:rPr>
          <w:sz w:val="20"/>
          <w:szCs w:val="20"/>
          <w:color w:val="auto"/>
        </w:rPr>
      </w:pPr>
    </w:p>
    <w:p>
      <w:pPr>
        <w:sectPr>
          <w:pgSz w:w="11900" w:h="16838" w:orient="portrait"/>
          <w:cols w:equalWidth="0" w:num="2">
            <w:col w:w="4200" w:space="200"/>
            <w:col w:w="5819"/>
          </w:cols>
          <w:pgMar w:left="240" w:top="838" w:right="1440" w:bottom="1440" w:gutter="0" w:footer="0" w:header="0"/>
          <w:type w:val="continuous"/>
        </w:sectPr>
      </w:pPr>
    </w:p>
    <w:p>
      <w:pPr>
        <w:spacing w:after="0" w:line="8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Control Share Acquisitions</w:t>
      </w:r>
    </w:p>
    <w:p>
      <w:pPr>
        <w:sectPr>
          <w:pgSz w:w="11900" w:h="16838" w:orient="portrait"/>
          <w:cols w:equalWidth="0" w:num="1">
            <w:col w:w="10219"/>
          </w:cols>
          <w:pgMar w:left="240" w:top="838"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311" w:lineRule="auto"/>
        <w:rPr>
          <w:sz w:val="20"/>
          <w:szCs w:val="20"/>
          <w:color w:val="auto"/>
        </w:rPr>
      </w:pPr>
      <w:r>
        <w:rPr>
          <w:rFonts w:ascii="Courier New" w:cs="Courier New" w:eastAsia="Courier New" w:hAnsi="Courier New"/>
          <w:sz w:val="16"/>
          <w:szCs w:val="16"/>
          <w:color w:val="auto"/>
        </w:rPr>
        <w:t>Neither the Existing Declaration of Trust nor the Existing Bylaws contain provisions governing acquisitions of control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719"/>
        <w:spacing w:after="0" w:line="255" w:lineRule="auto"/>
        <w:rPr>
          <w:sz w:val="20"/>
          <w:szCs w:val="20"/>
          <w:color w:val="auto"/>
        </w:rPr>
      </w:pPr>
      <w:r>
        <w:rPr>
          <w:rFonts w:ascii="Courier New" w:cs="Courier New" w:eastAsia="Courier New" w:hAnsi="Courier New"/>
          <w:sz w:val="16"/>
          <w:szCs w:val="16"/>
          <w:color w:val="auto"/>
        </w:rPr>
        <w:t>The MGCL, as applicable to Maryland REITs, provides that "control shares" of a Maryland REIT acquired in a "control share acquisition" have no voting rights except to the extent approved by a vote of two-thirds of the votes entitled to be cast on the matter, excluding shares of beneficial interest owned by the acquiror, by officers or by trustees who are employees of the trust. "Control Shares" are voting shares of beneficial interest which, if aggregated with all other such shares of beneficial interest previously acquired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 .one-fifth or more but less than one-third,</w:t>
      </w:r>
    </w:p>
    <w:p>
      <w:pPr>
        <w:spacing w:after="0" w:line="200" w:lineRule="exact"/>
        <w:rPr>
          <w:sz w:val="20"/>
          <w:szCs w:val="20"/>
          <w:color w:val="auto"/>
        </w:rPr>
      </w:pPr>
    </w:p>
    <w:p>
      <w:pPr>
        <w:sectPr>
          <w:pgSz w:w="11900" w:h="16838" w:orient="portrait"/>
          <w:cols w:equalWidth="0" w:num="2">
            <w:col w:w="4100" w:space="200"/>
            <w:col w:w="5919"/>
          </w:cols>
          <w:pgMar w:left="240" w:top="838" w:right="1440" w:bottom="1440" w:gutter="0" w:footer="0" w:header="0"/>
          <w:type w:val="continuous"/>
        </w:sectPr>
      </w:pPr>
    </w:p>
    <w:p>
      <w:pPr>
        <w:spacing w:after="0" w:line="26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38"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4200" w:space="400"/>
            <w:col w:w="5619"/>
          </w:cols>
          <w:pgMar w:left="240" w:top="838" w:right="1440" w:bottom="1440" w:gutter="0" w:footer="0" w:header="0"/>
        </w:sectPr>
      </w:pPr>
    </w:p>
    <w:p>
      <w:pPr>
        <w:ind w:left="980"/>
        <w:spacing w:after="0"/>
        <w:rPr>
          <w:sz w:val="20"/>
          <w:szCs w:val="20"/>
          <w:color w:val="auto"/>
        </w:rPr>
      </w:pPr>
      <w:r>
        <w:rPr>
          <w:rFonts w:ascii="Courier New" w:cs="Courier New" w:eastAsia="Courier New" w:hAnsi="Courier New"/>
          <w:sz w:val="16"/>
          <w:szCs w:val="16"/>
          <w:color w:val="auto"/>
        </w:rPr>
        <w:t>District of Columbia</w:t>
      </w:r>
    </w:p>
    <w:p>
      <w:pPr>
        <w:spacing w:after="0" w:line="20" w:lineRule="exact"/>
        <w:rPr>
          <w:sz w:val="20"/>
          <w:szCs w:val="20"/>
          <w:color w:val="auto"/>
        </w:rPr>
      </w:pPr>
      <w:r>
        <w:rPr>
          <w:sz w:val="20"/>
          <w:szCs w:val="20"/>
          <w:color w:val="auto"/>
        </w:rPr>
        <w:br w:type="column"/>
      </w:r>
    </w:p>
    <w:p>
      <w:pPr>
        <w:jc w:val="center"/>
        <w:ind w:right="3379"/>
        <w:spacing w:after="0"/>
        <w:rPr>
          <w:sz w:val="20"/>
          <w:szCs w:val="20"/>
          <w:color w:val="auto"/>
        </w:rPr>
      </w:pPr>
      <w:r>
        <w:rPr>
          <w:rFonts w:ascii="Courier New" w:cs="Courier New" w:eastAsia="Courier New" w:hAnsi="Courier New"/>
          <w:sz w:val="16"/>
          <w:szCs w:val="16"/>
          <w:color w:val="auto"/>
        </w:rPr>
        <w:t>Maryland</w:t>
      </w:r>
    </w:p>
    <w:p>
      <w:pPr>
        <w:spacing w:after="0" w:line="195" w:lineRule="exact"/>
        <w:rPr>
          <w:sz w:val="20"/>
          <w:szCs w:val="20"/>
          <w:color w:val="auto"/>
        </w:rPr>
      </w:pPr>
    </w:p>
    <w:p>
      <w:pPr>
        <w:sectPr>
          <w:pgSz w:w="11900" w:h="16838" w:orient="portrait"/>
          <w:cols w:equalWidth="0" w:num="2">
            <w:col w:w="5340" w:space="720"/>
            <w:col w:w="4159"/>
          </w:cols>
          <w:pgMar w:left="240" w:top="83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4200" w:space="400"/>
            <w:col w:w="5619"/>
          </w:cols>
          <w:pgMar w:left="240" w:top="838" w:right="1440" w:bottom="1440" w:gutter="0" w:footer="0" w:header="0"/>
          <w:type w:val="continuous"/>
        </w:sectPr>
      </w:pPr>
    </w:p>
    <w:p>
      <w:pPr>
        <w:ind w:left="4300"/>
        <w:spacing w:after="0"/>
        <w:rPr>
          <w:sz w:val="20"/>
          <w:szCs w:val="20"/>
          <w:color w:val="auto"/>
        </w:rPr>
      </w:pPr>
      <w:r>
        <w:rPr>
          <w:rFonts w:ascii="Courier New" w:cs="Courier New" w:eastAsia="Courier New" w:hAnsi="Courier New"/>
          <w:sz w:val="16"/>
          <w:szCs w:val="16"/>
          <w:color w:val="auto"/>
        </w:rPr>
        <w:t>.one-third or more but less than a</w:t>
      </w:r>
    </w:p>
    <w:p>
      <w:pPr>
        <w:spacing w:after="0" w:line="3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majority, 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 majority or more of all voting power.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Control shares do not include shares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acquiring person is then entitled to vote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as a result of having previously obtained</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shareholder approval. A "control share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acquisition" means the acquisition of</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control shares, subject to certain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exceptions.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 person who has made or proposes to make a</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control share acquisition, upon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satisfaction of certain conditions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(including an undertaking to pay expenses),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may compel the board of trustees of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trust to call a special meeting of</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shareholders to be held within 50 days of</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demand to consider the voting rights of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shares. If no request for a meeting is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made, the trust may itself present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question at any shareholders meeting.</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If voting rights are not approved at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meeting or if the acquiring person does not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deliver an acquiring person statement as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required by the statute, then, subject to</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certain conditions and limitations,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trust may redeem any or all of the control</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shares (except those for which voting</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rights have previously been approved) for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fair value determined, without regard to</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 absence of voting rights for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control shares, as of the date of the last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control share acquisition by the acquiror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or of any meeting of shareholders at which</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 voting rights of such shares are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considered and not approved. If voting</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rights for control shares are approved at a</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shareholders meeting and the acquiror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becomes entitled to vote a majority of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shares entitled to vote, all other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shareholders may exercise appraisal rights.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 fair value of the shares as determined</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for purposes of such appraisal rights may</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not be less than the highest price per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 paid by the acquiror in the control</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 acquisition.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 control share acquisition statute does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not apply (a) to shares acquired in a</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merger, consolidation or share exchange if</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 trust is a party to the transaction 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 to acquisitions approved or exempted by</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 declaration of trust or bylaws of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trust.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 Restated Bylaws contain a provision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exempting from the control share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acquisition statute any and all</w:t>
      </w:r>
    </w:p>
    <w:p>
      <w:pPr>
        <w:spacing w:after="0" w:line="35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38" w:right="1440" w:bottom="1440" w:gutter="0" w:footer="0" w:header="0"/>
          <w:type w:val="continuous"/>
        </w:sectPr>
      </w:pPr>
    </w:p>
    <w:bookmarkStart w:id="32" w:name="page33"/>
    <w:bookmarkEnd w:id="32"/>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acquisitions by any person of the Trust's</w:t>
      </w:r>
    </w:p>
    <w:p>
      <w:pPr>
        <w:spacing w:after="0" w:line="3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shares of beneficial interest. There can be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no assurance that such provision will not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be amended or eliminated at any time in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future.</w:t>
      </w:r>
    </w:p>
    <w:p>
      <w:pPr>
        <w:spacing w:after="0" w:line="353"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Limitation of Trustees' and Officers' Liability</w:t>
      </w:r>
    </w:p>
    <w:p>
      <w:pPr>
        <w:sectPr>
          <w:pgSz w:w="11900" w:h="16838" w:orient="portrait"/>
          <w:cols w:equalWidth="0" w:num="1">
            <w:col w:w="10219"/>
          </w:cols>
          <w:pgMar w:left="240" w:top="838" w:right="1440" w:bottom="793"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line="256" w:lineRule="auto"/>
        <w:rPr>
          <w:sz w:val="20"/>
          <w:szCs w:val="20"/>
          <w:color w:val="auto"/>
        </w:rPr>
      </w:pPr>
      <w:r>
        <w:rPr>
          <w:rFonts w:ascii="Courier New" w:cs="Courier New" w:eastAsia="Courier New" w:hAnsi="Courier New"/>
          <w:sz w:val="16"/>
          <w:szCs w:val="16"/>
          <w:color w:val="auto"/>
        </w:rPr>
        <w:t>The Existing Declaration of Trust provides that the Trustees, officers, employees or agents of the Trust shall not be personally liable to the Trust or to any Shareholder, Trustee, officer, employee or agent of the Trust or to any other Person except arising from such person's bad faith, willful mis-conduct, gross negligence or reckless dis-regard of his or her duties or for his or her failure to act in good faith in the reasonable belief that his or her action was in the best interests of the Trust. Trustees, officers, employees or agents of the Trust shall not be subject to any per-sonal liability whatsoever, in tort, con-tract or otherwise, to the Trust or to any other person in connection with Trust Prop-erty or the affairs of the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57" w:lineRule="auto"/>
        <w:rPr>
          <w:sz w:val="20"/>
          <w:szCs w:val="20"/>
          <w:color w:val="auto"/>
        </w:rPr>
      </w:pPr>
      <w:r>
        <w:rPr>
          <w:rFonts w:ascii="Courier New" w:cs="Courier New" w:eastAsia="Courier New" w:hAnsi="Courier New"/>
          <w:sz w:val="16"/>
          <w:szCs w:val="16"/>
          <w:color w:val="auto"/>
        </w:rPr>
        <w:t>The Maryland REIT Law permits a Maryland REIT to include in its Declaration of Trust a provision limiting the liability of its trustees and officers to the trust and its shareholders for money damages except for liability resulting from (a) actual receipt of an improper benefit or profit in money, property or services or (b) active and deliberate dishonesty established by a final judgment as being material to the cause of action. The Declaration of Trust of the Trust contains such a provision which eliminates such liability to the maximum extent permitted by the Maryland REIT Law.</w:t>
      </w:r>
    </w:p>
    <w:p>
      <w:pPr>
        <w:spacing w:after="0" w:line="768" w:lineRule="exact"/>
        <w:rPr>
          <w:sz w:val="20"/>
          <w:szCs w:val="20"/>
          <w:color w:val="auto"/>
        </w:rPr>
      </w:pPr>
    </w:p>
    <w:p>
      <w:pPr>
        <w:sectPr>
          <w:pgSz w:w="11900" w:h="16838" w:orient="portrait"/>
          <w:cols w:equalWidth="0" w:num="2">
            <w:col w:w="4200" w:space="200"/>
            <w:col w:w="5819"/>
          </w:cols>
          <w:pgMar w:left="240" w:top="838" w:right="1440" w:bottom="793" w:gutter="0" w:footer="0" w:header="0"/>
          <w:type w:val="continuous"/>
        </w:sectPr>
      </w:pPr>
    </w:p>
    <w:p>
      <w:pPr>
        <w:spacing w:after="0" w:line="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Limitation of Shareholder Liability</w:t>
      </w:r>
    </w:p>
    <w:p>
      <w:pPr>
        <w:sectPr>
          <w:pgSz w:w="11900" w:h="16838" w:orient="portrait"/>
          <w:cols w:equalWidth="0" w:num="1">
            <w:col w:w="10219"/>
          </w:cols>
          <w:pgMar w:left="240" w:top="838" w:right="1440" w:bottom="793"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262" w:lineRule="auto"/>
        <w:rPr>
          <w:sz w:val="20"/>
          <w:szCs w:val="20"/>
          <w:color w:val="auto"/>
        </w:rPr>
      </w:pPr>
      <w:r>
        <w:rPr>
          <w:rFonts w:ascii="Courier New" w:cs="Courier New" w:eastAsia="Courier New" w:hAnsi="Courier New"/>
          <w:sz w:val="16"/>
          <w:szCs w:val="16"/>
          <w:color w:val="auto"/>
        </w:rPr>
        <w:t>The Existing Declaration of Trust provides that no Shareholder shall be liable for any debt, claim, demand, judgment or obligation of any kind of, against or with respect to the Trust by reason of being a Shareholder, nor shall any Shareholder be subject to any personal liability whatsoever, in tort, contract or otherwise, to any Person in connection with the Trust Property or the affairs of the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55" w:lineRule="auto"/>
        <w:rPr>
          <w:sz w:val="20"/>
          <w:szCs w:val="20"/>
          <w:color w:val="auto"/>
        </w:rPr>
      </w:pPr>
      <w:r>
        <w:rPr>
          <w:rFonts w:ascii="Courier New" w:cs="Courier New" w:eastAsia="Courier New" w:hAnsi="Courier New"/>
          <w:sz w:val="16"/>
          <w:szCs w:val="16"/>
          <w:color w:val="auto"/>
        </w:rPr>
        <w:t>Pursuant to Title 8, a shareholder of a Maryland REIT may not be held personally liable for the obligations of the Maryland REIT unless the shareholder acts with bad faith, with willful misfeasance or gross negligence. Title 8 permits a Maryland REIT's declaration of trust to expand or limit the liability of the Maryland REIT's shareholders except for liability resulting from (a) actual receipt of an improper benefit or profit in money, property or services or (b) active and deliberate dishonesty established by a final judgmentas being material to the cause of action. The Restated Declaration of Trust provides that no shareholder shall be liable for and debt, claim, demand, judgment or obligation of any kind, against or with respect to the Trust by reason of his being a shareholder.</w:t>
      </w:r>
    </w:p>
    <w:p>
      <w:pPr>
        <w:spacing w:after="0" w:line="200" w:lineRule="exact"/>
        <w:rPr>
          <w:sz w:val="20"/>
          <w:szCs w:val="20"/>
          <w:color w:val="auto"/>
        </w:rPr>
      </w:pPr>
    </w:p>
    <w:p>
      <w:pPr>
        <w:sectPr>
          <w:pgSz w:w="11900" w:h="16838" w:orient="portrait"/>
          <w:cols w:equalWidth="0" w:num="2">
            <w:col w:w="4200" w:space="200"/>
            <w:col w:w="5819"/>
          </w:cols>
          <w:pgMar w:left="240" w:top="838" w:right="1440" w:bottom="793" w:gutter="0" w:footer="0" w:header="0"/>
          <w:type w:val="continuous"/>
        </w:sectPr>
      </w:pPr>
    </w:p>
    <w:p>
      <w:pPr>
        <w:spacing w:after="0" w:line="83"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Indemnification of Trustees and Officers</w:t>
      </w:r>
    </w:p>
    <w:p>
      <w:pPr>
        <w:sectPr>
          <w:pgSz w:w="11900" w:h="16838" w:orient="portrait"/>
          <w:cols w:equalWidth="0" w:num="1">
            <w:col w:w="10219"/>
          </w:cols>
          <w:pgMar w:left="240" w:top="838" w:right="1440" w:bottom="793"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266" w:lineRule="auto"/>
        <w:rPr>
          <w:sz w:val="20"/>
          <w:szCs w:val="20"/>
          <w:color w:val="auto"/>
        </w:rPr>
      </w:pPr>
      <w:r>
        <w:rPr>
          <w:rFonts w:ascii="Courier New" w:cs="Courier New" w:eastAsia="Courier New" w:hAnsi="Courier New"/>
          <w:sz w:val="16"/>
          <w:szCs w:val="16"/>
          <w:color w:val="auto"/>
        </w:rPr>
        <w:t>The Existing Declaration of Trust provides that the Trust shall indemnify and hold harmless each of its Trustees, officers, employees and agents (including those who serve at its request as directors, officers or trustees of another organization in which it has any interest as a shareholder, creditor or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66" w:lineRule="auto"/>
        <w:rPr>
          <w:sz w:val="20"/>
          <w:szCs w:val="20"/>
          <w:color w:val="auto"/>
        </w:rPr>
      </w:pPr>
      <w:r>
        <w:rPr>
          <w:rFonts w:ascii="Courier New" w:cs="Courier New" w:eastAsia="Courier New" w:hAnsi="Courier New"/>
          <w:sz w:val="16"/>
          <w:szCs w:val="16"/>
          <w:color w:val="auto"/>
        </w:rPr>
        <w:t>The Restated Declaration of Trust authorizes the Trust, to the maximum extent permitted by Maryland law, to obligate itself to indemnify and to pay or reimburse reasonable expenses in advance of final disposition of a proceeding to (a) any present or former trustee or officer or (b) any individual</w:t>
      </w:r>
    </w:p>
    <w:p>
      <w:pPr>
        <w:spacing w:after="0" w:line="200" w:lineRule="exact"/>
        <w:rPr>
          <w:sz w:val="20"/>
          <w:szCs w:val="20"/>
          <w:color w:val="auto"/>
        </w:rPr>
      </w:pPr>
    </w:p>
    <w:p>
      <w:pPr>
        <w:sectPr>
          <w:pgSz w:w="11900" w:h="16838" w:orient="portrait"/>
          <w:cols w:equalWidth="0" w:num="2">
            <w:col w:w="4200" w:space="200"/>
            <w:col w:w="5819"/>
          </w:cols>
          <w:pgMar w:left="240" w:top="838" w:right="1440" w:bottom="793" w:gutter="0" w:footer="0" w:header="0"/>
          <w:type w:val="continuous"/>
        </w:sectPr>
      </w:pPr>
    </w:p>
    <w:p>
      <w:pPr>
        <w:spacing w:after="0" w:line="7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38" w:right="1440" w:bottom="793" w:gutter="0" w:footer="0" w:header="0"/>
          <w:type w:val="continuous"/>
        </w:sectPr>
      </w:pPr>
    </w:p>
    <w:bookmarkStart w:id="33" w:name="page34"/>
    <w:bookmarkEnd w:id="33"/>
    <w:p>
      <w:pPr>
        <w:ind w:left="200" w:hanging="200"/>
        <w:spacing w:after="0"/>
        <w:tabs>
          <w:tab w:leader="none" w:pos="2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District of Columbia</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line="252" w:lineRule="auto"/>
        <w:rPr>
          <w:sz w:val="20"/>
          <w:szCs w:val="20"/>
          <w:color w:val="auto"/>
        </w:rPr>
      </w:pPr>
      <w:r>
        <w:rPr>
          <w:rFonts w:ascii="Courier New" w:cs="Courier New" w:eastAsia="Courier New" w:hAnsi="Courier New"/>
          <w:sz w:val="16"/>
          <w:szCs w:val="16"/>
          <w:color w:val="auto"/>
        </w:rPr>
        <w:t>against, and reimburse such indemnified Person for, any claim, liability or expense in connection with the defense or disposition of any action, suit or other proceeding by the Trust or any other Person whether civil, administrative or criminal, pending or threatened by reason of being or having been a Trustee, officer, employee or agent of the Trust and so long as certain notice requirements are met and he, she, or it was not guilty of bad faith, gross negligence, willful misconduct, or reckless disregard of duty or failure to act in good faith in the reasonable belief that such action was in the best interest of the Trust. In the event of any settlement of any claim, liability or expense as to any matter, no indemnification or reimbursement shall be provided to any Trustee, officer, employee or agent of the Trust if a determination is made by (i) a majority vote of the Trustees who were not parties to such action, suit or proceeding, or (ii) a written opinion of the Trust's legal counsel, that such matter arose out of or was based upon the willful misconduct, bad faith, gross negligence or reckless disregard of duty of such Trustee, officer, employee or agent or his failure to act in good faith in reasonable belief that his action was in the best interests of the Trust.</w:t>
      </w:r>
    </w:p>
    <w:p>
      <w:pPr>
        <w:spacing w:after="0" w:line="20" w:lineRule="exact"/>
        <w:rPr>
          <w:sz w:val="20"/>
          <w:szCs w:val="20"/>
          <w:color w:val="auto"/>
        </w:rPr>
      </w:pPr>
      <w:r>
        <w:rPr>
          <w:sz w:val="20"/>
          <w:szCs w:val="20"/>
          <w:color w:val="auto"/>
        </w:rPr>
        <w:br w:type="column"/>
      </w:r>
    </w:p>
    <w:p>
      <w:pPr>
        <w:ind w:left="202"/>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662"/>
        <w:spacing w:after="0"/>
        <w:rPr>
          <w:sz w:val="20"/>
          <w:szCs w:val="20"/>
          <w:color w:val="auto"/>
        </w:rPr>
      </w:pPr>
      <w:r>
        <w:rPr>
          <w:rFonts w:ascii="Courier New" w:cs="Courier New" w:eastAsia="Courier New" w:hAnsi="Courier New"/>
          <w:sz w:val="16"/>
          <w:szCs w:val="16"/>
          <w:color w:val="auto"/>
        </w:rPr>
        <w:t>Maryland</w:t>
      </w:r>
    </w:p>
    <w:p>
      <w:pPr>
        <w:spacing w:after="0" w:line="195" w:lineRule="exact"/>
        <w:rPr>
          <w:sz w:val="20"/>
          <w:szCs w:val="20"/>
          <w:color w:val="auto"/>
        </w:rPr>
      </w:pPr>
    </w:p>
    <w:p>
      <w:pPr>
        <w:ind w:left="202"/>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 w:right="1619"/>
        <w:spacing w:after="0" w:line="250" w:lineRule="auto"/>
        <w:rPr>
          <w:sz w:val="20"/>
          <w:szCs w:val="20"/>
          <w:color w:val="auto"/>
        </w:rPr>
      </w:pPr>
      <w:r>
        <w:rPr>
          <w:rFonts w:ascii="Courier New" w:cs="Courier New" w:eastAsia="Courier New" w:hAnsi="Courier New"/>
          <w:sz w:val="16"/>
          <w:szCs w:val="16"/>
          <w:color w:val="auto"/>
        </w:rPr>
        <w:t>who, while a trustee of the Trust and at the request of the Trust, serves or has served another real estate investment trust, corporation, partnership, joint venture, trust, employee benefit plan or any other enterprise as a trustee, director, officer or partner of such real estate investment trust, corporation, partnership, joint venture, trust, employee benefit plan or other enterprise from and against any claim or liability to which such person may become subject or which such person may incur by reason of such status. The Bylaws of the Trust obligate it, to the maximum extent permitted by Maryland law, to indemnify and to pay or reimburse reasonable expenses in advance of final disposition of a proceeding to (a) any present or former trustee or officer who is made a party to the proceeding by reason of his service in that capacity or</w:t>
      </w:r>
    </w:p>
    <w:p>
      <w:pPr>
        <w:spacing w:after="0" w:line="12" w:lineRule="exact"/>
        <w:rPr>
          <w:sz w:val="20"/>
          <w:szCs w:val="20"/>
          <w:color w:val="auto"/>
        </w:rPr>
      </w:pPr>
    </w:p>
    <w:p>
      <w:pPr>
        <w:ind w:left="2" w:right="1619" w:hanging="2"/>
        <w:spacing w:after="0" w:line="248" w:lineRule="auto"/>
        <w:tabs>
          <w:tab w:leader="none" w:pos="39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individual who, while a trustee or officer of the Trust and at the request of the Trust, serves or has served another real estate investment trust, corporation, partnership, joint venture, trust, employee benefit plan or any other enterprise as a trustee, director, officer or partner of such real estate investment trust, corporation, partnership, joint venture, trust, employee benefit plan or other enterprise and who is made a party to the proceeding by reason of his service in that capacity, against any claim or liability to which he may become subject by reason of such status. The Declaration of Trust and Bylaws also permit the Trust to indemnify and advance expenses to any person who served a predecessor of the Trust in any of the capacities described above and to any employee or agent of the Trust or a predecessor of the Trust. The Bylaws require the Trust to indemnify a trustee or officer who has been successful, on the merits or otherwise, in the defense of any proceeding to which he is made a party by reason of his service in that capacity.</w:t>
      </w:r>
    </w:p>
    <w:p>
      <w:pPr>
        <w:spacing w:after="0" w:line="17" w:lineRule="exact"/>
        <w:rPr>
          <w:rFonts w:ascii="Courier New" w:cs="Courier New" w:eastAsia="Courier New" w:hAnsi="Courier New"/>
          <w:sz w:val="16"/>
          <w:szCs w:val="16"/>
          <w:color w:val="auto"/>
        </w:rPr>
      </w:pPr>
    </w:p>
    <w:p>
      <w:pPr>
        <w:ind w:left="2" w:right="1819"/>
        <w:spacing w:after="0" w:line="2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Maryland REIT Law permits a Maryland REIT to indemnify and advance expenses to its trustees, officers, employees and agents to the same extent as permitted by the MGCL for directors and officers of Maryland corporations. The MGCL permits a corporation to indemnify its present and former directors and officers, among others, against judgments, penalties, fines, settlements and</w:t>
      </w:r>
    </w:p>
    <w:p>
      <w:pPr>
        <w:spacing w:after="0" w:line="200" w:lineRule="exact"/>
        <w:rPr>
          <w:sz w:val="20"/>
          <w:szCs w:val="20"/>
          <w:color w:val="auto"/>
        </w:rPr>
      </w:pPr>
    </w:p>
    <w:p>
      <w:pPr>
        <w:sectPr>
          <w:pgSz w:w="11900" w:h="16838" w:orient="portrait"/>
          <w:cols w:equalWidth="0" w:num="2">
            <w:col w:w="4200" w:space="198"/>
            <w:col w:w="5821"/>
          </w:cols>
          <w:pgMar w:left="240" w:top="838" w:right="1440" w:bottom="1440" w:gutter="0" w:footer="0" w:header="0"/>
        </w:sectPr>
      </w:pPr>
    </w:p>
    <w:p>
      <w:pPr>
        <w:spacing w:after="0" w:line="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38" w:right="1440" w:bottom="1440" w:gutter="0" w:footer="0" w:header="0"/>
          <w:type w:val="continuous"/>
        </w:sectPr>
      </w:pPr>
    </w:p>
    <w:bookmarkStart w:id="34" w:name="page35"/>
    <w:bookmarkEnd w:id="34"/>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reasonable expenses actually incurred by</w:t>
      </w:r>
    </w:p>
    <w:p>
      <w:pPr>
        <w:spacing w:after="0" w:line="3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them in connection with any proceeding to</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which they may be made a party by reason of</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their service in those or other capacities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unless it is established that (a) the act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or omission of the director or officer was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material to the matter giving rise to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proceeding and (i) was committed in bad</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faith or (ii) was the result of active and</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deliberate dishonesty, (b) the director 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officer actually received an improper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personal benefit in money, property 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services or (c) in the case of any criminal</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proceeding, the director or officer had</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reasonable cause to believe that the act 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omission was unlawful. However, under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MGCL, a Maryland corporation may not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indemnify for an adverse judgment in a suit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by or in the right of the corporation 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for a judgment of liability on the basis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that personal benefit was improperly</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received, unless in either case a court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orders indemnification and then only for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expenses. In addition, the MGCL permits a</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corporation to advance reasonable expenses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to a director or officer upon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corporation's receipt of (a) a written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affirmation by the director or officer of</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his good faith belief that he has met the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standard of conduct necessary for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indemnification by the corporation and (b)</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 written undertaking by him or on his</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behalf to repay the amount paid 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reimbursed by the corporation if it shall</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ultimately be determined that the standard</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of conduct was not met.</w:t>
      </w:r>
    </w:p>
    <w:p>
      <w:pPr>
        <w:spacing w:after="0" w:line="353"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Indemnification of Shareholders</w:t>
      </w:r>
    </w:p>
    <w:p>
      <w:pPr>
        <w:sectPr>
          <w:pgSz w:w="11900" w:h="16838" w:orient="portrait"/>
          <w:cols w:equalWidth="0" w:num="1">
            <w:col w:w="10219"/>
          </w:cols>
          <w:pgMar w:left="240" w:top="838"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line="257" w:lineRule="auto"/>
        <w:rPr>
          <w:sz w:val="20"/>
          <w:szCs w:val="20"/>
          <w:color w:val="auto"/>
        </w:rPr>
      </w:pPr>
      <w:r>
        <w:rPr>
          <w:rFonts w:ascii="Courier New" w:cs="Courier New" w:eastAsia="Courier New" w:hAnsi="Courier New"/>
          <w:sz w:val="16"/>
          <w:szCs w:val="16"/>
          <w:color w:val="auto"/>
        </w:rPr>
        <w:t>The Existing Declaration of Trust provides that the Trust, upon prompt notice, shall indemnify Shareholders against all claims, liabilities and expenses, including amounts paid in satisfaction of judgments or in settlement or as fines and penalties, and attorneys' fees, reasonably incurred by him in connection with the defense or disposition of any action, suit or other proceeding by the Trust or any other Person, whether civil, administrative or criminal, in which he may be involved or with which he may be threatened, while in such capacity or thereafter, by reason of his being or having been a 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ind w:right="1719"/>
        <w:spacing w:after="0" w:line="290" w:lineRule="auto"/>
        <w:rPr>
          <w:sz w:val="20"/>
          <w:szCs w:val="20"/>
          <w:color w:val="auto"/>
        </w:rPr>
      </w:pPr>
      <w:r>
        <w:rPr>
          <w:rFonts w:ascii="Courier New" w:cs="Courier New" w:eastAsia="Courier New" w:hAnsi="Courier New"/>
          <w:sz w:val="16"/>
          <w:szCs w:val="16"/>
          <w:color w:val="auto"/>
        </w:rPr>
        <w:t>The Restated Declaration of Trust provides for the indemnification of Shareholders of the Trust against all liabilities incurred by virtue of being a shareholder.</w:t>
      </w:r>
    </w:p>
    <w:p>
      <w:pPr>
        <w:spacing w:after="0" w:line="2235" w:lineRule="exact"/>
        <w:rPr>
          <w:sz w:val="20"/>
          <w:szCs w:val="20"/>
          <w:color w:val="auto"/>
        </w:rPr>
      </w:pPr>
    </w:p>
    <w:p>
      <w:pPr>
        <w:sectPr>
          <w:pgSz w:w="11900" w:h="16838" w:orient="portrait"/>
          <w:cols w:equalWidth="0" w:num="2">
            <w:col w:w="4200" w:space="200"/>
            <w:col w:w="5819"/>
          </w:cols>
          <w:pgMar w:left="240" w:top="838" w:right="1440" w:bottom="1440" w:gutter="0" w:footer="0" w:header="0"/>
          <w:type w:val="continuous"/>
        </w:sectPr>
      </w:pPr>
    </w:p>
    <w:p>
      <w:pPr>
        <w:spacing w:after="0" w:line="8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38" w:right="1440" w:bottom="1440" w:gutter="0" w:footer="0" w:header="0"/>
          <w:type w:val="continuous"/>
        </w:sectPr>
      </w:pPr>
    </w:p>
    <w:bookmarkStart w:id="35" w:name="page36"/>
    <w:bookmarkEnd w:id="35"/>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Inspection of Books and Records</w:t>
      </w:r>
    </w:p>
    <w:p>
      <w:pPr>
        <w:sectPr>
          <w:pgSz w:w="11900" w:h="16838" w:orient="portrait"/>
          <w:cols w:equalWidth="0" w:num="1">
            <w:col w:w="10219"/>
          </w:cols>
          <w:pgMar w:left="240" w:top="838" w:right="1440" w:bottom="1440" w:gutter="0" w:footer="0" w:header="0"/>
        </w:sectPr>
      </w:pPr>
    </w:p>
    <w:p>
      <w:pPr>
        <w:spacing w:after="0" w:line="195" w:lineRule="exact"/>
        <w:rPr>
          <w:sz w:val="20"/>
          <w:szCs w:val="20"/>
          <w:color w:val="auto"/>
        </w:rPr>
      </w:pPr>
    </w:p>
    <w:p>
      <w:pPr>
        <w:spacing w:after="0" w:line="273" w:lineRule="auto"/>
        <w:rPr>
          <w:sz w:val="20"/>
          <w:szCs w:val="20"/>
          <w:color w:val="auto"/>
        </w:rPr>
      </w:pPr>
      <w:r>
        <w:rPr>
          <w:rFonts w:ascii="Courier New" w:cs="Courier New" w:eastAsia="Courier New" w:hAnsi="Courier New"/>
          <w:sz w:val="16"/>
          <w:szCs w:val="16"/>
          <w:color w:val="auto"/>
        </w:rPr>
        <w:t>Under the Existing Bylaws, any person who is a record owner of 10% or more of the outstanding Shares may upon demand inspect the share register, the books of accounts and the minutes of the proceedings of the Trust's shareholders and its Trustees.</w:t>
      </w:r>
    </w:p>
    <w:p>
      <w:pPr>
        <w:spacing w:after="0" w:line="79" w:lineRule="exact"/>
        <w:rPr>
          <w:sz w:val="20"/>
          <w:szCs w:val="20"/>
          <w:color w:val="auto"/>
        </w:rPr>
      </w:pPr>
    </w:p>
    <w:p>
      <w:pPr>
        <w:ind w:right="380"/>
        <w:spacing w:after="0" w:line="311" w:lineRule="auto"/>
        <w:rPr>
          <w:sz w:val="20"/>
          <w:szCs w:val="20"/>
          <w:color w:val="auto"/>
        </w:rPr>
      </w:pPr>
      <w:r>
        <w:rPr>
          <w:rFonts w:ascii="Courier New" w:cs="Courier New" w:eastAsia="Courier New" w:hAnsi="Courier New"/>
          <w:sz w:val="16"/>
          <w:szCs w:val="16"/>
          <w:color w:val="auto"/>
        </w:rPr>
        <w:t>Demand of inspection other than a shareholder's meeting shall be made in writing and delivered to the Trust.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19"/>
        <w:spacing w:after="0" w:line="257" w:lineRule="auto"/>
        <w:rPr>
          <w:sz w:val="20"/>
          <w:szCs w:val="20"/>
          <w:color w:val="auto"/>
        </w:rPr>
      </w:pPr>
      <w:r>
        <w:rPr>
          <w:rFonts w:ascii="Courier New" w:cs="Courier New" w:eastAsia="Courier New" w:hAnsi="Courier New"/>
          <w:sz w:val="16"/>
          <w:szCs w:val="16"/>
          <w:color w:val="auto"/>
        </w:rPr>
        <w:t>Title 8 provides a right to inspect and copy a Maryland REIT's books of account and stock ledger to persons who have been shareholders for more than six months and own at least 5% of any class of a Maryland REIT's outstanding shares. In addition, any shareholder of a Maryland REIT has a right to inspect the bylaws, minutes of the shareholder's meetings, annual statements of affairs and voting trust agreements and to request that the REIT provide a sworn statement showing all stock and securities issued and all consideration received by the Maryland REIT within the preceeding 12 months.</w:t>
      </w:r>
    </w:p>
    <w:p>
      <w:pPr>
        <w:spacing w:after="0" w:line="200" w:lineRule="exact"/>
        <w:rPr>
          <w:sz w:val="20"/>
          <w:szCs w:val="20"/>
          <w:color w:val="auto"/>
        </w:rPr>
      </w:pPr>
    </w:p>
    <w:p>
      <w:pPr>
        <w:sectPr>
          <w:pgSz w:w="11900" w:h="16838" w:orient="portrait"/>
          <w:cols w:equalWidth="0" w:num="2">
            <w:col w:w="4100" w:space="200"/>
            <w:col w:w="5919"/>
          </w:cols>
          <w:pgMar w:left="240" w:top="838" w:right="1440" w:bottom="1440" w:gutter="0" w:footer="0" w:header="0"/>
          <w:type w:val="continuous"/>
        </w:sectPr>
      </w:pPr>
    </w:p>
    <w:p>
      <w:pPr>
        <w:spacing w:after="0" w:line="84"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Interested Trustee Transactions</w:t>
      </w:r>
    </w:p>
    <w:p>
      <w:pPr>
        <w:sectPr>
          <w:pgSz w:w="11900" w:h="16838" w:orient="portrait"/>
          <w:cols w:equalWidth="0" w:num="1">
            <w:col w:w="10219"/>
          </w:cols>
          <w:pgMar w:left="240" w:top="838"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line="273" w:lineRule="auto"/>
        <w:rPr>
          <w:sz w:val="20"/>
          <w:szCs w:val="20"/>
          <w:color w:val="auto"/>
        </w:rPr>
      </w:pPr>
      <w:r>
        <w:rPr>
          <w:rFonts w:ascii="Courier New" w:cs="Courier New" w:eastAsia="Courier New" w:hAnsi="Courier New"/>
          <w:sz w:val="16"/>
          <w:szCs w:val="16"/>
          <w:color w:val="auto"/>
        </w:rPr>
        <w:t>Generally, the Existing Declaration of Trust prohibits contracts or transactions for the transfer of property (including loans) in which one or more of the Trustees holds beneficially a majority equity interest.</w:t>
      </w:r>
    </w:p>
    <w:p>
      <w:pPr>
        <w:spacing w:after="0" w:line="79" w:lineRule="exact"/>
        <w:rPr>
          <w:sz w:val="20"/>
          <w:szCs w:val="20"/>
          <w:color w:val="auto"/>
        </w:rPr>
      </w:pPr>
    </w:p>
    <w:p>
      <w:pPr>
        <w:ind w:right="100"/>
        <w:spacing w:after="0" w:line="252" w:lineRule="auto"/>
        <w:rPr>
          <w:sz w:val="20"/>
          <w:szCs w:val="20"/>
          <w:color w:val="auto"/>
        </w:rPr>
      </w:pPr>
      <w:r>
        <w:rPr>
          <w:rFonts w:ascii="Courier New" w:cs="Courier New" w:eastAsia="Courier New" w:hAnsi="Courier New"/>
          <w:sz w:val="16"/>
          <w:szCs w:val="16"/>
          <w:color w:val="auto"/>
        </w:rPr>
        <w:t>However, the Existing Declaration of Trust permits such interested trustee transactions provided that a majority of the disinterested Trustees (a) ratifies or authorizes the transaction, after disclosure of any such affiliation or interest by a Trustee, and (b) determines that the transaction was or is on terms fair and reasonable to the Trust and its Shareholders.</w:t>
      </w:r>
    </w:p>
    <w:p>
      <w:pPr>
        <w:spacing w:after="0" w:line="6" w:lineRule="exact"/>
        <w:rPr>
          <w:sz w:val="20"/>
          <w:szCs w:val="20"/>
          <w:color w:val="auto"/>
        </w:rPr>
      </w:pPr>
    </w:p>
    <w:p>
      <w:pPr>
        <w:ind w:right="100"/>
        <w:spacing w:after="0" w:line="263" w:lineRule="auto"/>
        <w:rPr>
          <w:sz w:val="20"/>
          <w:szCs w:val="20"/>
          <w:color w:val="auto"/>
        </w:rPr>
      </w:pPr>
      <w:r>
        <w:rPr>
          <w:rFonts w:ascii="Courier New" w:cs="Courier New" w:eastAsia="Courier New" w:hAnsi="Courier New"/>
          <w:sz w:val="16"/>
          <w:szCs w:val="16"/>
          <w:color w:val="auto"/>
        </w:rPr>
        <w:t>Trustees shall not be entitled to receive any commission or other remuneration, directly or indirectly, in connection with the purchase or sale by the Trust of any Real Property, unless an independent appraisal of such real property is done by the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19"/>
        <w:spacing w:after="0" w:line="262" w:lineRule="auto"/>
        <w:rPr>
          <w:sz w:val="20"/>
          <w:szCs w:val="20"/>
          <w:color w:val="auto"/>
        </w:rPr>
      </w:pPr>
      <w:r>
        <w:rPr>
          <w:rFonts w:ascii="Courier New" w:cs="Courier New" w:eastAsia="Courier New" w:hAnsi="Courier New"/>
          <w:sz w:val="16"/>
          <w:szCs w:val="16"/>
          <w:color w:val="auto"/>
        </w:rPr>
        <w:t>Title 8 does not address interested trustee transactions. Pursuant to the Restated Declaration of Trust,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2836" w:lineRule="exact"/>
        <w:rPr>
          <w:sz w:val="20"/>
          <w:szCs w:val="20"/>
          <w:color w:val="auto"/>
        </w:rPr>
      </w:pPr>
    </w:p>
    <w:p>
      <w:pPr>
        <w:sectPr>
          <w:pgSz w:w="11900" w:h="16838" w:orient="portrait"/>
          <w:cols w:equalWidth="0" w:num="2">
            <w:col w:w="4200" w:space="200"/>
            <w:col w:w="5819"/>
          </w:cols>
          <w:pgMar w:left="240" w:top="838" w:right="1440" w:bottom="1440" w:gutter="0" w:footer="0" w:header="0"/>
          <w:type w:val="continuous"/>
        </w:sectPr>
      </w:pPr>
    </w:p>
    <w:p>
      <w:pPr>
        <w:spacing w:after="0" w:line="25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38" w:right="1440" w:bottom="1440" w:gutter="0" w:footer="0" w:header="0"/>
          <w:type w:val="continuous"/>
        </w:sectPr>
      </w:pPr>
    </w:p>
    <w:bookmarkStart w:id="36" w:name="page37"/>
    <w:bookmarkEnd w:id="36"/>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tabs>
          <w:tab w:leader="none" w:pos="60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6"/>
          <w:szCs w:val="16"/>
          <w:color w:val="auto"/>
        </w:rPr>
        <w:t>Maryland</w:t>
      </w:r>
    </w:p>
    <w:p>
      <w:pPr>
        <w:spacing w:after="0" w:line="195"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RESTRICTIONS ON INVESTMENTS</w:t>
      </w:r>
    </w:p>
    <w:p>
      <w:pPr>
        <w:sectPr>
          <w:pgSz w:w="11900" w:h="16838" w:orient="portrait"/>
          <w:cols w:equalWidth="0" w:num="1">
            <w:col w:w="10219"/>
          </w:cols>
          <w:pgMar w:left="240" w:top="838" w:right="1440" w:bottom="1440" w:gutter="0" w:footer="0" w:header="0"/>
        </w:sectPr>
      </w:pPr>
    </w:p>
    <w:p>
      <w:pPr>
        <w:spacing w:after="0" w:line="195" w:lineRule="exact"/>
        <w:rPr>
          <w:sz w:val="20"/>
          <w:szCs w:val="20"/>
          <w:color w:val="auto"/>
        </w:rPr>
      </w:pPr>
    </w:p>
    <w:p>
      <w:pPr>
        <w:ind w:right="100"/>
        <w:spacing w:after="0" w:line="268" w:lineRule="auto"/>
        <w:rPr>
          <w:sz w:val="20"/>
          <w:szCs w:val="20"/>
          <w:color w:val="auto"/>
        </w:rPr>
      </w:pPr>
      <w:r>
        <w:rPr>
          <w:rFonts w:ascii="Courier New" w:cs="Courier New" w:eastAsia="Courier New" w:hAnsi="Courier New"/>
          <w:sz w:val="16"/>
          <w:szCs w:val="16"/>
          <w:color w:val="auto"/>
        </w:rPr>
        <w:t>Under the Existing Declaration of Trust and the Existing Bylaws, the Trust shall not:</w:t>
      </w:r>
    </w:p>
    <w:p>
      <w:pPr>
        <w:spacing w:after="0" w:line="1" w:lineRule="exact"/>
        <w:rPr>
          <w:sz w:val="20"/>
          <w:szCs w:val="20"/>
          <w:color w:val="auto"/>
        </w:rPr>
      </w:pPr>
    </w:p>
    <w:p>
      <w:pPr>
        <w:ind w:left="400" w:hanging="302"/>
        <w:spacing w:after="0"/>
        <w:tabs>
          <w:tab w:leader="none" w:pos="4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commodities, foreign</w:t>
      </w:r>
    </w:p>
    <w:p>
      <w:pPr>
        <w:spacing w:after="0" w:line="7" w:lineRule="exact"/>
        <w:rPr>
          <w:sz w:val="20"/>
          <w:szCs w:val="20"/>
          <w:color w:val="auto"/>
        </w:rPr>
      </w:pPr>
    </w:p>
    <w:p>
      <w:pPr>
        <w:ind w:left="300" w:right="680"/>
        <w:spacing w:after="0" w:line="248" w:lineRule="auto"/>
        <w:rPr>
          <w:sz w:val="20"/>
          <w:szCs w:val="20"/>
          <w:color w:val="auto"/>
        </w:rPr>
      </w:pPr>
      <w:r>
        <w:rPr>
          <w:rFonts w:ascii="Courier New" w:cs="Courier New" w:eastAsia="Courier New" w:hAnsi="Courier New"/>
          <w:sz w:val="16"/>
          <w:szCs w:val="16"/>
          <w:color w:val="auto"/>
        </w:rPr>
        <w:t>currencies (except in the ordinary course of business);</w:t>
      </w:r>
    </w:p>
    <w:p>
      <w:pPr>
        <w:spacing w:after="0" w:line="1" w:lineRule="exact"/>
        <w:rPr>
          <w:sz w:val="20"/>
          <w:szCs w:val="20"/>
          <w:color w:val="auto"/>
        </w:rPr>
      </w:pPr>
    </w:p>
    <w:p>
      <w:pPr>
        <w:ind w:left="300" w:right="200" w:hanging="202"/>
        <w:spacing w:after="0" w:line="248" w:lineRule="auto"/>
        <w:tabs>
          <w:tab w:leader="none" w:pos="39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for the sale of real property over a certain limit;</w:t>
      </w:r>
    </w:p>
    <w:p>
      <w:pPr>
        <w:spacing w:after="0" w:line="1" w:lineRule="exact"/>
        <w:rPr>
          <w:sz w:val="20"/>
          <w:szCs w:val="20"/>
          <w:color w:val="auto"/>
        </w:rPr>
      </w:pPr>
    </w:p>
    <w:p>
      <w:pPr>
        <w:ind w:left="400" w:hanging="302"/>
        <w:spacing w:after="0"/>
        <w:tabs>
          <w:tab w:leader="none" w:pos="4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short sales;</w:t>
      </w:r>
    </w:p>
    <w:p>
      <w:pPr>
        <w:spacing w:after="0" w:line="7" w:lineRule="exact"/>
        <w:rPr>
          <w:sz w:val="20"/>
          <w:szCs w:val="20"/>
          <w:color w:val="auto"/>
        </w:rPr>
      </w:pPr>
    </w:p>
    <w:p>
      <w:pPr>
        <w:ind w:left="300" w:right="580" w:hanging="202"/>
        <w:spacing w:after="0" w:line="248" w:lineRule="auto"/>
        <w:tabs>
          <w:tab w:leader="none" w:pos="39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trading, underwriting or distributing securities;</w:t>
      </w:r>
    </w:p>
    <w:p>
      <w:pPr>
        <w:spacing w:after="0" w:line="1" w:lineRule="exact"/>
        <w:rPr>
          <w:sz w:val="20"/>
          <w:szCs w:val="20"/>
          <w:color w:val="auto"/>
        </w:rPr>
      </w:pPr>
    </w:p>
    <w:p>
      <w:pPr>
        <w:ind w:left="400" w:hanging="302"/>
        <w:spacing w:after="0"/>
        <w:tabs>
          <w:tab w:leader="none" w:pos="4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 property primarily for the sale to</w:t>
      </w:r>
    </w:p>
    <w:p>
      <w:pPr>
        <w:spacing w:after="0" w:line="7" w:lineRule="exact"/>
        <w:rPr>
          <w:sz w:val="20"/>
          <w:szCs w:val="20"/>
          <w:color w:val="auto"/>
        </w:rPr>
      </w:pPr>
    </w:p>
    <w:p>
      <w:pPr>
        <w:ind w:left="300" w:right="580"/>
        <w:spacing w:after="0" w:line="248" w:lineRule="auto"/>
        <w:rPr>
          <w:sz w:val="20"/>
          <w:szCs w:val="20"/>
          <w:color w:val="auto"/>
        </w:rPr>
      </w:pPr>
      <w:r>
        <w:rPr>
          <w:rFonts w:ascii="Courier New" w:cs="Courier New" w:eastAsia="Courier New" w:hAnsi="Courier New"/>
          <w:sz w:val="16"/>
          <w:szCs w:val="16"/>
          <w:color w:val="auto"/>
        </w:rPr>
        <w:t>customers in the ordinary course of business;</w:t>
      </w:r>
    </w:p>
    <w:p>
      <w:pPr>
        <w:spacing w:after="0" w:line="1" w:lineRule="exact"/>
        <w:rPr>
          <w:sz w:val="20"/>
          <w:szCs w:val="20"/>
          <w:color w:val="auto"/>
        </w:rPr>
      </w:pPr>
    </w:p>
    <w:p>
      <w:pPr>
        <w:jc w:val="both"/>
        <w:ind w:left="300" w:right="100" w:hanging="202"/>
        <w:spacing w:after="0" w:line="248" w:lineRule="auto"/>
        <w:tabs>
          <w:tab w:leader="none" w:pos="39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more than 10% of the total value of the Trust property in unimproved non-</w:t>
      </w:r>
    </w:p>
    <w:p>
      <w:pPr>
        <w:spacing w:after="0" w:line="1" w:lineRule="exact"/>
        <w:rPr>
          <w:sz w:val="20"/>
          <w:szCs w:val="20"/>
          <w:color w:val="auto"/>
        </w:rPr>
      </w:pPr>
    </w:p>
    <w:p>
      <w:pPr>
        <w:ind w:left="300" w:right="300"/>
        <w:spacing w:after="0" w:line="248" w:lineRule="auto"/>
        <w:rPr>
          <w:sz w:val="20"/>
          <w:szCs w:val="20"/>
          <w:color w:val="auto"/>
        </w:rPr>
      </w:pPr>
      <w:r>
        <w:rPr>
          <w:rFonts w:ascii="Courier New" w:cs="Courier New" w:eastAsia="Courier New" w:hAnsi="Courier New"/>
          <w:sz w:val="16"/>
          <w:szCs w:val="16"/>
          <w:color w:val="auto"/>
        </w:rPr>
        <w:t>income-producing real property or mortgage loans securing such property;</w:t>
      </w:r>
    </w:p>
    <w:p>
      <w:pPr>
        <w:spacing w:after="0" w:line="1" w:lineRule="exact"/>
        <w:rPr>
          <w:sz w:val="20"/>
          <w:szCs w:val="20"/>
          <w:color w:val="auto"/>
        </w:rPr>
      </w:pPr>
    </w:p>
    <w:p>
      <w:pPr>
        <w:ind w:left="400" w:hanging="302"/>
        <w:spacing w:after="0"/>
        <w:tabs>
          <w:tab w:leader="none" w:pos="4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more than 10% of the total value</w:t>
      </w:r>
    </w:p>
    <w:p>
      <w:pPr>
        <w:spacing w:after="0" w:line="7" w:lineRule="exact"/>
        <w:rPr>
          <w:sz w:val="20"/>
          <w:szCs w:val="20"/>
          <w:color w:val="auto"/>
        </w:rPr>
      </w:pPr>
    </w:p>
    <w:p>
      <w:pPr>
        <w:ind w:left="300" w:right="100"/>
        <w:spacing w:after="0" w:line="248" w:lineRule="auto"/>
        <w:rPr>
          <w:sz w:val="20"/>
          <w:szCs w:val="20"/>
          <w:color w:val="auto"/>
        </w:rPr>
      </w:pPr>
      <w:r>
        <w:rPr>
          <w:rFonts w:ascii="Courier New" w:cs="Courier New" w:eastAsia="Courier New" w:hAnsi="Courier New"/>
          <w:sz w:val="16"/>
          <w:szCs w:val="16"/>
          <w:color w:val="auto"/>
        </w:rPr>
        <w:t>of the Trust property in junior mortgage loans;</w:t>
      </w:r>
    </w:p>
    <w:p>
      <w:pPr>
        <w:spacing w:after="0" w:line="1" w:lineRule="exact"/>
        <w:rPr>
          <w:sz w:val="20"/>
          <w:szCs w:val="20"/>
          <w:color w:val="auto"/>
        </w:rPr>
      </w:pPr>
    </w:p>
    <w:p>
      <w:pPr>
        <w:ind w:left="400" w:hanging="302"/>
        <w:spacing w:after="0"/>
        <w:tabs>
          <w:tab w:leader="none" w:pos="4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knowingly invest in equity securities of</w:t>
      </w:r>
    </w:p>
    <w:p>
      <w:pPr>
        <w:spacing w:after="0" w:line="7" w:lineRule="exact"/>
        <w:rPr>
          <w:sz w:val="20"/>
          <w:szCs w:val="20"/>
          <w:color w:val="auto"/>
        </w:rPr>
      </w:pPr>
    </w:p>
    <w:p>
      <w:pPr>
        <w:ind w:left="300" w:right="1080"/>
        <w:spacing w:after="0" w:line="248" w:lineRule="auto"/>
        <w:rPr>
          <w:sz w:val="20"/>
          <w:szCs w:val="20"/>
          <w:color w:val="auto"/>
        </w:rPr>
      </w:pPr>
      <w:r>
        <w:rPr>
          <w:rFonts w:ascii="Courier New" w:cs="Courier New" w:eastAsia="Courier New" w:hAnsi="Courier New"/>
          <w:sz w:val="16"/>
          <w:szCs w:val="16"/>
          <w:color w:val="auto"/>
        </w:rPr>
        <w:t>entities engaged in activities prohibited by the Trust;</w:t>
      </w:r>
    </w:p>
    <w:p>
      <w:pPr>
        <w:spacing w:after="0" w:line="1" w:lineRule="exact"/>
        <w:rPr>
          <w:sz w:val="20"/>
          <w:szCs w:val="20"/>
          <w:color w:val="auto"/>
        </w:rPr>
      </w:pPr>
    </w:p>
    <w:p>
      <w:pPr>
        <w:ind w:left="400" w:hanging="302"/>
        <w:spacing w:after="0"/>
        <w:tabs>
          <w:tab w:leader="none" w:pos="4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bullion;</w:t>
      </w:r>
    </w:p>
    <w:p>
      <w:pPr>
        <w:spacing w:after="0" w:line="7" w:lineRule="exact"/>
        <w:rPr>
          <w:sz w:val="20"/>
          <w:szCs w:val="20"/>
          <w:color w:val="auto"/>
        </w:rPr>
      </w:pPr>
    </w:p>
    <w:p>
      <w:pPr>
        <w:ind w:left="400" w:hanging="302"/>
        <w:spacing w:after="0"/>
        <w:tabs>
          <w:tab w:leader="none" w:pos="4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certain debt securities;</w:t>
      </w:r>
    </w:p>
    <w:p>
      <w:pPr>
        <w:spacing w:after="0" w:line="7" w:lineRule="exact"/>
        <w:rPr>
          <w:sz w:val="20"/>
          <w:szCs w:val="20"/>
          <w:color w:val="auto"/>
        </w:rPr>
      </w:pPr>
    </w:p>
    <w:p>
      <w:pPr>
        <w:ind w:left="300" w:right="200" w:hanging="202"/>
        <w:spacing w:after="0" w:line="248" w:lineRule="auto"/>
        <w:tabs>
          <w:tab w:leader="none" w:pos="39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real property subject to mortgages or other encumbrance to other than a bank, insurance company, pension fund, institutional lender or</w:t>
      </w:r>
    </w:p>
    <w:p>
      <w:pPr>
        <w:spacing w:after="0" w:line="3" w:lineRule="exact"/>
        <w:rPr>
          <w:sz w:val="20"/>
          <w:szCs w:val="20"/>
          <w:color w:val="auto"/>
        </w:rPr>
      </w:pPr>
    </w:p>
    <w:p>
      <w:pPr>
        <w:ind w:left="300" w:right="300"/>
        <w:spacing w:after="0" w:line="248" w:lineRule="auto"/>
        <w:rPr>
          <w:sz w:val="20"/>
          <w:szCs w:val="20"/>
          <w:color w:val="auto"/>
        </w:rPr>
      </w:pPr>
      <w:r>
        <w:rPr>
          <w:rFonts w:ascii="Courier New" w:cs="Courier New" w:eastAsia="Courier New" w:hAnsi="Courier New"/>
          <w:sz w:val="16"/>
          <w:szCs w:val="16"/>
          <w:color w:val="auto"/>
        </w:rPr>
        <w:t>corporation engaged in the business of mortgage investments; and</w:t>
      </w:r>
    </w:p>
    <w:p>
      <w:pPr>
        <w:spacing w:after="0" w:line="1" w:lineRule="exact"/>
        <w:rPr>
          <w:sz w:val="20"/>
          <w:szCs w:val="20"/>
          <w:color w:val="auto"/>
        </w:rPr>
      </w:pPr>
    </w:p>
    <w:p>
      <w:pPr>
        <w:ind w:left="300" w:right="300" w:hanging="202"/>
        <w:spacing w:after="0" w:line="263" w:lineRule="auto"/>
        <w:tabs>
          <w:tab w:leader="none" w:pos="39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any mortgage on unimproved real property or in any mortgage other than a first mortgage not in a greater percentage of value as confirmed by an independent appraiser, than permitted under local law to a savings and loan institution.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519"/>
        <w:spacing w:after="0" w:line="269" w:lineRule="auto"/>
        <w:rPr>
          <w:sz w:val="20"/>
          <w:szCs w:val="20"/>
          <w:color w:val="auto"/>
        </w:rPr>
      </w:pPr>
      <w:r>
        <w:rPr>
          <w:rFonts w:ascii="Courier New" w:cs="Courier New" w:eastAsia="Courier New" w:hAnsi="Courier New"/>
          <w:sz w:val="16"/>
          <w:szCs w:val="16"/>
          <w:color w:val="auto"/>
        </w:rPr>
        <w:t>Under Title 8 a Maryland REIT must hold at least 75 percent of the value of its assets in real estate assets, government securities, cash and cash items, including receivables, and a Maryland REIT may not use or apply land for farming, agriculture, horticulture or similar purposes.</w:t>
      </w:r>
    </w:p>
    <w:p>
      <w:pPr>
        <w:spacing w:after="0" w:line="6024" w:lineRule="exact"/>
        <w:rPr>
          <w:sz w:val="20"/>
          <w:szCs w:val="20"/>
          <w:color w:val="auto"/>
        </w:rPr>
      </w:pPr>
    </w:p>
    <w:p>
      <w:pPr>
        <w:sectPr>
          <w:pgSz w:w="11900" w:h="16838" w:orient="portrait"/>
          <w:cols w:equalWidth="0" w:num="2">
            <w:col w:w="4300" w:space="100"/>
            <w:col w:w="5819"/>
          </w:cols>
          <w:pgMar w:left="240" w:top="8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838"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Certain Federal Income Tax Consequences of the Reorganization</w:t>
      </w:r>
    </w:p>
    <w:p>
      <w:pPr>
        <w:spacing w:after="0" w:line="195" w:lineRule="exact"/>
        <w:rPr>
          <w:sz w:val="20"/>
          <w:szCs w:val="20"/>
          <w:color w:val="auto"/>
        </w:rPr>
      </w:pPr>
    </w:p>
    <w:p>
      <w:pPr>
        <w:ind w:right="2599" w:firstLine="196"/>
        <w:spacing w:after="0" w:line="257" w:lineRule="auto"/>
        <w:rPr>
          <w:sz w:val="20"/>
          <w:szCs w:val="20"/>
          <w:color w:val="auto"/>
        </w:rPr>
      </w:pPr>
      <w:r>
        <w:rPr>
          <w:rFonts w:ascii="Courier New" w:cs="Courier New" w:eastAsia="Courier New" w:hAnsi="Courier New"/>
          <w:sz w:val="16"/>
          <w:szCs w:val="16"/>
          <w:color w:val="auto"/>
        </w:rPr>
        <w:t>The following summary of certain federal income tax consequences of the Reorganization is for general information only, and shall not be considered as tax or investment advice. The summary is based upon the Internal Revenue Code of 1986, as amended (the "Code"), applicable Treasury regulations thereunder, and interpretations of the Code and such regulations by the Courts and the Internal Revenue Service (the "IRS"), all as they are in effect and exist as of the date hereof. There can be no assurance that future legislative, judicial and administrative changes or interpretations will not adversely effect the accuracy of the statements and conclusions set forth herein. Any such changes or interpretations could be applied retroactively and, accordingly, could cause the tax consequences to vary substantially from the consequences described below. No ruling from the IRS or opinion from counsel with respect to the matters discussed herein has been requested. There is no assurance that the IRS would agree with the conclusions set forth in this discussion.</w:t>
      </w:r>
    </w:p>
    <w:p>
      <w:pPr>
        <w:spacing w:after="0" w:line="290"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Shareholders are urged to consult their tax advisors as to the particular tax consequences to them of the Reorganization, including the applicability of any state, local or foreign tax laws, changes in applicable tax laws and any pending or proposed legislation.</w:t>
      </w:r>
    </w:p>
    <w:p>
      <w:pPr>
        <w:spacing w:after="0" w:line="64" w:lineRule="exact"/>
        <w:rPr>
          <w:sz w:val="20"/>
          <w:szCs w:val="20"/>
          <w:color w:val="auto"/>
        </w:rPr>
      </w:pPr>
    </w:p>
    <w:p>
      <w:pPr>
        <w:ind w:right="2599" w:firstLine="196"/>
        <w:spacing w:after="0" w:line="264" w:lineRule="auto"/>
        <w:rPr>
          <w:sz w:val="20"/>
          <w:szCs w:val="20"/>
          <w:color w:val="auto"/>
        </w:rPr>
      </w:pPr>
      <w:r>
        <w:rPr>
          <w:rFonts w:ascii="Courier New" w:cs="Courier New" w:eastAsia="Courier New" w:hAnsi="Courier New"/>
          <w:sz w:val="16"/>
          <w:szCs w:val="16"/>
          <w:color w:val="auto"/>
        </w:rPr>
        <w:t>The Reorganization will constitute a reorganization under section 368 of the Code. Pursuant to the Reorganization, holders of Shares will be treated as having exchanged their Shares for New Shares. Holders of Shares will not recognize gain or loss for federal income tax purposes solely as a result of this deemed exchange. For federal income tax purposes, a holder's aggregate basis in the New Shares will equal such holder's adjusted basis in the Shares deemed to be exchanged therefor and such holder's holding period for the New Shares will include such holder's holding period in the Shares deemed exchanged therefor.</w:t>
      </w:r>
    </w:p>
    <w:p>
      <w:pPr>
        <w:spacing w:after="0" w:line="85" w:lineRule="exact"/>
        <w:rPr>
          <w:sz w:val="20"/>
          <w:szCs w:val="20"/>
          <w:color w:val="auto"/>
        </w:rPr>
      </w:pPr>
    </w:p>
    <w:p>
      <w:pPr>
        <w:ind w:right="2799" w:firstLine="196"/>
        <w:spacing w:after="0" w:line="373" w:lineRule="auto"/>
        <w:rPr>
          <w:sz w:val="20"/>
          <w:szCs w:val="20"/>
          <w:color w:val="auto"/>
        </w:rPr>
      </w:pPr>
      <w:r>
        <w:rPr>
          <w:rFonts w:ascii="Courier New" w:cs="Courier New" w:eastAsia="Courier New" w:hAnsi="Courier New"/>
          <w:sz w:val="16"/>
          <w:szCs w:val="16"/>
          <w:color w:val="auto"/>
        </w:rPr>
        <w:t>Likewise, the Trust will not recognize any gain or loss for federal income tax purposes as a result of the Reorganization.</w:t>
      </w:r>
    </w:p>
    <w:p>
      <w:pPr>
        <w:spacing w:after="0"/>
        <w:rPr>
          <w:sz w:val="20"/>
          <w:szCs w:val="20"/>
          <w:color w:val="auto"/>
        </w:rPr>
      </w:pPr>
      <w:r>
        <w:rPr>
          <w:rFonts w:ascii="Courier New" w:cs="Courier New" w:eastAsia="Courier New" w:hAnsi="Courier New"/>
          <w:sz w:val="16"/>
          <w:szCs w:val="16"/>
          <w:color w:val="auto"/>
        </w:rPr>
        <w:t>Anti-Takeover Effects of the Reorganization</w:t>
      </w:r>
    </w:p>
    <w:p>
      <w:pPr>
        <w:spacing w:after="0" w:line="195" w:lineRule="exact"/>
        <w:rPr>
          <w:sz w:val="20"/>
          <w:szCs w:val="20"/>
          <w:color w:val="auto"/>
        </w:rPr>
      </w:pPr>
    </w:p>
    <w:p>
      <w:pPr>
        <w:ind w:right="2599" w:firstLine="196"/>
        <w:spacing w:after="0" w:line="254" w:lineRule="auto"/>
        <w:rPr>
          <w:sz w:val="20"/>
          <w:szCs w:val="20"/>
          <w:color w:val="auto"/>
        </w:rPr>
      </w:pPr>
      <w:r>
        <w:rPr>
          <w:rFonts w:ascii="Courier New" w:cs="Courier New" w:eastAsia="Courier New" w:hAnsi="Courier New"/>
          <w:sz w:val="16"/>
          <w:szCs w:val="16"/>
          <w:color w:val="auto"/>
        </w:rPr>
        <w:t>Certain provisions of Maryland law, the Restated Declaration of Trust and the Restated Bylaws could have the effect of delaying, deferring or preventing a takeover or other transaction in which holders of some, or a majority, of the Common Shares might receive a premium over the then prevailing market price or which such holders might believe to be in their best interests. For example, after the effective date of the Reorganization, shareholders will not have the power to remove trustees, except for cause. In addition, after the Reorganization is effective, Federal Realty will become subject to the Maryland business combination and control share acquisition statutes and any new legislation that may be adopted from time to time in Maryland, which may have anti-takeover effects. New legislation has been proposed in Maryland that could have the effect of delaying, deferring or preventing a takeover of a Maryland REIT. If adopted in its present form, the proposed legislation would, among other things, (1) validate shareholder rights plans and the "just say no" defense, (2) establish a presumption that directors' or trustees' action satisfies their statutory standards of conduct, (3) clarify that the Unocal decision of the Delaware Supreme Court is not the law in Maryland, (4) clarify that the board has the sole power to establish various procedures for special shareholders meetings, (5) validate certain advance notice bylaws, and (6) permit directors or trustees to consider the effect on non-shareholder constituencies of potential change of control transactions. Whether or in what form the proposed legislation may be adopted cannot be predicted. See "-- Comparison of Rights of Shareholders Before and After the Reorganization."</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Vote</w:t>
      </w:r>
    </w:p>
    <w:p>
      <w:pPr>
        <w:spacing w:after="0" w:line="195" w:lineRule="exact"/>
        <w:rPr>
          <w:sz w:val="20"/>
          <w:szCs w:val="20"/>
          <w:color w:val="auto"/>
        </w:rPr>
      </w:pPr>
    </w:p>
    <w:p>
      <w:pPr>
        <w:ind w:right="2699" w:firstLine="196"/>
        <w:spacing w:after="0" w:line="273" w:lineRule="auto"/>
        <w:rPr>
          <w:sz w:val="20"/>
          <w:szCs w:val="20"/>
          <w:color w:val="auto"/>
        </w:rPr>
      </w:pPr>
      <w:r>
        <w:rPr>
          <w:rFonts w:ascii="Courier New" w:cs="Courier New" w:eastAsia="Courier New" w:hAnsi="Courier New"/>
          <w:sz w:val="16"/>
          <w:szCs w:val="16"/>
          <w:color w:val="auto"/>
        </w:rPr>
        <w:t>The affirmative vote of holders of two-thirds of the outstanding Common Shares is required to approve the Reorganization Proposal. The Board of Trustees does not believe that any vote of holders of the Series A Preferred Shares is required to approve the Reorganization Proposal because it does not materially and adversely affect the voting powers, rights or preferences of such holders.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Dissenters' Appraisal Rights</w:t>
      </w:r>
    </w:p>
    <w:p>
      <w:pPr>
        <w:spacing w:after="0" w:line="195" w:lineRule="exact"/>
        <w:rPr>
          <w:sz w:val="20"/>
          <w:szCs w:val="20"/>
          <w:color w:val="auto"/>
        </w:rPr>
      </w:pPr>
    </w:p>
    <w:p>
      <w:pPr>
        <w:ind w:right="2599" w:firstLine="196"/>
        <w:spacing w:after="0" w:line="373" w:lineRule="auto"/>
        <w:rPr>
          <w:sz w:val="20"/>
          <w:szCs w:val="20"/>
          <w:color w:val="auto"/>
        </w:rPr>
      </w:pPr>
      <w:r>
        <w:rPr>
          <w:rFonts w:ascii="Courier New" w:cs="Courier New" w:eastAsia="Courier New" w:hAnsi="Courier New"/>
          <w:sz w:val="16"/>
          <w:szCs w:val="16"/>
          <w:color w:val="auto"/>
        </w:rPr>
        <w:t>Shareholders do not have dissenters' appraisal rights in connection with the Reorganization.</w:t>
      </w:r>
    </w:p>
    <w:p>
      <w:pPr>
        <w:ind w:right="2879" w:firstLine="196"/>
        <w:spacing w:after="0" w:line="373" w:lineRule="auto"/>
        <w:rPr>
          <w:sz w:val="20"/>
          <w:szCs w:val="20"/>
          <w:color w:val="auto"/>
        </w:rPr>
      </w:pPr>
      <w:r>
        <w:rPr>
          <w:rFonts w:ascii="Courier New" w:cs="Courier New" w:eastAsia="Courier New" w:hAnsi="Courier New"/>
          <w:sz w:val="16"/>
          <w:szCs w:val="16"/>
          <w:color w:val="auto"/>
        </w:rPr>
        <w:t>THE BOARD OF TRUSTEES UNANIMOUSLY RECOMMENDS A VOTE "FOR" APPROVAL OF THE REORGANIZATION PROPOSAL.</w:t>
      </w: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0" w:right="1440" w:bottom="593" w:gutter="0" w:footer="0" w:header="0"/>
        </w:sectPr>
      </w:pPr>
    </w:p>
    <w:bookmarkStart w:id="38" w:name="page39"/>
    <w:bookmarkEnd w:id="38"/>
    <w:p>
      <w:pPr>
        <w:jc w:val="center"/>
        <w:ind w:right="2599"/>
        <w:spacing w:after="0"/>
        <w:rPr>
          <w:sz w:val="20"/>
          <w:szCs w:val="20"/>
          <w:color w:val="auto"/>
        </w:rPr>
      </w:pPr>
      <w:r>
        <w:rPr>
          <w:rFonts w:ascii="Courier New" w:cs="Courier New" w:eastAsia="Courier New" w:hAnsi="Courier New"/>
          <w:sz w:val="16"/>
          <w:szCs w:val="16"/>
          <w:color w:val="auto"/>
        </w:rPr>
        <w:t>RELATIONSHIP WITH INDEPENDENT PUBLIC ACCOUNTANTS</w:t>
      </w:r>
    </w:p>
    <w:p>
      <w:pPr>
        <w:spacing w:after="0" w:line="195"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Grant Thornton LLP has been selected as independent public accountants for the Trust for the current year, and examined the Trust's financial statements for the year ended December 31, 1998. Grant Thornton LLP also provided limited reviews of the Trust's quarterly financial information and assisted in connection with certain other filings with the Securities and Exchange Commission.</w:t>
      </w:r>
    </w:p>
    <w:p>
      <w:pPr>
        <w:spacing w:after="0" w:line="79" w:lineRule="exact"/>
        <w:rPr>
          <w:sz w:val="20"/>
          <w:szCs w:val="20"/>
          <w:color w:val="auto"/>
        </w:rPr>
      </w:pPr>
    </w:p>
    <w:p>
      <w:pPr>
        <w:ind w:right="2599" w:firstLine="196"/>
        <w:spacing w:after="0" w:line="311" w:lineRule="auto"/>
        <w:rPr>
          <w:sz w:val="20"/>
          <w:szCs w:val="20"/>
          <w:color w:val="auto"/>
        </w:rPr>
      </w:pPr>
      <w:r>
        <w:rPr>
          <w:rFonts w:ascii="Courier New" w:cs="Courier New" w:eastAsia="Courier New" w:hAnsi="Courier New"/>
          <w:sz w:val="16"/>
          <w:szCs w:val="16"/>
          <w:color w:val="auto"/>
        </w:rPr>
        <w:t>A representative of Grant Thornton LLP will be present at the Annual Meeting and will have the opportunity to make a statement and answer appropriate questions from shareholders.</w:t>
      </w:r>
    </w:p>
    <w:p>
      <w:pPr>
        <w:spacing w:after="0" w:line="4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ANNUAL REPORT</w:t>
      </w:r>
    </w:p>
    <w:p>
      <w:pPr>
        <w:spacing w:after="0" w:line="195"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A COPY OF THE TRUST'S ANNUAL REPORT ON FORM 10-K FOR THE YEAR ENDED DECEMBER 31, 1998, AS FILED WITH THE SECURITIES AND EXCHANGE COMMISSION, WILL BE MAILED WITHOUT CHARGE TO SHAREHOLDERS UPON REQUEST. REQUESTS SHOULD BE ADDRESSED TO THE TRUST, 1626 EAST JEFFERSON STREET, ROCKVILLE, MARYLAND 20852, ATTENTION: MS. KATHY KLEIN, VICE PRESIDENT--CORPORATE COMMUNICATIONS. THE FORM 10-K INCLUDES CERTAIN EXHIBITS, WHICH WILL BE PROVIDED ONLY UPON PAYMENT OF A FEE COVERING THE TRUST'S REASONABLE EXPENSES.</w:t>
      </w:r>
    </w:p>
    <w:p>
      <w:pPr>
        <w:spacing w:after="0" w:line="8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SOLICITATION OF PROXIES, SHAREHOLDER PROPOSALS AND OTHER MATTERS</w:t>
      </w:r>
    </w:p>
    <w:p>
      <w:pPr>
        <w:spacing w:after="0" w:line="195" w:lineRule="exact"/>
        <w:rPr>
          <w:sz w:val="20"/>
          <w:szCs w:val="20"/>
          <w:color w:val="auto"/>
        </w:rPr>
      </w:pPr>
    </w:p>
    <w:p>
      <w:pPr>
        <w:ind w:right="2879" w:firstLine="196"/>
        <w:spacing w:after="0" w:line="258" w:lineRule="auto"/>
        <w:rPr>
          <w:sz w:val="20"/>
          <w:szCs w:val="20"/>
          <w:color w:val="auto"/>
        </w:rPr>
      </w:pPr>
      <w:r>
        <w:rPr>
          <w:rFonts w:ascii="Courier New" w:cs="Courier New" w:eastAsia="Courier New" w:hAnsi="Courier New"/>
          <w:sz w:val="16"/>
          <w:szCs w:val="16"/>
          <w:color w:val="auto"/>
        </w:rPr>
        <w:t>The cost of this solicitation of proxies will be borne by the Trust. In addition to the use of the mails, Trust officials may solicit proxies in person and by telephone, telegraph or facsimile, and may request brokerage houses and other custodians, nominees and fiduciaries to forward soliciting</w:t>
      </w:r>
    </w:p>
    <w:tbl>
      <w:tblPr>
        <w:tblLayout w:type="fixed"/>
        <w:tblInd w:w="0" w:type="dxa"/>
        <w:tblCellMar>
          <w:top w:w="0" w:type="dxa"/>
          <w:left w:w="0" w:type="dxa"/>
          <w:bottom w:w="0" w:type="dxa"/>
          <w:right w:w="0" w:type="dxa"/>
        </w:tblCellMar>
      </w:tblPr>
      <w:tr>
        <w:trPr>
          <w:trHeight w:val="160"/>
        </w:trPr>
        <w:tc>
          <w:tcPr>
            <w:tcW w:w="3380" w:type="dxa"/>
            <w:vAlign w:val="bottom"/>
            <w:gridSpan w:val="3"/>
          </w:tcPr>
          <w:p>
            <w:pPr>
              <w:spacing w:after="0" w:line="161" w:lineRule="exact"/>
              <w:rPr>
                <w:sz w:val="20"/>
                <w:szCs w:val="20"/>
                <w:color w:val="auto"/>
              </w:rPr>
            </w:pPr>
            <w:r>
              <w:rPr>
                <w:rFonts w:ascii="Courier New" w:cs="Courier New" w:eastAsia="Courier New" w:hAnsi="Courier New"/>
                <w:sz w:val="16"/>
                <w:szCs w:val="16"/>
                <w:color w:val="auto"/>
              </w:rPr>
              <w:t>materials to the beneficial owners</w:t>
            </w:r>
          </w:p>
        </w:tc>
        <w:tc>
          <w:tcPr>
            <w:tcW w:w="2720" w:type="dxa"/>
            <w:vAlign w:val="bottom"/>
            <w:gridSpan w:val="3"/>
          </w:tcPr>
          <w:p>
            <w:pPr>
              <w:jc w:val="right"/>
              <w:spacing w:after="0" w:line="161" w:lineRule="exact"/>
              <w:rPr>
                <w:sz w:val="20"/>
                <w:szCs w:val="20"/>
                <w:color w:val="auto"/>
              </w:rPr>
            </w:pPr>
            <w:r>
              <w:rPr>
                <w:rFonts w:ascii="Courier New" w:cs="Courier New" w:eastAsia="Courier New" w:hAnsi="Courier New"/>
                <w:sz w:val="16"/>
                <w:szCs w:val="16"/>
                <w:color w:val="auto"/>
              </w:rPr>
              <w:t>of Shares. In addition, the</w:t>
            </w:r>
          </w:p>
        </w:tc>
        <w:tc>
          <w:tcPr>
            <w:tcW w:w="600" w:type="dxa"/>
            <w:vAlign w:val="bottom"/>
          </w:tcPr>
          <w:p>
            <w:pPr>
              <w:jc w:val="right"/>
              <w:spacing w:after="0" w:line="161" w:lineRule="exact"/>
              <w:rPr>
                <w:sz w:val="20"/>
                <w:szCs w:val="20"/>
                <w:color w:val="auto"/>
              </w:rPr>
            </w:pPr>
            <w:r>
              <w:rPr>
                <w:rFonts w:ascii="Courier New" w:cs="Courier New" w:eastAsia="Courier New" w:hAnsi="Courier New"/>
                <w:sz w:val="16"/>
                <w:szCs w:val="16"/>
                <w:color w:val="auto"/>
              </w:rPr>
              <w:t>Trust</w:t>
            </w:r>
          </w:p>
        </w:tc>
        <w:tc>
          <w:tcPr>
            <w:tcW w:w="820" w:type="dxa"/>
            <w:vAlign w:val="bottom"/>
          </w:tcPr>
          <w:p>
            <w:pPr>
              <w:ind w:left="40"/>
              <w:spacing w:after="0" w:line="161" w:lineRule="exact"/>
              <w:rPr>
                <w:sz w:val="20"/>
                <w:szCs w:val="20"/>
                <w:color w:val="auto"/>
              </w:rPr>
            </w:pPr>
            <w:r>
              <w:rPr>
                <w:rFonts w:ascii="Courier New" w:cs="Courier New" w:eastAsia="Courier New" w:hAnsi="Courier New"/>
                <w:sz w:val="16"/>
                <w:szCs w:val="16"/>
                <w:color w:val="auto"/>
              </w:rPr>
              <w:t>has</w:t>
            </w:r>
          </w:p>
        </w:tc>
      </w:tr>
      <w:tr>
        <w:trPr>
          <w:trHeight w:val="18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retained D.F. King</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&amp; Co., Inc. to assist</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soliciting proxies</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and to provide</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proxy materials</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w w:val="93"/>
              </w:rPr>
              <w:t>to</w:t>
            </w:r>
          </w:p>
        </w:tc>
        <w:tc>
          <w:tcPr>
            <w:tcW w:w="3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banks, brokerage firms, nominees,</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fiduciaries and</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other</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custodians. For</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such services, the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Trust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will pay to</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D.F. King</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a fee</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r>
      <w:tr>
        <w:trPr>
          <w:trHeight w:val="2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approximately $</w:t>
            </w: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 plus expenses.</w:t>
            </w: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00" w:lineRule="exact"/>
        <w:rPr>
          <w:sz w:val="20"/>
          <w:szCs w:val="20"/>
          <w:color w:val="auto"/>
        </w:rPr>
      </w:pPr>
    </w:p>
    <w:p>
      <w:pPr>
        <w:ind w:right="2979" w:firstLine="196"/>
        <w:spacing w:after="0" w:line="290" w:lineRule="auto"/>
        <w:rPr>
          <w:sz w:val="20"/>
          <w:szCs w:val="20"/>
          <w:color w:val="auto"/>
        </w:rPr>
      </w:pPr>
      <w:r>
        <w:rPr>
          <w:rFonts w:ascii="Courier New" w:cs="Courier New" w:eastAsia="Courier New" w:hAnsi="Courier New"/>
          <w:sz w:val="16"/>
          <w:szCs w:val="16"/>
          <w:color w:val="auto"/>
        </w:rPr>
        <w:t>Proposals of shareholders intended to be presented at the 2000 Annual Meeting must be received by the Trust no later than December 2, 1999 to be considered for inclusion in the Trust's proxy statement and form of proxy relating to such meeting.</w:t>
      </w:r>
    </w:p>
    <w:p>
      <w:pPr>
        <w:spacing w:after="0" w:line="64" w:lineRule="exact"/>
        <w:rPr>
          <w:sz w:val="20"/>
          <w:szCs w:val="20"/>
          <w:color w:val="auto"/>
        </w:rPr>
      </w:pPr>
    </w:p>
    <w:p>
      <w:pPr>
        <w:ind w:right="2699" w:firstLine="196"/>
        <w:spacing w:after="0" w:line="311" w:lineRule="auto"/>
        <w:rPr>
          <w:sz w:val="20"/>
          <w:szCs w:val="20"/>
          <w:color w:val="auto"/>
        </w:rPr>
      </w:pPr>
      <w:r>
        <w:rPr>
          <w:rFonts w:ascii="Courier New" w:cs="Courier New" w:eastAsia="Courier New" w:hAnsi="Courier New"/>
          <w:sz w:val="16"/>
          <w:szCs w:val="16"/>
          <w:color w:val="auto"/>
        </w:rPr>
        <w:t>The Trustees know of no other business to be presented at the Annual Meeting. If other matters properly come before the meeting, the persons named as proxies will vote on them in accordance with their best judgment.</w:t>
      </w:r>
    </w:p>
    <w:p>
      <w:pPr>
        <w:spacing w:after="0" w:line="47"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w:t>
      </w:r>
    </w:p>
    <w:p>
      <w:pPr>
        <w:spacing w:after="0" w:line="6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For the Trustees,</w:t>
      </w: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Nancy J. Herman</w:t>
      </w:r>
    </w:p>
    <w:p>
      <w:pPr>
        <w:spacing w:after="0" w:line="3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Vice President--General</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Counsel and Secretary</w:t>
      </w:r>
    </w:p>
    <w:p>
      <w:pPr>
        <w:spacing w:after="0" w:line="16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YOUR PROXY IS IMPORTANT WHETHER YOU OWN FEW OR MANY SHARES.</w:t>
      </w:r>
    </w:p>
    <w:p>
      <w:pPr>
        <w:spacing w:after="0" w:line="3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PLEASE SIGN, DATE AND MAIL IT TODAY.</w:t>
      </w: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1" w:right="1440" w:bottom="1440" w:gutter="0" w:footer="0" w:header="0"/>
        </w:sectPr>
      </w:pPr>
    </w:p>
    <w:bookmarkStart w:id="39" w:name="page40"/>
    <w:bookmarkEnd w:id="39"/>
    <w:p>
      <w:pPr>
        <w:jc w:val="right"/>
        <w:ind w:right="2499"/>
        <w:spacing w:after="0"/>
        <w:rPr>
          <w:sz w:val="20"/>
          <w:szCs w:val="20"/>
          <w:color w:val="auto"/>
        </w:rPr>
      </w:pPr>
      <w:r>
        <w:rPr>
          <w:rFonts w:ascii="Courier New" w:cs="Courier New" w:eastAsia="Courier New" w:hAnsi="Courier New"/>
          <w:sz w:val="16"/>
          <w:szCs w:val="16"/>
          <w:color w:val="auto"/>
        </w:rPr>
        <w:t>APPENDIX A</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ARTICLES OF</w:t>
      </w:r>
    </w:p>
    <w:p>
      <w:pPr>
        <w:spacing w:after="0" w:line="3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AMENDMENT AND RESTATEMENT</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DECLARATION OF TRUST</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65" w:lineRule="exact"/>
        <w:rPr>
          <w:sz w:val="20"/>
          <w:szCs w:val="20"/>
          <w:color w:val="auto"/>
        </w:rPr>
      </w:pPr>
    </w:p>
    <w:p>
      <w:pPr>
        <w:jc w:val="both"/>
        <w:ind w:right="2599" w:firstLine="196"/>
        <w:spacing w:after="0" w:line="311" w:lineRule="auto"/>
        <w:rPr>
          <w:sz w:val="20"/>
          <w:szCs w:val="20"/>
          <w:color w:val="auto"/>
        </w:rPr>
      </w:pPr>
      <w:r>
        <w:rPr>
          <w:rFonts w:ascii="Courier New" w:cs="Courier New" w:eastAsia="Courier New" w:hAnsi="Courier New"/>
          <w:sz w:val="16"/>
          <w:szCs w:val="16"/>
          <w:color w:val="auto"/>
        </w:rPr>
        <w:t>Federal Realty Investment Trust, an unincorporated business trust having its principal place of business at 1626 East Jefferson Street, Rockville, Maryland 20852 (the "Trust") hereby certifies that:</w:t>
      </w:r>
    </w:p>
    <w:p>
      <w:pPr>
        <w:spacing w:after="0" w:line="47"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FIRST: The Trust was formed pursuant to a Declaration of Trust first made in the District of Columbia on May 25, 1962, filed in the office of, and recorded by, the Recorder of Deeds, Washington, D.C., which declaration of trust was thereafter amended and restated in its entirety on May 24, 1984, pursuant to a Third Amended and Restated Declaration of Trust of Federal Realty Investment Trust, filed in the office of, and recorded by, the Recorder of Deeds, Washington, D.C.</w:t>
      </w:r>
    </w:p>
    <w:p>
      <w:pPr>
        <w:spacing w:after="0" w:line="82"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SECOND: Upon the later of (i) the time these Articles of Amendment and Restatement are filed with and recorded by the District of Columbia Recorder of Deeds and (ii) the time the Restated Declaration of Trust is filed with and accepted by the State Department of Assessments and Taxation of the State of Maryland (the "Effective Time"):</w:t>
      </w:r>
    </w:p>
    <w:p>
      <w:pPr>
        <w:spacing w:after="0" w:line="70" w:lineRule="exact"/>
        <w:rPr>
          <w:sz w:val="20"/>
          <w:szCs w:val="20"/>
          <w:color w:val="auto"/>
        </w:rPr>
      </w:pPr>
    </w:p>
    <w:p>
      <w:pPr>
        <w:ind w:left="580" w:right="2699" w:hanging="384"/>
        <w:spacing w:after="0" w:line="273" w:lineRule="auto"/>
        <w:tabs>
          <w:tab w:leader="none" w:pos="5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trust of the Trust, as amended and in effect, including the Statement of Designation relating to the Trust's Series A Cumulative Redeemable Preferred Shares (the "Existing Declaration of Trust"), shall be further amended and restated in its entirety to read as set forth in the Declaration of Trust attached hereto as Exhibit A (the "Restated Declaration of Trust");</w:t>
      </w:r>
    </w:p>
    <w:p>
      <w:pPr>
        <w:spacing w:after="0" w:line="78" w:lineRule="exact"/>
        <w:rPr>
          <w:rFonts w:ascii="Courier New" w:cs="Courier New" w:eastAsia="Courier New" w:hAnsi="Courier New"/>
          <w:sz w:val="16"/>
          <w:szCs w:val="16"/>
          <w:color w:val="auto"/>
        </w:rPr>
      </w:pPr>
    </w:p>
    <w:p>
      <w:pPr>
        <w:ind w:left="680" w:right="2699" w:hanging="484"/>
        <w:spacing w:after="0" w:line="311" w:lineRule="auto"/>
        <w:tabs>
          <w:tab w:leader="none" w:pos="6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cease to be governed by the laws of the District of Columbia and shall thereupon be subject to Title 8 of the Corporations and Associations Article of the Annotated Code of Maryland;</w:t>
      </w:r>
    </w:p>
    <w:p>
      <w:pPr>
        <w:spacing w:after="0" w:line="47" w:lineRule="exact"/>
        <w:rPr>
          <w:rFonts w:ascii="Courier New" w:cs="Courier New" w:eastAsia="Courier New" w:hAnsi="Courier New"/>
          <w:sz w:val="16"/>
          <w:szCs w:val="16"/>
          <w:color w:val="auto"/>
        </w:rPr>
      </w:pPr>
    </w:p>
    <w:p>
      <w:pPr>
        <w:ind w:left="680" w:right="2699" w:hanging="484"/>
        <w:spacing w:after="0" w:line="273" w:lineRule="auto"/>
        <w:tabs>
          <w:tab w:leader="none" w:pos="6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Common Shares of beneficial interest, no par value, of the Trust which were issued and outstanding pursuant to the Existing Declaration of Trust immediately prior to the Effective Time ("Common Shares") shall be reclassified and continue to exist as Common Shares of beneficial interest, $0.01 par value per share, of the Trust issued pursuant to the Restated Declaration of Trust ("New Common Shares");</w:t>
      </w:r>
    </w:p>
    <w:p>
      <w:pPr>
        <w:spacing w:after="0" w:line="78" w:lineRule="exact"/>
        <w:rPr>
          <w:rFonts w:ascii="Courier New" w:cs="Courier New" w:eastAsia="Courier New" w:hAnsi="Courier New"/>
          <w:sz w:val="16"/>
          <w:szCs w:val="16"/>
          <w:color w:val="auto"/>
        </w:rPr>
      </w:pPr>
    </w:p>
    <w:p>
      <w:pPr>
        <w:ind w:left="680" w:right="2699" w:hanging="484"/>
        <w:spacing w:after="0" w:line="266" w:lineRule="auto"/>
        <w:tabs>
          <w:tab w:leader="none" w:pos="6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Series A Cumulative Redeemable Preferred Shares of beneficial interest, no par value, of the Trust which were issued and outstanding pursuant to the Existing Declaration of Trust immediately prior to the Effective Time ("Series A Preferred Shares") shall be reclassified and continue to exist as Series A Cumulative Redeemable Preferred Shares of beneficial interest, $0.01 par value per share, of the Trust issued pursuant to the Restated Declaration of Trust and("New Series A Preferred Shares");</w:t>
      </w:r>
    </w:p>
    <w:p>
      <w:pPr>
        <w:spacing w:after="0" w:line="84" w:lineRule="exact"/>
        <w:rPr>
          <w:rFonts w:ascii="Courier New" w:cs="Courier New" w:eastAsia="Courier New" w:hAnsi="Courier New"/>
          <w:sz w:val="16"/>
          <w:szCs w:val="16"/>
          <w:color w:val="auto"/>
        </w:rPr>
      </w:pPr>
    </w:p>
    <w:p>
      <w:pPr>
        <w:ind w:left="680" w:right="2699" w:hanging="484"/>
        <w:spacing w:after="0" w:line="290" w:lineRule="auto"/>
        <w:tabs>
          <w:tab w:leader="none" w:pos="6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 certificates theretofore representing Common Shares or Series A Preferred Shares, without any action on the part of the holder thereof, shall thereafter represent a like number of New Common Shares or New Series A Preferred Shares, as the case may be; and</w:t>
      </w:r>
    </w:p>
    <w:p>
      <w:pPr>
        <w:spacing w:after="0" w:line="63" w:lineRule="exact"/>
        <w:rPr>
          <w:rFonts w:ascii="Courier New" w:cs="Courier New" w:eastAsia="Courier New" w:hAnsi="Courier New"/>
          <w:sz w:val="16"/>
          <w:szCs w:val="16"/>
          <w:color w:val="auto"/>
        </w:rPr>
      </w:pPr>
    </w:p>
    <w:p>
      <w:pPr>
        <w:ind w:left="680" w:right="2879" w:hanging="484"/>
        <w:spacing w:after="0" w:line="290" w:lineRule="auto"/>
        <w:tabs>
          <w:tab w:leader="none" w:pos="6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rights, or warrants to purchase or subscribe for Common Shares, without any action on the part of the holder thereof, shall thereafter entitle the holder to purchase or subscribe for a like number of New Common Shares on the same terms.</w:t>
      </w:r>
    </w:p>
    <w:p>
      <w:pPr>
        <w:spacing w:after="0" w:line="64" w:lineRule="exact"/>
        <w:rPr>
          <w:sz w:val="20"/>
          <w:szCs w:val="20"/>
          <w:color w:val="auto"/>
        </w:rPr>
      </w:pPr>
    </w:p>
    <w:p>
      <w:pPr>
        <w:ind w:right="2879" w:firstLine="196"/>
        <w:spacing w:after="0" w:line="268" w:lineRule="auto"/>
        <w:rPr>
          <w:sz w:val="20"/>
          <w:szCs w:val="20"/>
          <w:color w:val="auto"/>
        </w:rPr>
      </w:pPr>
      <w:r>
        <w:rPr>
          <w:rFonts w:ascii="Courier New" w:cs="Courier New" w:eastAsia="Courier New" w:hAnsi="Courier New"/>
          <w:sz w:val="16"/>
          <w:szCs w:val="16"/>
          <w:color w:val="auto"/>
        </w:rPr>
        <w:t>THIRD: The terms of these Articles of Amendment and Restatement were duly advised, authorized and approved by the Trust in the manner and by the vote</w:t>
      </w:r>
    </w:p>
    <w:p>
      <w:pPr>
        <w:spacing w:after="0" w:line="1" w:lineRule="exact"/>
        <w:rPr>
          <w:sz w:val="20"/>
          <w:szCs w:val="20"/>
          <w:color w:val="auto"/>
        </w:rPr>
      </w:pPr>
    </w:p>
    <w:p>
      <w:pPr>
        <w:jc w:val="both"/>
        <w:ind w:right="2699"/>
        <w:spacing w:after="0" w:line="308" w:lineRule="auto"/>
        <w:rPr>
          <w:sz w:val="20"/>
          <w:szCs w:val="20"/>
          <w:color w:val="auto"/>
        </w:rPr>
      </w:pPr>
      <w:r>
        <w:rPr>
          <w:rFonts w:ascii="Courier New" w:cs="Courier New" w:eastAsia="Courier New" w:hAnsi="Courier New"/>
          <w:sz w:val="16"/>
          <w:szCs w:val="16"/>
          <w:color w:val="auto"/>
        </w:rPr>
        <w:t>required under the Existing Declaration of Trust. On , 1999, the Board of Trustees duly adopted a resolution setting forth the terms of these Articles</w:t>
      </w:r>
    </w:p>
    <w:p>
      <w:pPr>
        <w:sectPr>
          <w:pgSz w:w="11900" w:h="16838" w:orient="portrait"/>
          <w:cols w:equalWidth="0" w:num="1">
            <w:col w:w="10219"/>
          </w:cols>
          <w:pgMar w:left="240" w:top="650" w:right="1440" w:bottom="1440" w:gutter="0" w:footer="0" w:header="0"/>
        </w:sectPr>
      </w:pPr>
    </w:p>
    <w:bookmarkStart w:id="40" w:name="page41"/>
    <w:bookmarkEnd w:id="40"/>
    <w:p>
      <w:pPr>
        <w:ind w:right="2979"/>
        <w:spacing w:after="0" w:line="268" w:lineRule="auto"/>
        <w:rPr>
          <w:sz w:val="20"/>
          <w:szCs w:val="20"/>
          <w:color w:val="auto"/>
        </w:rPr>
      </w:pPr>
      <w:r>
        <w:rPr>
          <w:rFonts w:ascii="Courier New" w:cs="Courier New" w:eastAsia="Courier New" w:hAnsi="Courier New"/>
          <w:sz w:val="16"/>
          <w:szCs w:val="16"/>
          <w:color w:val="auto"/>
        </w:rPr>
        <w:t>of Amendment and Restatement, declaring the advisability thereof, and directing that such Articles of Amendment and Restatement be submitted for</w:t>
      </w:r>
    </w:p>
    <w:p>
      <w:pPr>
        <w:spacing w:after="0" w:line="1" w:lineRule="exact"/>
        <w:rPr>
          <w:sz w:val="20"/>
          <w:szCs w:val="20"/>
          <w:color w:val="auto"/>
        </w:rPr>
      </w:pPr>
    </w:p>
    <w:p>
      <w:pPr>
        <w:ind w:right="2699"/>
        <w:spacing w:after="0" w:line="270" w:lineRule="auto"/>
        <w:rPr>
          <w:sz w:val="20"/>
          <w:szCs w:val="20"/>
          <w:color w:val="auto"/>
        </w:rPr>
      </w:pPr>
      <w:r>
        <w:rPr>
          <w:rFonts w:ascii="Courier New" w:cs="Courier New" w:eastAsia="Courier New" w:hAnsi="Courier New"/>
          <w:sz w:val="16"/>
          <w:szCs w:val="16"/>
          <w:color w:val="auto"/>
        </w:rPr>
        <w:t>approval by the shareholders of the Trust. On , 1999, the shareholders of the Trust approved and authorized the terms of these Articles of Amendment and Restatement by the affirmative vote of holders of more than two-thirds of the issued and outstanding shares entitled to vote, at a duly held meeting of shareholders.</w:t>
      </w:r>
    </w:p>
    <w:p>
      <w:pPr>
        <w:spacing w:after="0" w:line="78" w:lineRule="exact"/>
        <w:rPr>
          <w:sz w:val="20"/>
          <w:szCs w:val="20"/>
          <w:color w:val="auto"/>
        </w:rPr>
      </w:pPr>
    </w:p>
    <w:p>
      <w:pPr>
        <w:ind w:right="2699" w:firstLine="196"/>
        <w:spacing w:after="0" w:line="262" w:lineRule="auto"/>
        <w:rPr>
          <w:sz w:val="20"/>
          <w:szCs w:val="20"/>
          <w:color w:val="auto"/>
        </w:rPr>
      </w:pPr>
      <w:r>
        <w:rPr>
          <w:rFonts w:ascii="Courier New" w:cs="Courier New" w:eastAsia="Courier New" w:hAnsi="Courier New"/>
          <w:sz w:val="16"/>
          <w:szCs w:val="16"/>
          <w:color w:val="auto"/>
        </w:rPr>
        <w:t>IN WITNESS WHEREOF, FEDERAL REALTY INVESTMENT TRUST has caused these Articles of Amendment and Restatement to be signed in its name and on its behalf by its Chief Executive Officer and attested to by its Secretary on the</w:t>
      </w:r>
    </w:p>
    <w:p>
      <w:pPr>
        <w:ind w:left="480"/>
        <w:spacing w:after="0"/>
        <w:tabs>
          <w:tab w:leader="none" w:pos="3020" w:val="left"/>
        </w:tabs>
        <w:rPr>
          <w:sz w:val="20"/>
          <w:szCs w:val="20"/>
          <w:color w:val="auto"/>
        </w:rPr>
      </w:pPr>
      <w:r>
        <w:rPr>
          <w:rFonts w:ascii="Courier New" w:cs="Courier New" w:eastAsia="Courier New" w:hAnsi="Courier New"/>
          <w:sz w:val="16"/>
          <w:szCs w:val="16"/>
          <w:color w:val="auto"/>
        </w:rPr>
        <w:t>day of</w:t>
      </w:r>
      <w:r>
        <w:rPr>
          <w:sz w:val="20"/>
          <w:szCs w:val="20"/>
          <w:color w:val="auto"/>
        </w:rPr>
        <w:tab/>
      </w:r>
      <w:r>
        <w:rPr>
          <w:rFonts w:ascii="Courier New" w:cs="Courier New" w:eastAsia="Courier New" w:hAnsi="Courier New"/>
          <w:sz w:val="16"/>
          <w:szCs w:val="16"/>
          <w:color w:val="auto"/>
        </w:rPr>
        <w:t>, 1999.</w:t>
      </w:r>
    </w:p>
    <w:p>
      <w:pPr>
        <w:spacing w:after="0" w:line="16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Steven J. Guttman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Chief Executive Officer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Nancy J. Herman, Secretary</w:t>
      </w: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50" w:right="1440" w:bottom="1440" w:gutter="0" w:footer="0" w:header="0"/>
        </w:sectPr>
      </w:pPr>
    </w:p>
    <w:bookmarkStart w:id="41" w:name="page42"/>
    <w:bookmarkEnd w:id="41"/>
    <w:p>
      <w:pPr>
        <w:jc w:val="right"/>
        <w:ind w:right="2499"/>
        <w:spacing w:after="0"/>
        <w:rPr>
          <w:sz w:val="20"/>
          <w:szCs w:val="20"/>
          <w:color w:val="auto"/>
        </w:rPr>
      </w:pPr>
      <w:r>
        <w:rPr>
          <w:rFonts w:ascii="Courier New" w:cs="Courier New" w:eastAsia="Courier New" w:hAnsi="Courier New"/>
          <w:sz w:val="16"/>
          <w:szCs w:val="16"/>
          <w:color w:val="auto"/>
        </w:rPr>
        <w:t>EXHIBIT A TO</w:t>
      </w:r>
    </w:p>
    <w:p>
      <w:pPr>
        <w:spacing w:after="0" w:line="3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APPENDIX A</w:t>
      </w:r>
    </w:p>
    <w:p>
      <w:pPr>
        <w:spacing w:after="0" w:line="16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DECLARATION OF TRUST</w:t>
      </w:r>
    </w:p>
    <w:p>
      <w:pPr>
        <w:spacing w:after="0" w:line="195" w:lineRule="exact"/>
        <w:rPr>
          <w:sz w:val="20"/>
          <w:szCs w:val="20"/>
          <w:color w:val="auto"/>
        </w:rPr>
      </w:pPr>
    </w:p>
    <w:tbl>
      <w:tblPr>
        <w:tblLayout w:type="fixed"/>
        <w:tblInd w:w="2940" w:type="dxa"/>
        <w:tblCellMar>
          <w:top w:w="0" w:type="dxa"/>
          <w:left w:w="0" w:type="dxa"/>
          <w:bottom w:w="0" w:type="dxa"/>
          <w:right w:w="0" w:type="dxa"/>
        </w:tblCellMar>
      </w:tblPr>
      <w:tr>
        <w:trPr>
          <w:trHeight w:val="276"/>
        </w:trPr>
        <w:tc>
          <w:tcPr>
            <w:tcW w:w="88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1999</w:t>
            </w:r>
          </w:p>
        </w:tc>
      </w:tr>
    </w:tbl>
    <w:p>
      <w:pPr>
        <w:spacing w:after="0" w:line="100" w:lineRule="exact"/>
        <w:rPr>
          <w:sz w:val="20"/>
          <w:szCs w:val="20"/>
          <w:color w:val="auto"/>
        </w:rPr>
      </w:pPr>
    </w:p>
    <w:p>
      <w:pPr>
        <w:ind w:right="2699" w:firstLine="196"/>
        <w:spacing w:after="0" w:line="311" w:lineRule="auto"/>
        <w:rPr>
          <w:sz w:val="20"/>
          <w:szCs w:val="20"/>
          <w:color w:val="auto"/>
        </w:rPr>
      </w:pPr>
      <w:r>
        <w:rPr>
          <w:rFonts w:ascii="Courier New" w:cs="Courier New" w:eastAsia="Courier New" w:hAnsi="Courier New"/>
          <w:sz w:val="16"/>
          <w:szCs w:val="16"/>
          <w:color w:val="auto"/>
        </w:rPr>
        <w:t>This DECLARATION OF TRUST is made as of the date set forth above by the undersigned Trustee (as defined herein) and amends and restates the Third Amended and Restated Declaration of Trust of Federal Realty Investment Trust.</w:t>
      </w:r>
    </w:p>
    <w:p>
      <w:pPr>
        <w:spacing w:after="0" w:line="4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I</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name of the Trust (as hereinafter defined)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7" w:lineRule="exact"/>
        <w:rPr>
          <w:sz w:val="20"/>
          <w:szCs w:val="20"/>
          <w:color w:val="auto"/>
        </w:rPr>
      </w:pPr>
    </w:p>
    <w:p>
      <w:pPr>
        <w:ind w:right="2699" w:firstLine="196"/>
        <w:spacing w:after="0" w:line="277" w:lineRule="auto"/>
        <w:rPr>
          <w:sz w:val="20"/>
          <w:szCs w:val="20"/>
          <w:color w:val="auto"/>
        </w:rPr>
      </w:pPr>
      <w:r>
        <w:rPr>
          <w:rFonts w:ascii="Courier New" w:cs="Courier New" w:eastAsia="Courier New" w:hAnsi="Courier New"/>
          <w:sz w:val="16"/>
          <w:szCs w:val="16"/>
          <w:color w:val="auto"/>
        </w:rPr>
        <w:t>Under circumstances in which the Board of Trustees of the Trust (the "Board of Trustees" or "Board") determines that the use of the name of the Trust is not practicable, the Trust may use any other designation or name for the Trust.</w:t>
      </w:r>
    </w:p>
    <w:p>
      <w:pPr>
        <w:spacing w:after="0" w:line="7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II</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FORMATION</w:t>
      </w:r>
    </w:p>
    <w:p>
      <w:pPr>
        <w:spacing w:after="0" w:line="195"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w:t>
      </w:r>
    </w:p>
    <w:p>
      <w:pPr>
        <w:spacing w:after="0" w:line="8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III</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PURPOSES AND POWERS</w:t>
      </w:r>
    </w:p>
    <w:p>
      <w:pPr>
        <w:spacing w:after="0" w:line="195" w:lineRule="exact"/>
        <w:rPr>
          <w:sz w:val="20"/>
          <w:szCs w:val="20"/>
          <w:color w:val="auto"/>
        </w:rPr>
      </w:pPr>
    </w:p>
    <w:p>
      <w:pPr>
        <w:ind w:right="2799" w:firstLine="196"/>
        <w:spacing w:after="0" w:line="280" w:lineRule="auto"/>
        <w:rPr>
          <w:sz w:val="20"/>
          <w:szCs w:val="20"/>
          <w:color w:val="auto"/>
        </w:rPr>
      </w:pPr>
      <w:r>
        <w:rPr>
          <w:rFonts w:ascii="Courier New" w:cs="Courier New" w:eastAsia="Courier New" w:hAnsi="Courier New"/>
          <w:sz w:val="16"/>
          <w:szCs w:val="16"/>
          <w:color w:val="auto"/>
        </w:rPr>
        <w:t>Section 3.1 Purposes.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w:t>
      </w:r>
    </w:p>
    <w:p>
      <w:pPr>
        <w:spacing w:after="0" w:line="70"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Section 3.2 Powers. The Trust has all of the powers granted to real estate investment trusts by Title 8 and all other powers set forth in the Declaration of Trust which are not inconsistent with law and are appropriate to promote and attain the purposes set forth in the Declaration of Trust.</w:t>
      </w:r>
    </w:p>
    <w:p>
      <w:pPr>
        <w:spacing w:after="0" w:line="6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IV</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RESIDENT AGENT</w:t>
      </w:r>
    </w:p>
    <w:p>
      <w:pPr>
        <w:spacing w:after="0" w:line="195"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The name of the resident agent of the Trust in the State of Maryland is CSC Lawyers Incorporating Service Company, whose post office address is 11 E. Chase Street, Baltimore, Maryland 21202. The resident agent is a resident of the State of Maryland. The Trust may have such offices or places of business within or outside the State of Maryland as the Board of Trustees may from time to time determine.</w:t>
      </w:r>
    </w:p>
    <w:p>
      <w:pPr>
        <w:spacing w:after="0" w:line="26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50" w:right="1440" w:bottom="1440" w:gutter="0" w:footer="0" w:header="0"/>
        </w:sectPr>
      </w:pPr>
    </w:p>
    <w:bookmarkStart w:id="42" w:name="page43"/>
    <w:bookmarkEnd w:id="42"/>
    <w:p>
      <w:pPr>
        <w:jc w:val="center"/>
        <w:ind w:right="2499"/>
        <w:spacing w:after="0"/>
        <w:rPr>
          <w:sz w:val="20"/>
          <w:szCs w:val="20"/>
          <w:color w:val="auto"/>
        </w:rPr>
      </w:pPr>
      <w:r>
        <w:rPr>
          <w:rFonts w:ascii="Courier New" w:cs="Courier New" w:eastAsia="Courier New" w:hAnsi="Courier New"/>
          <w:sz w:val="16"/>
          <w:szCs w:val="16"/>
          <w:color w:val="auto"/>
        </w:rPr>
        <w:t>ARTICLE V</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BOARD OF TRUSTEES</w:t>
      </w:r>
    </w:p>
    <w:p>
      <w:pPr>
        <w:spacing w:after="0" w:line="195" w:lineRule="exact"/>
        <w:rPr>
          <w:sz w:val="20"/>
          <w:szCs w:val="20"/>
          <w:color w:val="auto"/>
        </w:rPr>
      </w:pPr>
    </w:p>
    <w:p>
      <w:pPr>
        <w:ind w:right="2599" w:firstLine="196"/>
        <w:spacing w:after="0" w:line="257" w:lineRule="auto"/>
        <w:rPr>
          <w:sz w:val="20"/>
          <w:szCs w:val="20"/>
          <w:color w:val="auto"/>
        </w:rPr>
      </w:pPr>
      <w:r>
        <w:rPr>
          <w:rFonts w:ascii="Courier New" w:cs="Courier New" w:eastAsia="Courier New" w:hAnsi="Courier New"/>
          <w:sz w:val="16"/>
          <w:szCs w:val="16"/>
          <w:color w:val="auto"/>
        </w:rPr>
        <w:t>Section 5.1 Powers.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w:t>
      </w:r>
    </w:p>
    <w:p>
      <w:pPr>
        <w:spacing w:after="0" w:line="96"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w:t>
      </w:r>
    </w:p>
    <w:p>
      <w:pPr>
        <w:spacing w:after="0" w:line="87"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Section 5.2 Number and Classification. Upon acceptance for record of this Declaration of Trust, the number of Trustees (hereinafter the "Trustees") is nine, which number may be increased or decreased pursuant to the Bylaws of the Trust. Except for Trustees elected solely by holders of one or more series of Preferred Shares, the Trustees shall be elected at every third annual meeting of shareholders in the manner provided in the Bylaws or, in order to fill any vacancy on the Board of Trustees, in the manner provided in the Bylaws. The names and classes of the Trustees who shall serve until the annual meeting of shareholders at which their class comes up for reelection (as provided herein) and until their successors are duly elected and qualify are:</w:t>
      </w:r>
    </w:p>
    <w:p>
      <w:pPr>
        <w:spacing w:after="0" w:line="200" w:lineRule="exact"/>
        <w:rPr>
          <w:sz w:val="20"/>
          <w:szCs w:val="20"/>
          <w:color w:val="auto"/>
        </w:rPr>
      </w:pPr>
    </w:p>
    <w:p>
      <w:pPr>
        <w:spacing w:after="0" w:line="265"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r>
      <w:tr>
        <w:trPr>
          <w:trHeight w:val="2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Samuel J. Gorlitz</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Mark S. Ordan</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George L. Perry</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Kenneth D. Brody</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A. Cornet de Ways Ruart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Walter F. Loeb</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Dennis L. Berman</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III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Kristin Gamble</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III</w:t>
            </w:r>
          </w:p>
        </w:tc>
      </w:tr>
      <w:tr>
        <w:trPr>
          <w:trHeight w:val="2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Steven J. Guttman</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III</w:t>
            </w:r>
          </w:p>
        </w:tc>
      </w:tr>
    </w:tbl>
    <w:p>
      <w:pPr>
        <w:spacing w:after="0" w:line="288"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These Trustees may increase the number of Trustees and fill any vacancy, whether resulting from an increase in the number of Trustees or otherwise, on the Board of Trustees in the manner provided in the Bylaws. It shall not be necessary to list in the Declaration of Trust the names and addresses of any Trustees hereinafter elected.</w:t>
      </w:r>
    </w:p>
    <w:p>
      <w:pPr>
        <w:spacing w:after="0" w:line="70" w:lineRule="exact"/>
        <w:rPr>
          <w:sz w:val="20"/>
          <w:szCs w:val="20"/>
          <w:color w:val="auto"/>
        </w:rPr>
      </w:pPr>
    </w:p>
    <w:p>
      <w:pPr>
        <w:ind w:right="2699" w:firstLine="196"/>
        <w:spacing w:after="0" w:line="261" w:lineRule="auto"/>
        <w:rPr>
          <w:sz w:val="20"/>
          <w:szCs w:val="20"/>
          <w:color w:val="auto"/>
        </w:rPr>
      </w:pPr>
      <w:r>
        <w:rPr>
          <w:rFonts w:ascii="Courier New" w:cs="Courier New" w:eastAsia="Courier New" w:hAnsi="Courier New"/>
          <w:sz w:val="16"/>
          <w:szCs w:val="16"/>
          <w:color w:val="auto"/>
        </w:rPr>
        <w:t>Class I Trustees shall hold office initially for a term expiring at the annual meeting of shareholders in 1999, Class II Trustees shall hold office initially for a term expiring at the annual meeting of shareholders in 2000 and Class III Trustees shall hold office initially for a term expiring at the annual meeting of shareholders in 2001, with the Trustees of each class to hold office until their successors are duly elected and qualify. At each annual meeting of shareholders, the successors to the class of Trustees whose term expires at such meeting shall be elected to hold office for a term expiring at the annual meeting of shareholders held in the third year following the year of their election and until their successors are duly elected and qualify.</w:t>
      </w:r>
    </w:p>
    <w:p>
      <w:pPr>
        <w:spacing w:after="0" w:line="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50" w:right="1440" w:bottom="969" w:gutter="0" w:footer="0" w:header="0"/>
        </w:sectPr>
      </w:pPr>
    </w:p>
    <w:bookmarkStart w:id="43" w:name="page44"/>
    <w:bookmarkEnd w:id="43"/>
    <w:p>
      <w:pPr>
        <w:ind w:right="2599" w:firstLine="196"/>
        <w:spacing w:after="0" w:line="257" w:lineRule="auto"/>
        <w:rPr>
          <w:sz w:val="20"/>
          <w:szCs w:val="20"/>
          <w:color w:val="auto"/>
        </w:rPr>
      </w:pPr>
      <w:r>
        <w:rPr>
          <w:rFonts w:ascii="Courier New" w:cs="Courier New" w:eastAsia="Courier New" w:hAnsi="Courier New"/>
          <w:sz w:val="16"/>
          <w:szCs w:val="16"/>
          <w:color w:val="auto"/>
        </w:rPr>
        <w:t>Section 5.3 Resignation or Removal.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with cause, at a meeting of the shareholders, by the affirmative vote of the holders of not less than two-thirds of the Shares then outstanding and entitled to vote generally in the election of Trustees. For purposes of this Declaration, "cause", with respect to the removal of any Trustee, shall mean only (i) conviction of a felony, (ii) declaration of unsound mind by order of a court, (iii) 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90"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VI</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SHARES OF BENEFICIAL INTEREST</w:t>
      </w:r>
    </w:p>
    <w:p>
      <w:pPr>
        <w:spacing w:after="0" w:line="195" w:lineRule="exact"/>
        <w:rPr>
          <w:sz w:val="20"/>
          <w:szCs w:val="20"/>
          <w:color w:val="auto"/>
        </w:rPr>
      </w:pPr>
    </w:p>
    <w:p>
      <w:pPr>
        <w:ind w:right="2599" w:firstLine="196"/>
        <w:spacing w:after="0" w:line="256" w:lineRule="auto"/>
        <w:rPr>
          <w:sz w:val="20"/>
          <w:szCs w:val="20"/>
          <w:color w:val="auto"/>
        </w:rPr>
      </w:pPr>
      <w:r>
        <w:rPr>
          <w:rFonts w:ascii="Courier New" w:cs="Courier New" w:eastAsia="Courier New" w:hAnsi="Courier New"/>
          <w:sz w:val="16"/>
          <w:szCs w:val="16"/>
          <w:color w:val="auto"/>
        </w:rPr>
        <w:t>Section 6.1 Authorized Shares.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w:t>
      </w:r>
    </w:p>
    <w:p>
      <w:pPr>
        <w:spacing w:after="0" w:line="91"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Section 6.2 Common Shares.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w:t>
      </w:r>
    </w:p>
    <w:p>
      <w:pPr>
        <w:spacing w:after="0" w:line="70" w:lineRule="exact"/>
        <w:rPr>
          <w:sz w:val="20"/>
          <w:szCs w:val="20"/>
          <w:color w:val="auto"/>
        </w:rPr>
      </w:pPr>
    </w:p>
    <w:p>
      <w:pPr>
        <w:ind w:right="3079" w:firstLine="196"/>
        <w:spacing w:after="0" w:line="290" w:lineRule="auto"/>
        <w:rPr>
          <w:sz w:val="20"/>
          <w:szCs w:val="20"/>
          <w:color w:val="auto"/>
        </w:rPr>
      </w:pPr>
      <w:r>
        <w:rPr>
          <w:rFonts w:ascii="Courier New" w:cs="Courier New" w:eastAsia="Courier New" w:hAnsi="Courier New"/>
          <w:sz w:val="16"/>
          <w:szCs w:val="16"/>
          <w:color w:val="auto"/>
        </w:rPr>
        <w:t>Section 6.3 Preferred Shares. The Board of Trustees may classify any unissued Preferred Shares and reclassify any previously classified but unissued Preferred Shares of any series from time to time, in one or more series of Shares.</w:t>
      </w:r>
    </w:p>
    <w:p>
      <w:pPr>
        <w:spacing w:after="0" w:line="6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6.4 Series A Preferred Shares</w:t>
      </w:r>
    </w:p>
    <w:p>
      <w:pPr>
        <w:spacing w:after="0" w:line="195" w:lineRule="exact"/>
        <w:rPr>
          <w:sz w:val="20"/>
          <w:szCs w:val="20"/>
          <w:color w:val="auto"/>
        </w:rPr>
      </w:pPr>
    </w:p>
    <w:p>
      <w:pPr>
        <w:ind w:right="2799" w:firstLine="196"/>
        <w:spacing w:after="0" w:line="373" w:lineRule="auto"/>
        <w:rPr>
          <w:sz w:val="20"/>
          <w:szCs w:val="20"/>
          <w:color w:val="auto"/>
        </w:rPr>
      </w:pPr>
      <w:r>
        <w:rPr>
          <w:rFonts w:ascii="Courier New" w:cs="Courier New" w:eastAsia="Courier New" w:hAnsi="Courier New"/>
          <w:sz w:val="16"/>
          <w:szCs w:val="16"/>
          <w:color w:val="auto"/>
        </w:rPr>
        <w:t>Section 6.4.1 Number of Shares. The number of shares of Series A Preferred Shares is 4,000,000.</w:t>
      </w:r>
    </w:p>
    <w:p>
      <w:pPr>
        <w:ind w:right="2879" w:firstLine="196"/>
        <w:spacing w:after="0" w:line="373" w:lineRule="auto"/>
        <w:rPr>
          <w:sz w:val="20"/>
          <w:szCs w:val="20"/>
          <w:color w:val="auto"/>
        </w:rPr>
      </w:pPr>
      <w:r>
        <w:rPr>
          <w:rFonts w:ascii="Courier New" w:cs="Courier New" w:eastAsia="Courier New" w:hAnsi="Courier New"/>
          <w:sz w:val="16"/>
          <w:szCs w:val="16"/>
          <w:color w:val="auto"/>
        </w:rPr>
        <w:t>Section 6.4.2 Definitions. In this Section 6.4, the following terms shall have the following meanings herein:</w:t>
      </w:r>
    </w:p>
    <w:p>
      <w:pPr>
        <w:ind w:right="2599" w:firstLine="196"/>
        <w:spacing w:after="0" w:line="311" w:lineRule="auto"/>
        <w:tabs>
          <w:tab w:leader="none" w:pos="58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Trustees" shall mean the Board of Trustees of the Trust or any committee authorized by the Board of Trustees to perform any of its responsibilities with respect to the Series A Preferred Shares.</w:t>
      </w:r>
    </w:p>
    <w:p>
      <w:pPr>
        <w:spacing w:after="0" w:line="47" w:lineRule="exact"/>
        <w:rPr>
          <w:rFonts w:ascii="Courier New" w:cs="Courier New" w:eastAsia="Courier New" w:hAnsi="Courier New"/>
          <w:sz w:val="16"/>
          <w:szCs w:val="16"/>
          <w:color w:val="auto"/>
        </w:rPr>
      </w:pPr>
    </w:p>
    <w:p>
      <w:pPr>
        <w:jc w:val="both"/>
        <w:ind w:right="2799" w:firstLine="196"/>
        <w:spacing w:after="0" w:line="311" w:lineRule="auto"/>
        <w:tabs>
          <w:tab w:leader="none" w:pos="58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shall mean any day other than a Saturday, Sunday or day on which state or federally chartered banking institutions in New York City, New York are not required to be open.</w:t>
      </w:r>
    </w:p>
    <w:p>
      <w:pPr>
        <w:spacing w:after="0" w:line="47" w:lineRule="exact"/>
        <w:rPr>
          <w:rFonts w:ascii="Courier New" w:cs="Courier New" w:eastAsia="Courier New" w:hAnsi="Courier New"/>
          <w:sz w:val="16"/>
          <w:szCs w:val="16"/>
          <w:color w:val="auto"/>
        </w:rPr>
      </w:pPr>
    </w:p>
    <w:p>
      <w:pPr>
        <w:ind w:left="580" w:hanging="384"/>
        <w:spacing w:after="0"/>
        <w:tabs>
          <w:tab w:leader="none" w:pos="5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 Date" shall have the meaning set forth in Section 6.4.6(b).</w:t>
      </w:r>
    </w:p>
    <w:p>
      <w:pPr>
        <w:spacing w:after="0" w:line="194" w:lineRule="exact"/>
        <w:rPr>
          <w:rFonts w:ascii="Courier New" w:cs="Courier New" w:eastAsia="Courier New" w:hAnsi="Courier New"/>
          <w:sz w:val="16"/>
          <w:szCs w:val="16"/>
          <w:color w:val="auto"/>
        </w:rPr>
      </w:pPr>
    </w:p>
    <w:p>
      <w:pPr>
        <w:ind w:left="580" w:hanging="384"/>
        <w:spacing w:after="0"/>
        <w:tabs>
          <w:tab w:leader="none" w:pos="5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Gains Amount" shall have the meaning set forth in Section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6.4.3(d).</w:t>
      </w:r>
    </w:p>
    <w:p>
      <w:pPr>
        <w:spacing w:after="0" w:line="165" w:lineRule="exact"/>
        <w:rPr>
          <w:sz w:val="20"/>
          <w:szCs w:val="20"/>
          <w:color w:val="auto"/>
        </w:rPr>
      </w:pPr>
    </w:p>
    <w:p>
      <w:pPr>
        <w:ind w:right="2699" w:firstLine="196"/>
        <w:spacing w:after="0" w:line="311" w:lineRule="auto"/>
        <w:tabs>
          <w:tab w:leader="none" w:pos="58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Payment Date" shall mean the last calendar day (or, if such day is not a Business Day, the next Business Day thereafter) of each January, April, July and October, commencing on October 31, 1997.</w:t>
      </w:r>
    </w:p>
    <w:p>
      <w:pPr>
        <w:spacing w:after="0" w:line="4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50" w:right="1440" w:bottom="1157" w:gutter="0" w:footer="0" w:header="0"/>
        </w:sectPr>
      </w:pPr>
    </w:p>
    <w:bookmarkStart w:id="44" w:name="page45"/>
    <w:bookmarkEnd w:id="44"/>
    <w:p>
      <w:pPr>
        <w:ind w:right="2599" w:firstLine="196"/>
        <w:spacing w:after="0" w:line="269" w:lineRule="auto"/>
        <w:tabs>
          <w:tab w:leader="none" w:pos="58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6.4.6, which shall end on and include the Call Date with respect to the Series A Preferred Shares being redeemed).</w:t>
      </w:r>
    </w:p>
    <w:p>
      <w:pPr>
        <w:spacing w:after="0" w:line="81" w:lineRule="exact"/>
        <w:rPr>
          <w:rFonts w:ascii="Courier New" w:cs="Courier New" w:eastAsia="Courier New" w:hAnsi="Courier New"/>
          <w:sz w:val="16"/>
          <w:szCs w:val="16"/>
          <w:color w:val="auto"/>
        </w:rPr>
      </w:pPr>
    </w:p>
    <w:p>
      <w:pPr>
        <w:ind w:right="2599" w:firstLine="196"/>
        <w:spacing w:after="0" w:line="280" w:lineRule="auto"/>
        <w:tabs>
          <w:tab w:leader="none" w:pos="58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70" w:lineRule="exact"/>
        <w:rPr>
          <w:sz w:val="20"/>
          <w:szCs w:val="20"/>
          <w:color w:val="auto"/>
        </w:rPr>
      </w:pPr>
    </w:p>
    <w:p>
      <w:pPr>
        <w:ind w:right="2879" w:firstLine="196"/>
        <w:spacing w:after="0" w:line="373" w:lineRule="auto"/>
        <w:rPr>
          <w:sz w:val="20"/>
          <w:szCs w:val="20"/>
          <w:color w:val="auto"/>
        </w:rPr>
      </w:pPr>
      <w:r>
        <w:rPr>
          <w:rFonts w:ascii="Courier New" w:cs="Courier New" w:eastAsia="Courier New" w:hAnsi="Courier New"/>
          <w:sz w:val="16"/>
          <w:szCs w:val="16"/>
          <w:color w:val="auto"/>
        </w:rPr>
        <w:t>(h)"Issue Date" shall mean the first date on which the pertinent Series A Preferred Shares are issued and sold.</w:t>
      </w:r>
    </w:p>
    <w:p>
      <w:pPr>
        <w:ind w:right="2799" w:firstLine="196"/>
        <w:spacing w:after="0" w:line="280" w:lineRule="auto"/>
        <w:tabs>
          <w:tab w:leader="none" w:pos="58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w:t>
      </w:r>
    </w:p>
    <w:p>
      <w:pPr>
        <w:spacing w:after="0" w:line="70" w:lineRule="exact"/>
        <w:rPr>
          <w:rFonts w:ascii="Courier New" w:cs="Courier New" w:eastAsia="Courier New" w:hAnsi="Courier New"/>
          <w:sz w:val="16"/>
          <w:szCs w:val="16"/>
          <w:color w:val="auto"/>
        </w:rPr>
      </w:pPr>
    </w:p>
    <w:p>
      <w:pPr>
        <w:ind w:left="580" w:hanging="384"/>
        <w:spacing w:after="0"/>
        <w:tabs>
          <w:tab w:leader="none" w:pos="5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"Parity Shares" shall have the meaning set forth in Section 6.4.8(b).</w:t>
      </w:r>
    </w:p>
    <w:p>
      <w:pPr>
        <w:spacing w:after="0" w:line="194" w:lineRule="exact"/>
        <w:rPr>
          <w:rFonts w:ascii="Courier New" w:cs="Courier New" w:eastAsia="Courier New" w:hAnsi="Courier New"/>
          <w:sz w:val="16"/>
          <w:szCs w:val="16"/>
          <w:color w:val="auto"/>
        </w:rPr>
      </w:pPr>
    </w:p>
    <w:p>
      <w:pPr>
        <w:ind w:right="2879" w:firstLine="196"/>
        <w:spacing w:after="0" w:line="373" w:lineRule="auto"/>
        <w:tabs>
          <w:tab w:leader="none" w:pos="58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Shares" shall mean the preferred shares of the Trust, $.01 par value per share.</w:t>
      </w:r>
    </w:p>
    <w:p>
      <w:pPr>
        <w:ind w:left="580" w:hanging="384"/>
        <w:spacing w:after="0"/>
        <w:tabs>
          <w:tab w:leader="none" w:pos="5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Preferred Shares" shall have the meaning set forth in Section</w:t>
      </w:r>
    </w:p>
    <w:p>
      <w:pPr>
        <w:spacing w:after="0" w:line="3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6.1.</w:t>
      </w:r>
    </w:p>
    <w:p>
      <w:pPr>
        <w:spacing w:after="0" w:line="164" w:lineRule="exact"/>
        <w:rPr>
          <w:rFonts w:ascii="Courier New" w:cs="Courier New" w:eastAsia="Courier New" w:hAnsi="Courier New"/>
          <w:sz w:val="16"/>
          <w:szCs w:val="16"/>
          <w:color w:val="auto"/>
        </w:rPr>
      </w:pPr>
    </w:p>
    <w:p>
      <w:pPr>
        <w:ind w:right="2599" w:firstLine="196"/>
        <w:spacing w:after="0" w:line="259" w:lineRule="auto"/>
        <w:tabs>
          <w:tab w:leader="none" w:pos="58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88" w:lineRule="exact"/>
        <w:rPr>
          <w:rFonts w:ascii="Courier New" w:cs="Courier New" w:eastAsia="Courier New" w:hAnsi="Courier New"/>
          <w:sz w:val="16"/>
          <w:szCs w:val="16"/>
          <w:color w:val="auto"/>
        </w:rPr>
      </w:pPr>
    </w:p>
    <w:p>
      <w:pPr>
        <w:ind w:left="580" w:hanging="384"/>
        <w:spacing w:after="0"/>
        <w:tabs>
          <w:tab w:leader="none" w:pos="5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Dividends" shall have the meaning set forth in Section 6.4.3(d).</w:t>
      </w:r>
    </w:p>
    <w:p>
      <w:pPr>
        <w:spacing w:after="0" w:line="194" w:lineRule="exact"/>
        <w:rPr>
          <w:rFonts w:ascii="Courier New" w:cs="Courier New" w:eastAsia="Courier New" w:hAnsi="Courier New"/>
          <w:sz w:val="16"/>
          <w:szCs w:val="16"/>
          <w:color w:val="auto"/>
        </w:rPr>
      </w:pPr>
    </w:p>
    <w:p>
      <w:pPr>
        <w:ind w:right="2699" w:firstLine="196"/>
        <w:spacing w:after="0" w:line="290" w:lineRule="auto"/>
        <w:tabs>
          <w:tab w:leader="none" w:pos="58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6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6.4.3 Dividends.</w:t>
      </w:r>
    </w:p>
    <w:p>
      <w:pPr>
        <w:spacing w:after="0" w:line="195" w:lineRule="exact"/>
        <w:rPr>
          <w:sz w:val="20"/>
          <w:szCs w:val="20"/>
          <w:color w:val="auto"/>
        </w:rPr>
      </w:pPr>
    </w:p>
    <w:p>
      <w:pPr>
        <w:ind w:right="2599" w:firstLine="196"/>
        <w:spacing w:after="0" w:line="255" w:lineRule="auto"/>
        <w:tabs>
          <w:tab w:leader="none" w:pos="5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pacing w:after="0" w:line="2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50" w:right="1440" w:bottom="1157" w:gutter="0" w:footer="0" w:header="0"/>
        </w:sectPr>
      </w:pPr>
    </w:p>
    <w:bookmarkStart w:id="45" w:name="page46"/>
    <w:bookmarkEnd w:id="45"/>
    <w:p>
      <w:pPr>
        <w:ind w:left="-196" w:right="2599" w:firstLine="196"/>
        <w:spacing w:after="0" w:line="260" w:lineRule="auto"/>
        <w:tabs>
          <w:tab w:leader="none" w:pos="39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dividends referred to in Section 6.4.3(a)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87" w:lineRule="exact"/>
        <w:rPr>
          <w:rFonts w:ascii="Courier New" w:cs="Courier New" w:eastAsia="Courier New" w:hAnsi="Courier New"/>
          <w:sz w:val="16"/>
          <w:szCs w:val="16"/>
          <w:color w:val="auto"/>
        </w:rPr>
      </w:pPr>
    </w:p>
    <w:p>
      <w:pPr>
        <w:ind w:left="-196" w:right="2799" w:firstLine="196"/>
        <w:spacing w:after="0" w:line="311" w:lineRule="auto"/>
        <w:tabs>
          <w:tab w:leader="none" w:pos="39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Series A Preferred Shares will accrue whether or not the Trust has earnings, whether or not there are funds legally available for the payment of such dividends and whether or not such dividends are declared.</w:t>
      </w:r>
    </w:p>
    <w:p>
      <w:pPr>
        <w:spacing w:after="0" w:line="47" w:lineRule="exact"/>
        <w:rPr>
          <w:rFonts w:ascii="Courier New" w:cs="Courier New" w:eastAsia="Courier New" w:hAnsi="Courier New"/>
          <w:sz w:val="16"/>
          <w:szCs w:val="16"/>
          <w:color w:val="auto"/>
        </w:rPr>
      </w:pPr>
    </w:p>
    <w:p>
      <w:pPr>
        <w:ind w:left="-196" w:right="2599" w:firstLine="196"/>
        <w:spacing w:after="0" w:line="264" w:lineRule="auto"/>
        <w:tabs>
          <w:tab w:leader="none" w:pos="39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284" w:lineRule="exact"/>
        <w:rPr>
          <w:rFonts w:ascii="Courier New" w:cs="Courier New" w:eastAsia="Courier New" w:hAnsi="Courier New"/>
          <w:sz w:val="16"/>
          <w:szCs w:val="16"/>
          <w:color w:val="auto"/>
        </w:rPr>
      </w:pPr>
    </w:p>
    <w:p>
      <w:pPr>
        <w:ind w:left="-196" w:right="2599" w:firstLine="196"/>
        <w:spacing w:after="0" w:line="259" w:lineRule="auto"/>
        <w:tabs>
          <w:tab w:leader="none" w:pos="39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 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88" w:lineRule="exact"/>
        <w:rPr>
          <w:rFonts w:ascii="Courier New" w:cs="Courier New" w:eastAsia="Courier New" w:hAnsi="Courier New"/>
          <w:sz w:val="16"/>
          <w:szCs w:val="16"/>
          <w:color w:val="auto"/>
        </w:rPr>
      </w:pPr>
    </w:p>
    <w:p>
      <w:pPr>
        <w:ind w:left="-196" w:right="2599" w:firstLine="196"/>
        <w:spacing w:after="0" w:line="255" w:lineRule="auto"/>
        <w:tabs>
          <w:tab w:leader="none" w:pos="39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283" w:lineRule="exact"/>
        <w:rPr>
          <w:rFonts w:ascii="Courier New" w:cs="Courier New" w:eastAsia="Courier New" w:hAnsi="Courier New"/>
          <w:sz w:val="16"/>
          <w:szCs w:val="16"/>
          <w:color w:val="auto"/>
        </w:rPr>
      </w:pPr>
    </w:p>
    <w:p>
      <w:pPr>
        <w:ind w:left="-196" w:right="2699" w:firstLine="196"/>
        <w:spacing w:after="0" w:line="266" w:lineRule="auto"/>
        <w:tabs>
          <w:tab w:leader="none" w:pos="39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Section 6.4.4 Liquidation Rights.</w:t>
      </w:r>
    </w:p>
    <w:p>
      <w:pPr>
        <w:spacing w:after="0" w:line="195" w:lineRule="exact"/>
        <w:rPr>
          <w:sz w:val="20"/>
          <w:szCs w:val="20"/>
          <w:color w:val="auto"/>
        </w:rPr>
      </w:pPr>
    </w:p>
    <w:p>
      <w:pPr>
        <w:ind w:left="-196" w:right="2599" w:firstLine="196"/>
        <w:spacing w:after="0" w:line="311" w:lineRule="auto"/>
        <w:tabs>
          <w:tab w:leader="none" w:pos="39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liquidation, dissolution or winding up of the Trust, whether voluntary or involuntary, before any payment or distribution of the assets of the Trust (whether capital or surplus) shall be made to or</w:t>
      </w:r>
    </w:p>
    <w:p>
      <w:pPr>
        <w:spacing w:after="0" w:line="47" w:lineRule="exact"/>
        <w:rPr>
          <w:sz w:val="20"/>
          <w:szCs w:val="20"/>
          <w:color w:val="auto"/>
        </w:rPr>
      </w:pPr>
    </w:p>
    <w:p>
      <w:pPr>
        <w:ind w:left="3524"/>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023"/>
          </w:cols>
          <w:pgMar w:left="436" w:top="650" w:right="1440" w:bottom="781" w:gutter="0" w:footer="0" w:header="0"/>
        </w:sectPr>
      </w:pPr>
    </w:p>
    <w:bookmarkStart w:id="46" w:name="page47"/>
    <w:bookmarkEnd w:id="46"/>
    <w:p>
      <w:pPr>
        <w:ind w:right="2599"/>
        <w:spacing w:after="0" w:line="255" w:lineRule="auto"/>
        <w:rPr>
          <w:sz w:val="20"/>
          <w:szCs w:val="20"/>
          <w:color w:val="auto"/>
        </w:rPr>
      </w:pPr>
      <w:r>
        <w:rPr>
          <w:rFonts w:ascii="Courier New" w:cs="Courier New" w:eastAsia="Courier New" w:hAnsi="Courier New"/>
          <w:sz w:val="16"/>
          <w:szCs w:val="16"/>
          <w:color w:val="auto"/>
        </w:rPr>
        <w:t>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6.4.4,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288" w:lineRule="exact"/>
        <w:rPr>
          <w:sz w:val="20"/>
          <w:szCs w:val="20"/>
          <w:color w:val="auto"/>
        </w:rPr>
      </w:pPr>
    </w:p>
    <w:p>
      <w:pPr>
        <w:ind w:right="2599" w:firstLine="196"/>
        <w:spacing w:after="0" w:line="262" w:lineRule="auto"/>
        <w:tabs>
          <w:tab w:leader="none" w:pos="586"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6.4.4,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89" w:lineRule="exact"/>
        <w:rPr>
          <w:sz w:val="20"/>
          <w:szCs w:val="20"/>
          <w:color w:val="auto"/>
        </w:rPr>
      </w:pPr>
    </w:p>
    <w:p>
      <w:pPr>
        <w:ind w:right="2699" w:firstLine="196"/>
        <w:spacing w:after="0" w:line="373" w:lineRule="auto"/>
        <w:rPr>
          <w:sz w:val="20"/>
          <w:szCs w:val="20"/>
          <w:color w:val="auto"/>
        </w:rPr>
      </w:pPr>
      <w:r>
        <w:rPr>
          <w:rFonts w:ascii="Courier New" w:cs="Courier New" w:eastAsia="Courier New" w:hAnsi="Courier New"/>
          <w:sz w:val="16"/>
          <w:szCs w:val="16"/>
          <w:color w:val="auto"/>
        </w:rPr>
        <w:t>Section 6.4.5 Conversion. The Series A Preferred Shares are not convertible or exchangeable for any other property or securities of the Trust.</w:t>
      </w:r>
    </w:p>
    <w:p>
      <w:pPr>
        <w:ind w:left="200"/>
        <w:spacing w:after="0"/>
        <w:rPr>
          <w:sz w:val="20"/>
          <w:szCs w:val="20"/>
          <w:color w:val="auto"/>
        </w:rPr>
      </w:pPr>
      <w:r>
        <w:rPr>
          <w:rFonts w:ascii="Courier New" w:cs="Courier New" w:eastAsia="Courier New" w:hAnsi="Courier New"/>
          <w:sz w:val="16"/>
          <w:szCs w:val="16"/>
          <w:color w:val="auto"/>
        </w:rPr>
        <w:t>Section 6.4.6 Redemption at the Option of the Trust.</w:t>
      </w:r>
    </w:p>
    <w:p>
      <w:pPr>
        <w:spacing w:after="0" w:line="195" w:lineRule="exact"/>
        <w:rPr>
          <w:sz w:val="20"/>
          <w:szCs w:val="20"/>
          <w:color w:val="auto"/>
        </w:rPr>
      </w:pPr>
    </w:p>
    <w:p>
      <w:pPr>
        <w:ind w:right="2599" w:firstLine="196"/>
        <w:spacing w:after="0" w:line="280" w:lineRule="auto"/>
        <w:tabs>
          <w:tab w:leader="none" w:pos="58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w:t>
      </w:r>
    </w:p>
    <w:p>
      <w:pPr>
        <w:spacing w:after="0" w:line="70" w:lineRule="exact"/>
        <w:rPr>
          <w:rFonts w:ascii="Courier New" w:cs="Courier New" w:eastAsia="Courier New" w:hAnsi="Courier New"/>
          <w:sz w:val="16"/>
          <w:szCs w:val="16"/>
          <w:color w:val="auto"/>
        </w:rPr>
      </w:pPr>
    </w:p>
    <w:p>
      <w:pPr>
        <w:ind w:right="2699" w:firstLine="196"/>
        <w:spacing w:after="0" w:line="261" w:lineRule="auto"/>
        <w:tabs>
          <w:tab w:leader="none" w:pos="58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redemption of the Series A Preferred Shares pursuant to this Section 6.4.6,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87" w:lineRule="exact"/>
        <w:rPr>
          <w:rFonts w:ascii="Courier New" w:cs="Courier New" w:eastAsia="Courier New" w:hAnsi="Courier New"/>
          <w:sz w:val="16"/>
          <w:szCs w:val="16"/>
          <w:color w:val="auto"/>
        </w:rPr>
      </w:pPr>
    </w:p>
    <w:p>
      <w:pPr>
        <w:ind w:right="2599" w:firstLine="196"/>
        <w:spacing w:after="0" w:line="266" w:lineRule="auto"/>
        <w:tabs>
          <w:tab w:leader="none" w:pos="58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6.4.6 in part and the Trust may not purchase or acquire the Series A Preferred Shares or any Parity Shares, otherwise than pursuant to a purchase or exchange offer made on the same terms to all holders of Series A Preferred Shares or Parity Shares, as the case may be.</w:t>
      </w:r>
    </w:p>
    <w:p>
      <w:pPr>
        <w:spacing w:after="0" w:line="84" w:lineRule="exact"/>
        <w:rPr>
          <w:rFonts w:ascii="Courier New" w:cs="Courier New" w:eastAsia="Courier New" w:hAnsi="Courier New"/>
          <w:sz w:val="16"/>
          <w:szCs w:val="16"/>
          <w:color w:val="auto"/>
        </w:rPr>
      </w:pPr>
    </w:p>
    <w:p>
      <w:pPr>
        <w:ind w:right="2599" w:firstLine="196"/>
        <w:spacing w:after="0" w:line="260" w:lineRule="auto"/>
        <w:tabs>
          <w:tab w:leader="none" w:pos="58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the redemption of any Series A Preferred Shares under this Section 6.4.6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6.4.6(d),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A</w:t>
      </w:r>
    </w:p>
    <w:p>
      <w:pPr>
        <w:spacing w:after="0" w:line="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650" w:right="1440" w:bottom="969" w:gutter="0" w:footer="0" w:header="0"/>
        </w:sectPr>
      </w:pPr>
    </w:p>
    <w:bookmarkStart w:id="47" w:name="page48"/>
    <w:bookmarkEnd w:id="47"/>
    <w:p>
      <w:pPr>
        <w:ind w:right="2599"/>
        <w:spacing w:after="0" w:line="253" w:lineRule="auto"/>
        <w:rPr>
          <w:sz w:val="20"/>
          <w:szCs w:val="20"/>
          <w:color w:val="auto"/>
        </w:rPr>
      </w:pPr>
      <w:r>
        <w:rPr>
          <w:rFonts w:ascii="Courier New" w:cs="Courier New" w:eastAsia="Courier New" w:hAnsi="Courier New"/>
          <w:sz w:val="16"/>
          <w:szCs w:val="16"/>
          <w:color w:val="auto"/>
        </w:rPr>
        <w:t>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101" w:lineRule="exact"/>
        <w:rPr>
          <w:sz w:val="20"/>
          <w:szCs w:val="20"/>
          <w:color w:val="auto"/>
        </w:rPr>
      </w:pPr>
    </w:p>
    <w:p>
      <w:pPr>
        <w:ind w:right="2599" w:firstLine="196"/>
        <w:spacing w:after="0" w:line="260" w:lineRule="auto"/>
        <w:rPr>
          <w:sz w:val="20"/>
          <w:szCs w:val="20"/>
          <w:color w:val="auto"/>
        </w:rPr>
      </w:pPr>
      <w:r>
        <w:rPr>
          <w:rFonts w:ascii="Courier New" w:cs="Courier New" w:eastAsia="Courier New" w:hAnsi="Courier New"/>
          <w:sz w:val="16"/>
          <w:szCs w:val="16"/>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w:t>
      </w:r>
    </w:p>
    <w:p>
      <w:pPr>
        <w:spacing w:after="0" w:line="87" w:lineRule="exact"/>
        <w:rPr>
          <w:sz w:val="20"/>
          <w:szCs w:val="20"/>
          <w:color w:val="auto"/>
        </w:rPr>
      </w:pPr>
    </w:p>
    <w:p>
      <w:pPr>
        <w:ind w:right="2879" w:firstLine="196"/>
        <w:spacing w:after="0" w:line="290" w:lineRule="auto"/>
        <w:rPr>
          <w:sz w:val="20"/>
          <w:szCs w:val="20"/>
          <w:color w:val="auto"/>
        </w:rPr>
      </w:pPr>
      <w:r>
        <w:rPr>
          <w:rFonts w:ascii="Courier New" w:cs="Courier New" w:eastAsia="Courier New" w:hAnsi="Courier New"/>
          <w:sz w:val="16"/>
          <w:szCs w:val="16"/>
          <w:color w:val="auto"/>
        </w:rPr>
        <w:t>Section 6.4.7 Shares to be Retired. All Series A Preferred Shares which shall have been issued and reacquired in any manner by the Trust shall be restored to the status of authorized but unissued Preferred Shares, without designation as to class or series.</w:t>
      </w:r>
    </w:p>
    <w:p>
      <w:pPr>
        <w:spacing w:after="0" w:line="64" w:lineRule="exact"/>
        <w:rPr>
          <w:sz w:val="20"/>
          <w:szCs w:val="20"/>
          <w:color w:val="auto"/>
        </w:rPr>
      </w:pPr>
    </w:p>
    <w:p>
      <w:pPr>
        <w:ind w:right="2599"/>
        <w:spacing w:after="0" w:line="373" w:lineRule="auto"/>
        <w:rPr>
          <w:sz w:val="20"/>
          <w:szCs w:val="20"/>
          <w:color w:val="auto"/>
        </w:rPr>
      </w:pPr>
      <w:r>
        <w:rPr>
          <w:rFonts w:ascii="Courier New" w:cs="Courier New" w:eastAsia="Courier New" w:hAnsi="Courier New"/>
          <w:sz w:val="16"/>
          <w:szCs w:val="16"/>
          <w:color w:val="auto"/>
        </w:rPr>
        <w:t>Section 6.4.8 Ranking. Any class or series of shares of beneficial interest of the Trust shall be deemed to rank:</w:t>
      </w:r>
    </w:p>
    <w:p>
      <w:pPr>
        <w:ind w:right="2599" w:firstLine="196"/>
        <w:spacing w:after="0" w:line="273" w:lineRule="auto"/>
        <w:tabs>
          <w:tab w:leader="none" w:pos="58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78" w:lineRule="exact"/>
        <w:rPr>
          <w:rFonts w:ascii="Courier New" w:cs="Courier New" w:eastAsia="Courier New" w:hAnsi="Courier New"/>
          <w:sz w:val="16"/>
          <w:szCs w:val="16"/>
          <w:color w:val="auto"/>
        </w:rPr>
      </w:pPr>
    </w:p>
    <w:p>
      <w:pPr>
        <w:ind w:right="2599" w:firstLine="196"/>
        <w:spacing w:after="0" w:line="262" w:lineRule="auto"/>
        <w:tabs>
          <w:tab w:leader="none" w:pos="58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88" w:lineRule="exact"/>
        <w:rPr>
          <w:rFonts w:ascii="Courier New" w:cs="Courier New" w:eastAsia="Courier New" w:hAnsi="Courier New"/>
          <w:sz w:val="16"/>
          <w:szCs w:val="16"/>
          <w:color w:val="auto"/>
        </w:rPr>
      </w:pPr>
    </w:p>
    <w:p>
      <w:pPr>
        <w:ind w:right="2699" w:firstLine="196"/>
        <w:spacing w:after="0" w:line="311" w:lineRule="auto"/>
        <w:tabs>
          <w:tab w:leader="none" w:pos="58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junior to the Series A Preferred Shares, as to the payment of dividends or as to the distribution of assets upon liquidation, dissolution or winding up, if such shares shall be Junior Shares; and</w:t>
      </w:r>
    </w:p>
    <w:p>
      <w:pPr>
        <w:spacing w:after="0" w:line="47" w:lineRule="exact"/>
        <w:rPr>
          <w:rFonts w:ascii="Courier New" w:cs="Courier New" w:eastAsia="Courier New" w:hAnsi="Courier New"/>
          <w:sz w:val="16"/>
          <w:szCs w:val="16"/>
          <w:color w:val="auto"/>
        </w:rPr>
      </w:pPr>
    </w:p>
    <w:p>
      <w:pPr>
        <w:jc w:val="both"/>
        <w:ind w:right="2699" w:firstLine="196"/>
        <w:spacing w:after="0" w:line="311" w:lineRule="auto"/>
        <w:tabs>
          <w:tab w:leader="none" w:pos="58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junior to the Series A Preferred Shares, as to the payment of dividends and as to the distribution of assets upon liquidation, dissolution or winding up, if such shares shall be Fully Junior Shares.</w:t>
      </w:r>
    </w:p>
    <w:p>
      <w:pPr>
        <w:spacing w:after="0" w:line="4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650" w:right="1440" w:bottom="1157" w:gutter="0" w:footer="0" w:header="0"/>
        </w:sectPr>
      </w:pPr>
    </w:p>
    <w:bookmarkStart w:id="48" w:name="page49"/>
    <w:bookmarkEnd w:id="48"/>
    <w:p>
      <w:pPr>
        <w:ind w:right="2599" w:firstLine="196"/>
        <w:spacing w:after="0" w:line="251" w:lineRule="auto"/>
        <w:rPr>
          <w:sz w:val="20"/>
          <w:szCs w:val="20"/>
          <w:color w:val="auto"/>
        </w:rPr>
      </w:pPr>
      <w:r>
        <w:rPr>
          <w:rFonts w:ascii="Courier New" w:cs="Courier New" w:eastAsia="Courier New" w:hAnsi="Courier New"/>
          <w:sz w:val="16"/>
          <w:szCs w:val="16"/>
          <w:color w:val="auto"/>
        </w:rPr>
        <w:t>Section 6.4.9 Voting.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he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A Preferred Shares may call such meeting, upon the notice above provided, and for that purchase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305" w:lineRule="exact"/>
        <w:rPr>
          <w:sz w:val="20"/>
          <w:szCs w:val="20"/>
          <w:color w:val="auto"/>
        </w:rPr>
      </w:pPr>
    </w:p>
    <w:p>
      <w:pPr>
        <w:ind w:right="2599" w:firstLine="196"/>
        <w:spacing w:after="0" w:line="267" w:lineRule="auto"/>
        <w:rPr>
          <w:sz w:val="20"/>
          <w:szCs w:val="20"/>
          <w:color w:val="auto"/>
        </w:rPr>
      </w:pPr>
      <w:r>
        <w:rPr>
          <w:rFonts w:ascii="Courier New" w:cs="Courier New" w:eastAsia="Courier New" w:hAnsi="Courier New"/>
          <w:sz w:val="16"/>
          <w:szCs w:val="16"/>
          <w:color w:val="auto"/>
        </w:rPr>
        <w:t>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280" w:lineRule="exact"/>
        <w:rPr>
          <w:sz w:val="20"/>
          <w:szCs w:val="20"/>
          <w:color w:val="auto"/>
        </w:rPr>
      </w:pPr>
    </w:p>
    <w:p>
      <w:pPr>
        <w:ind w:right="2599" w:firstLine="196"/>
        <w:spacing w:after="0" w:line="255" w:lineRule="auto"/>
        <w:tabs>
          <w:tab w:leader="none" w:pos="58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w:t>
      </w:r>
    </w:p>
    <w:p>
      <w:pPr>
        <w:spacing w:after="0" w:line="288" w:lineRule="exact"/>
        <w:rPr>
          <w:rFonts w:ascii="Courier New" w:cs="Courier New" w:eastAsia="Courier New" w:hAnsi="Courier New"/>
          <w:sz w:val="16"/>
          <w:szCs w:val="16"/>
          <w:color w:val="auto"/>
        </w:rPr>
      </w:pPr>
    </w:p>
    <w:p>
      <w:pPr>
        <w:ind w:right="2699" w:firstLine="196"/>
        <w:spacing w:after="0" w:line="290" w:lineRule="auto"/>
        <w:tabs>
          <w:tab w:leader="none" w:pos="58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 exchange that affects the Series A Preferred Shares, a consolidation with or merger of the Trust into another entity, or a consolidation with or merger of another entity into the Trust, unless in each such case</w:t>
      </w:r>
    </w:p>
    <w:p>
      <w:pPr>
        <w:spacing w:after="0" w:line="6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650" w:right="1440" w:bottom="218" w:gutter="0" w:footer="0" w:header="0"/>
        </w:sectPr>
      </w:pPr>
    </w:p>
    <w:bookmarkStart w:id="49" w:name="page50"/>
    <w:bookmarkEnd w:id="49"/>
    <w:p>
      <w:pPr>
        <w:ind w:right="2599"/>
        <w:spacing w:after="0" w:line="266" w:lineRule="auto"/>
        <w:rPr>
          <w:sz w:val="20"/>
          <w:szCs w:val="20"/>
          <w:color w:val="auto"/>
        </w:rPr>
      </w:pPr>
      <w:r>
        <w:rPr>
          <w:rFonts w:ascii="Courier New" w:cs="Courier New" w:eastAsia="Courier New" w:hAnsi="Courier New"/>
          <w:sz w:val="16"/>
          <w:szCs w:val="16"/>
          <w:color w:val="auto"/>
        </w:rPr>
        <w:t>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84" w:lineRule="exact"/>
        <w:rPr>
          <w:sz w:val="20"/>
          <w:szCs w:val="20"/>
          <w:color w:val="auto"/>
        </w:rPr>
      </w:pPr>
    </w:p>
    <w:p>
      <w:pPr>
        <w:ind w:right="2599" w:firstLine="196"/>
        <w:spacing w:after="0" w:line="262" w:lineRule="auto"/>
        <w:tabs>
          <w:tab w:leader="none" w:pos="58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89"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For purposes of the foregoing provisions of this Section 6.4.9,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89"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Section 6.4.10 Record Holders.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64" w:lineRule="exact"/>
        <w:rPr>
          <w:sz w:val="20"/>
          <w:szCs w:val="20"/>
          <w:color w:val="auto"/>
        </w:rPr>
      </w:pPr>
    </w:p>
    <w:p>
      <w:pPr>
        <w:ind w:right="3079" w:firstLine="196"/>
        <w:spacing w:after="0" w:line="373" w:lineRule="auto"/>
        <w:rPr>
          <w:sz w:val="20"/>
          <w:szCs w:val="20"/>
          <w:color w:val="auto"/>
        </w:rPr>
      </w:pPr>
      <w:r>
        <w:rPr>
          <w:rFonts w:ascii="Courier New" w:cs="Courier New" w:eastAsia="Courier New" w:hAnsi="Courier New"/>
          <w:sz w:val="16"/>
          <w:szCs w:val="16"/>
          <w:color w:val="auto"/>
        </w:rPr>
        <w:t>Section 6.4.11 Sinking Fund. The Series A Preferred Shares shall not be entitled to the benefits of any retirement or sinking fund.</w:t>
      </w:r>
    </w:p>
    <w:p>
      <w:pPr>
        <w:ind w:right="2599" w:firstLine="196"/>
        <w:spacing w:after="0" w:line="255" w:lineRule="auto"/>
        <w:rPr>
          <w:sz w:val="20"/>
          <w:szCs w:val="20"/>
          <w:color w:val="auto"/>
        </w:rPr>
      </w:pPr>
      <w:r>
        <w:rPr>
          <w:rFonts w:ascii="Courier New" w:cs="Courier New" w:eastAsia="Courier New" w:hAnsi="Courier New"/>
          <w:sz w:val="16"/>
          <w:szCs w:val="16"/>
          <w:color w:val="auto"/>
        </w:rPr>
        <w:t>Section 6.5 Classified or Reclassified Shares. Prior to issuance of classified or reclassified Shares of any class or series, the Board of Trustees by resolution shall (a) designate that class or series to distinguish it from all other classes and series of Shares; (b) specify the number of Shares to be included in the class or series; (c) 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 provided that the manner in which such facts or variations shall operate upon the terms of such class or series of Shares is clearly and expressly set forth in the articles supplementary filed with the SDAT.</w:t>
      </w:r>
    </w:p>
    <w:p>
      <w:pPr>
        <w:spacing w:after="0" w:line="100" w:lineRule="exact"/>
        <w:rPr>
          <w:sz w:val="20"/>
          <w:szCs w:val="20"/>
          <w:color w:val="auto"/>
        </w:rPr>
      </w:pPr>
    </w:p>
    <w:p>
      <w:pPr>
        <w:ind w:right="2599" w:firstLine="196"/>
        <w:spacing w:after="0" w:line="264" w:lineRule="auto"/>
        <w:rPr>
          <w:sz w:val="20"/>
          <w:szCs w:val="20"/>
          <w:color w:val="auto"/>
        </w:rPr>
      </w:pPr>
      <w:r>
        <w:rPr>
          <w:rFonts w:ascii="Courier New" w:cs="Courier New" w:eastAsia="Courier New" w:hAnsi="Courier New"/>
          <w:sz w:val="16"/>
          <w:szCs w:val="16"/>
          <w:color w:val="auto"/>
        </w:rPr>
        <w:t>Section 6.6 Authorization by Board of Share Issuance.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spacing w:after="0" w:line="85"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6.7 Dividends and Distributions.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w:t>
      </w:r>
    </w:p>
    <w:p>
      <w:pPr>
        <w:spacing w:after="0" w:line="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650" w:right="1440" w:bottom="1157" w:gutter="0" w:footer="0" w:header="0"/>
        </w:sectPr>
      </w:pPr>
    </w:p>
    <w:bookmarkStart w:id="50" w:name="page51"/>
    <w:bookmarkEnd w:id="50"/>
    <w:p>
      <w:pPr>
        <w:ind w:right="2599"/>
        <w:spacing w:after="0" w:line="257" w:lineRule="auto"/>
        <w:rPr>
          <w:sz w:val="20"/>
          <w:szCs w:val="20"/>
          <w:color w:val="auto"/>
        </w:rPr>
      </w:pPr>
      <w:r>
        <w:rPr>
          <w:rFonts w:ascii="Courier New" w:cs="Courier New" w:eastAsia="Courier New" w:hAnsi="Courier New"/>
          <w:sz w:val="16"/>
          <w:szCs w:val="16"/>
          <w:color w:val="auto"/>
        </w:rPr>
        <w:t>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w:t>
      </w:r>
    </w:p>
    <w:p>
      <w:pPr>
        <w:spacing w:after="0" w:line="90" w:lineRule="exact"/>
        <w:rPr>
          <w:sz w:val="20"/>
          <w:szCs w:val="20"/>
          <w:color w:val="auto"/>
        </w:rPr>
      </w:pPr>
    </w:p>
    <w:p>
      <w:pPr>
        <w:ind w:right="2599" w:firstLine="196"/>
        <w:spacing w:after="0" w:line="266" w:lineRule="auto"/>
        <w:rPr>
          <w:sz w:val="20"/>
          <w:szCs w:val="20"/>
          <w:color w:val="auto"/>
        </w:rPr>
      </w:pPr>
      <w:r>
        <w:rPr>
          <w:rFonts w:ascii="Courier New" w:cs="Courier New" w:eastAsia="Courier New" w:hAnsi="Courier New"/>
          <w:sz w:val="16"/>
          <w:szCs w:val="16"/>
          <w:color w:val="auto"/>
        </w:rPr>
        <w:t>Section 6.8 General Nature of Shares.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w:t>
      </w:r>
    </w:p>
    <w:p>
      <w:pPr>
        <w:spacing w:after="0" w:line="84"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Section 6.9 Fractional Shares.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w:t>
      </w:r>
    </w:p>
    <w:p>
      <w:pPr>
        <w:spacing w:after="0" w:line="70" w:lineRule="exact"/>
        <w:rPr>
          <w:sz w:val="20"/>
          <w:szCs w:val="20"/>
          <w:color w:val="auto"/>
        </w:rPr>
      </w:pPr>
    </w:p>
    <w:p>
      <w:pPr>
        <w:ind w:right="2979" w:firstLine="196"/>
        <w:spacing w:after="0" w:line="373" w:lineRule="auto"/>
        <w:rPr>
          <w:sz w:val="20"/>
          <w:szCs w:val="20"/>
          <w:color w:val="auto"/>
        </w:rPr>
      </w:pPr>
      <w:r>
        <w:rPr>
          <w:rFonts w:ascii="Courier New" w:cs="Courier New" w:eastAsia="Courier New" w:hAnsi="Courier New"/>
          <w:sz w:val="16"/>
          <w:szCs w:val="16"/>
          <w:color w:val="auto"/>
        </w:rPr>
        <w:t>Section 6.10 Declaration and Bylaws. All shareholders are subject to the provisions of the Declaration of Trust and the Bylaws of the Trust.</w:t>
      </w:r>
    </w:p>
    <w:p>
      <w:pPr>
        <w:ind w:right="2699" w:firstLine="196"/>
        <w:spacing w:after="0" w:line="269" w:lineRule="auto"/>
        <w:rPr>
          <w:sz w:val="20"/>
          <w:szCs w:val="20"/>
          <w:color w:val="auto"/>
        </w:rPr>
      </w:pPr>
      <w:r>
        <w:rPr>
          <w:rFonts w:ascii="Courier New" w:cs="Courier New" w:eastAsia="Courier New" w:hAnsi="Courier New"/>
          <w:sz w:val="16"/>
          <w:szCs w:val="16"/>
          <w:color w:val="auto"/>
        </w:rPr>
        <w:t>Section 6.11 Divisions and Combinations of Shares.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w:t>
      </w:r>
    </w:p>
    <w:p>
      <w:pPr>
        <w:spacing w:after="0" w:line="8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VII</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RESTRICTION ON TRANSFER AND OWNERSHIP OF SHARES</w:t>
      </w:r>
    </w:p>
    <w:p>
      <w:pPr>
        <w:spacing w:after="0" w:line="195" w:lineRule="exact"/>
        <w:rPr>
          <w:sz w:val="20"/>
          <w:szCs w:val="20"/>
          <w:color w:val="auto"/>
        </w:rPr>
      </w:pPr>
    </w:p>
    <w:p>
      <w:pPr>
        <w:ind w:right="2699" w:firstLine="196"/>
        <w:spacing w:after="0" w:line="373" w:lineRule="auto"/>
        <w:rPr>
          <w:sz w:val="20"/>
          <w:szCs w:val="20"/>
          <w:color w:val="auto"/>
        </w:rPr>
      </w:pPr>
      <w:r>
        <w:rPr>
          <w:rFonts w:ascii="Courier New" w:cs="Courier New" w:eastAsia="Courier New" w:hAnsi="Courier New"/>
          <w:sz w:val="16"/>
          <w:szCs w:val="16"/>
          <w:color w:val="auto"/>
        </w:rPr>
        <w:t>Section 7.1 Definitions. For the purpose of this Article VII, the following terms shall have the following meanings:</w:t>
      </w:r>
    </w:p>
    <w:p>
      <w:pPr>
        <w:ind w:right="2599" w:firstLine="196"/>
        <w:spacing w:after="0" w:line="280" w:lineRule="auto"/>
        <w:rPr>
          <w:sz w:val="20"/>
          <w:szCs w:val="20"/>
          <w:color w:val="auto"/>
        </w:rPr>
      </w:pPr>
      <w:r>
        <w:rPr>
          <w:rFonts w:ascii="Courier New" w:cs="Courier New" w:eastAsia="Courier New" w:hAnsi="Courier New"/>
          <w:sz w:val="16"/>
          <w:szCs w:val="16"/>
          <w:color w:val="auto"/>
        </w:rPr>
        <w:t>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w:t>
      </w:r>
    </w:p>
    <w:p>
      <w:pPr>
        <w:spacing w:after="0" w:line="70" w:lineRule="exact"/>
        <w:rPr>
          <w:sz w:val="20"/>
          <w:szCs w:val="20"/>
          <w:color w:val="auto"/>
        </w:rPr>
      </w:pPr>
    </w:p>
    <w:p>
      <w:pPr>
        <w:ind w:right="2799" w:firstLine="196"/>
        <w:spacing w:after="0" w:line="269" w:lineRule="auto"/>
        <w:rPr>
          <w:sz w:val="20"/>
          <w:szCs w:val="20"/>
          <w:color w:val="auto"/>
        </w:rPr>
      </w:pPr>
      <w:r>
        <w:rPr>
          <w:rFonts w:ascii="Courier New" w:cs="Courier New" w:eastAsia="Courier New" w:hAnsi="Courier New"/>
          <w:sz w:val="16"/>
          <w:szCs w:val="16"/>
          <w:color w:val="auto"/>
        </w:rPr>
        <w:t>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w:t>
      </w:r>
    </w:p>
    <w:p>
      <w:pPr>
        <w:spacing w:after="0" w:line="82"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Business Day. The term "Business Day" shall mean any day, other than a Saturday or Sunday, that is neither a legal holiday nor a day on which banking institutions in New York City are authorized or required by law, regulation or executive order to close.</w:t>
      </w:r>
    </w:p>
    <w:p>
      <w:pPr>
        <w:spacing w:after="0" w:line="6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50" w:right="1440" w:bottom="1440" w:gutter="0" w:footer="0" w:header="0"/>
        </w:sectPr>
      </w:pPr>
    </w:p>
    <w:bookmarkStart w:id="51" w:name="page52"/>
    <w:bookmarkEnd w:id="51"/>
    <w:p>
      <w:pPr>
        <w:ind w:right="2699" w:firstLine="196"/>
        <w:spacing w:after="0" w:line="273" w:lineRule="auto"/>
        <w:rPr>
          <w:sz w:val="20"/>
          <w:szCs w:val="20"/>
          <w:color w:val="auto"/>
        </w:rPr>
      </w:pPr>
      <w:r>
        <w:rPr>
          <w:rFonts w:ascii="Courier New" w:cs="Courier New" w:eastAsia="Courier New" w:hAnsi="Courier New"/>
          <w:sz w:val="16"/>
          <w:szCs w:val="16"/>
          <w:color w:val="auto"/>
        </w:rPr>
        <w:t>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79" w:lineRule="exact"/>
        <w:rPr>
          <w:sz w:val="20"/>
          <w:szCs w:val="20"/>
          <w:color w:val="auto"/>
        </w:rPr>
      </w:pPr>
    </w:p>
    <w:p>
      <w:pPr>
        <w:jc w:val="both"/>
        <w:ind w:right="2699" w:firstLine="196"/>
        <w:spacing w:after="0" w:line="373" w:lineRule="auto"/>
        <w:rPr>
          <w:sz w:val="20"/>
          <w:szCs w:val="20"/>
          <w:color w:val="auto"/>
        </w:rPr>
      </w:pPr>
      <w:r>
        <w:rPr>
          <w:rFonts w:ascii="Courier New" w:cs="Courier New" w:eastAsia="Courier New" w:hAnsi="Courier New"/>
          <w:sz w:val="16"/>
          <w:szCs w:val="16"/>
          <w:color w:val="auto"/>
        </w:rPr>
        <w:t>Charitable Trust. The term "Charitable Trust" shall mean any trust provided for in Section 7.3.1.</w:t>
      </w:r>
    </w:p>
    <w:p>
      <w:pPr>
        <w:jc w:val="both"/>
        <w:ind w:right="2699" w:firstLine="196"/>
        <w:spacing w:after="0" w:line="262" w:lineRule="auto"/>
        <w:rPr>
          <w:sz w:val="20"/>
          <w:szCs w:val="20"/>
          <w:color w:val="auto"/>
        </w:rPr>
      </w:pPr>
      <w:r>
        <w:rPr>
          <w:rFonts w:ascii="Courier New" w:cs="Courier New" w:eastAsia="Courier New" w:hAnsi="Courier New"/>
          <w:sz w:val="16"/>
          <w:szCs w:val="16"/>
          <w:color w:val="auto"/>
        </w:rPr>
        <w:t>Common Share Ownership Limit. The term "Common Share Ownership Limit" shall mean not more than 9.8 percent (in value or in number of shares, whichever is more restrictive) of the aggregate number of the outstanding Common Shares.</w:t>
      </w:r>
    </w:p>
    <w:p>
      <w:pPr>
        <w:jc w:val="both"/>
        <w:ind w:right="2799"/>
        <w:spacing w:after="0" w:line="291" w:lineRule="auto"/>
        <w:rPr>
          <w:sz w:val="20"/>
          <w:szCs w:val="20"/>
          <w:color w:val="auto"/>
        </w:rPr>
      </w:pPr>
      <w:r>
        <w:rPr>
          <w:rFonts w:ascii="Courier New" w:cs="Courier New" w:eastAsia="Courier New" w:hAnsi="Courier New"/>
          <w:sz w:val="16"/>
          <w:szCs w:val="16"/>
          <w:color w:val="auto"/>
        </w:rPr>
        <w:t>The number and value of outstanding Common Shares shall be determined by the Board of Trustees in good faith, which determination shall be conclusive for all purposes hereof.</w:t>
      </w:r>
    </w:p>
    <w:p>
      <w:pPr>
        <w:spacing w:after="0" w:line="63" w:lineRule="exact"/>
        <w:rPr>
          <w:sz w:val="20"/>
          <w:szCs w:val="20"/>
          <w:color w:val="auto"/>
        </w:rPr>
      </w:pPr>
    </w:p>
    <w:p>
      <w:pPr>
        <w:ind w:right="2699" w:firstLine="196"/>
        <w:spacing w:after="0" w:line="269" w:lineRule="auto"/>
        <w:rPr>
          <w:sz w:val="20"/>
          <w:szCs w:val="20"/>
          <w:color w:val="auto"/>
        </w:rPr>
      </w:pPr>
      <w:r>
        <w:rPr>
          <w:rFonts w:ascii="Courier New" w:cs="Courier New" w:eastAsia="Courier New" w:hAnsi="Courier New"/>
          <w:sz w:val="16"/>
          <w:szCs w:val="16"/>
          <w:color w:val="auto"/>
        </w:rPr>
        <w:t>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82" w:lineRule="exact"/>
        <w:rPr>
          <w:sz w:val="20"/>
          <w:szCs w:val="20"/>
          <w:color w:val="auto"/>
        </w:rPr>
      </w:pPr>
    </w:p>
    <w:p>
      <w:pPr>
        <w:ind w:right="2879" w:firstLine="196"/>
        <w:spacing w:after="0" w:line="311" w:lineRule="auto"/>
        <w:rPr>
          <w:sz w:val="20"/>
          <w:szCs w:val="20"/>
          <w:color w:val="auto"/>
        </w:rPr>
      </w:pPr>
      <w:r>
        <w:rPr>
          <w:rFonts w:ascii="Courier New" w:cs="Courier New" w:eastAsia="Courier New" w:hAnsi="Courier New"/>
          <w:sz w:val="16"/>
          <w:szCs w:val="16"/>
          <w:color w:val="auto"/>
        </w:rPr>
        <w:t>Declaration of Trust. The term "Declaration of Trust" shall mean this Declaration of Trust as accepted for record by the SDAT, and any amendments thereto.</w:t>
      </w:r>
    </w:p>
    <w:p>
      <w:pPr>
        <w:spacing w:after="0" w:line="47" w:lineRule="exact"/>
        <w:rPr>
          <w:sz w:val="20"/>
          <w:szCs w:val="20"/>
          <w:color w:val="auto"/>
        </w:rPr>
      </w:pPr>
    </w:p>
    <w:p>
      <w:pPr>
        <w:jc w:val="both"/>
        <w:ind w:right="2699" w:firstLine="196"/>
        <w:spacing w:after="0" w:line="373" w:lineRule="auto"/>
        <w:rPr>
          <w:sz w:val="20"/>
          <w:szCs w:val="20"/>
          <w:color w:val="auto"/>
        </w:rPr>
      </w:pPr>
      <w:r>
        <w:rPr>
          <w:rFonts w:ascii="Courier New" w:cs="Courier New" w:eastAsia="Courier New" w:hAnsi="Courier New"/>
          <w:sz w:val="16"/>
          <w:szCs w:val="16"/>
          <w:color w:val="auto"/>
        </w:rPr>
        <w:t>Equity Shares. The term "Equity Shares" shall mean Shares of all classes or series, including, without limitation, Common Shares and Preferred Shares.</w:t>
      </w:r>
    </w:p>
    <w:p>
      <w:pPr>
        <w:jc w:val="both"/>
        <w:ind w:right="2699" w:firstLine="196"/>
        <w:spacing w:after="0" w:line="311" w:lineRule="auto"/>
        <w:rPr>
          <w:sz w:val="20"/>
          <w:szCs w:val="20"/>
          <w:color w:val="auto"/>
        </w:rPr>
      </w:pPr>
      <w:r>
        <w:rPr>
          <w:rFonts w:ascii="Courier New" w:cs="Courier New" w:eastAsia="Courier New" w:hAnsi="Courier New"/>
          <w:sz w:val="16"/>
          <w:szCs w:val="16"/>
          <w:color w:val="auto"/>
        </w:rPr>
        <w:t>Excepted Holder. The term "Excepted Holder" shall mean a shareholder of the Trust for whom an Excepted Holder Limit is created by this Article VII or by the Board of Trustees pursuant to Section 7.2.7.</w:t>
      </w:r>
    </w:p>
    <w:p>
      <w:pPr>
        <w:spacing w:after="0" w:line="47"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w:t>
      </w:r>
    </w:p>
    <w:p>
      <w:pPr>
        <w:spacing w:after="0" w:line="70" w:lineRule="exact"/>
        <w:rPr>
          <w:sz w:val="20"/>
          <w:szCs w:val="20"/>
          <w:color w:val="auto"/>
        </w:rPr>
      </w:pPr>
    </w:p>
    <w:p>
      <w:pPr>
        <w:ind w:right="2599" w:firstLine="196"/>
        <w:spacing w:after="0" w:line="311" w:lineRule="auto"/>
        <w:rPr>
          <w:sz w:val="20"/>
          <w:szCs w:val="20"/>
          <w:color w:val="auto"/>
        </w:rPr>
      </w:pPr>
      <w:r>
        <w:rPr>
          <w:rFonts w:ascii="Courier New" w:cs="Courier New" w:eastAsia="Courier New" w:hAnsi="Courier New"/>
          <w:sz w:val="16"/>
          <w:szCs w:val="16"/>
          <w:color w:val="auto"/>
        </w:rPr>
        <w:t>Initial Date. The term "Initial Date" shall mean the date upon which this Declaration of Trust containing this Article VII is accepted for record by the SDAT.</w:t>
      </w:r>
    </w:p>
    <w:p>
      <w:pPr>
        <w:spacing w:after="0" w:line="47" w:lineRule="exact"/>
        <w:rPr>
          <w:sz w:val="20"/>
          <w:szCs w:val="20"/>
          <w:color w:val="auto"/>
        </w:rPr>
      </w:pPr>
    </w:p>
    <w:p>
      <w:pPr>
        <w:ind w:right="2599" w:firstLine="196"/>
        <w:spacing w:after="0" w:line="254" w:lineRule="auto"/>
        <w:rPr>
          <w:sz w:val="20"/>
          <w:szCs w:val="20"/>
          <w:color w:val="auto"/>
        </w:rPr>
      </w:pPr>
      <w:r>
        <w:rPr>
          <w:rFonts w:ascii="Courier New" w:cs="Courier New" w:eastAsia="Courier New" w:hAnsi="Courier New"/>
          <w:sz w:val="16"/>
          <w:szCs w:val="16"/>
          <w:color w:val="auto"/>
        </w:rPr>
        <w:t>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w:t>
      </w:r>
    </w:p>
    <w:p>
      <w:pPr>
        <w:spacing w:after="0" w:line="2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NYSE. The term "NYSE" shall mean the New York Stock Exchange.</w:t>
      </w:r>
    </w:p>
    <w:p>
      <w:pPr>
        <w:spacing w:after="0" w:line="195" w:lineRule="exact"/>
        <w:rPr>
          <w:sz w:val="20"/>
          <w:szCs w:val="20"/>
          <w:color w:val="auto"/>
        </w:rPr>
      </w:pPr>
    </w:p>
    <w:p>
      <w:pPr>
        <w:ind w:right="2979" w:firstLine="196"/>
        <w:spacing w:after="0" w:line="280" w:lineRule="auto"/>
        <w:rPr>
          <w:sz w:val="20"/>
          <w:szCs w:val="20"/>
          <w:color w:val="auto"/>
        </w:rPr>
      </w:pPr>
      <w:r>
        <w:rPr>
          <w:rFonts w:ascii="Courier New" w:cs="Courier New" w:eastAsia="Courier New" w:hAnsi="Courier New"/>
          <w:sz w:val="16"/>
          <w:szCs w:val="16"/>
          <w:color w:val="auto"/>
        </w:rPr>
        <w:t>Person.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w:t>
      </w:r>
    </w:p>
    <w:p>
      <w:pPr>
        <w:spacing w:after="0" w:line="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650" w:right="1440" w:bottom="593" w:gutter="0" w:footer="0" w:header="0"/>
        </w:sectPr>
      </w:pPr>
    </w:p>
    <w:bookmarkStart w:id="52" w:name="page53"/>
    <w:bookmarkEnd w:id="52"/>
    <w:p>
      <w:pPr>
        <w:ind w:right="2799"/>
        <w:spacing w:after="0" w:line="290" w:lineRule="auto"/>
        <w:rPr>
          <w:sz w:val="20"/>
          <w:szCs w:val="20"/>
          <w:color w:val="auto"/>
        </w:rPr>
      </w:pPr>
      <w:r>
        <w:rPr>
          <w:rFonts w:ascii="Courier New" w:cs="Courier New" w:eastAsia="Courier New" w:hAnsi="Courier New"/>
          <w:sz w:val="16"/>
          <w:szCs w:val="16"/>
          <w:color w:val="auto"/>
        </w:rPr>
        <w:t>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64"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w:t>
      </w:r>
    </w:p>
    <w:p>
      <w:pPr>
        <w:spacing w:after="0" w:line="70" w:lineRule="exact"/>
        <w:rPr>
          <w:sz w:val="20"/>
          <w:szCs w:val="20"/>
          <w:color w:val="auto"/>
        </w:rPr>
      </w:pPr>
    </w:p>
    <w:p>
      <w:pPr>
        <w:ind w:right="2799" w:firstLine="196"/>
        <w:spacing w:after="0" w:line="373" w:lineRule="auto"/>
        <w:rPr>
          <w:sz w:val="20"/>
          <w:szCs w:val="20"/>
          <w:color w:val="auto"/>
        </w:rPr>
      </w:pPr>
      <w:r>
        <w:rPr>
          <w:rFonts w:ascii="Courier New" w:cs="Courier New" w:eastAsia="Courier New" w:hAnsi="Courier New"/>
          <w:sz w:val="16"/>
          <w:szCs w:val="16"/>
          <w:color w:val="auto"/>
        </w:rPr>
        <w:t>REIT. The term "REIT" shall mean a real estate investment trust within the meaning of Section 856 of the Code.</w:t>
      </w:r>
    </w:p>
    <w:p>
      <w:pPr>
        <w:ind w:right="2599" w:firstLine="196"/>
        <w:spacing w:after="0" w:line="269" w:lineRule="auto"/>
        <w:rPr>
          <w:sz w:val="20"/>
          <w:szCs w:val="20"/>
          <w:color w:val="auto"/>
        </w:rPr>
      </w:pPr>
      <w:r>
        <w:rPr>
          <w:rFonts w:ascii="Courier New" w:cs="Courier New" w:eastAsia="Courier New" w:hAnsi="Courier New"/>
          <w:sz w:val="16"/>
          <w:szCs w:val="16"/>
          <w:color w:val="auto"/>
        </w:rPr>
        <w:t>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w:t>
      </w:r>
    </w:p>
    <w:p>
      <w:pPr>
        <w:spacing w:after="0" w:line="82" w:lineRule="exact"/>
        <w:rPr>
          <w:sz w:val="20"/>
          <w:szCs w:val="20"/>
          <w:color w:val="auto"/>
        </w:rPr>
      </w:pPr>
    </w:p>
    <w:p>
      <w:pPr>
        <w:ind w:right="2979" w:firstLine="196"/>
        <w:spacing w:after="0" w:line="373" w:lineRule="auto"/>
        <w:rPr>
          <w:sz w:val="20"/>
          <w:szCs w:val="20"/>
          <w:color w:val="auto"/>
        </w:rPr>
      </w:pPr>
      <w:r>
        <w:rPr>
          <w:rFonts w:ascii="Courier New" w:cs="Courier New" w:eastAsia="Courier New" w:hAnsi="Courier New"/>
          <w:sz w:val="16"/>
          <w:szCs w:val="16"/>
          <w:color w:val="auto"/>
        </w:rPr>
        <w:t>SDAT. The term "SDAT" shall mean the State Department of Assessments and Taxation of Maryland.</w:t>
      </w:r>
    </w:p>
    <w:p>
      <w:pPr>
        <w:ind w:right="2599" w:firstLine="196"/>
        <w:spacing w:after="0" w:line="256" w:lineRule="auto"/>
        <w:rPr>
          <w:sz w:val="20"/>
          <w:szCs w:val="20"/>
          <w:color w:val="auto"/>
        </w:rPr>
      </w:pPr>
      <w:r>
        <w:rPr>
          <w:rFonts w:ascii="Courier New" w:cs="Courier New" w:eastAsia="Courier New" w:hAnsi="Courier New"/>
          <w:sz w:val="16"/>
          <w:szCs w:val="16"/>
          <w:color w:val="auto"/>
        </w:rPr>
        <w:t>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w:t>
      </w:r>
    </w:p>
    <w:p>
      <w:pPr>
        <w:spacing w:after="0" w:line="3" w:lineRule="exact"/>
        <w:rPr>
          <w:sz w:val="20"/>
          <w:szCs w:val="20"/>
          <w:color w:val="auto"/>
        </w:rPr>
      </w:pPr>
    </w:p>
    <w:p>
      <w:pPr>
        <w:ind w:left="400" w:hanging="400"/>
        <w:spacing w:after="0"/>
        <w:tabs>
          <w:tab w:leader="none" w:pos="4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granting or exercise of any option (or any disposition of any option),</w:t>
      </w:r>
    </w:p>
    <w:p>
      <w:pPr>
        <w:spacing w:after="0" w:line="6" w:lineRule="exact"/>
        <w:rPr>
          <w:rFonts w:ascii="Courier New" w:cs="Courier New" w:eastAsia="Courier New" w:hAnsi="Courier New"/>
          <w:sz w:val="16"/>
          <w:szCs w:val="16"/>
          <w:color w:val="auto"/>
        </w:rPr>
      </w:pPr>
    </w:p>
    <w:p>
      <w:pPr>
        <w:ind w:right="2799"/>
        <w:spacing w:after="0" w:line="261" w:lineRule="auto"/>
        <w:tabs>
          <w:tab w:leader="none" w:pos="39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w:t>
      </w:r>
    </w:p>
    <w:p>
      <w:pPr>
        <w:spacing w:after="0" w:line="85" w:lineRule="exact"/>
        <w:rPr>
          <w:sz w:val="20"/>
          <w:szCs w:val="20"/>
          <w:color w:val="auto"/>
        </w:rPr>
      </w:pPr>
    </w:p>
    <w:p>
      <w:pPr>
        <w:ind w:right="3079" w:firstLine="196"/>
        <w:spacing w:after="0" w:line="311" w:lineRule="auto"/>
        <w:rPr>
          <w:sz w:val="20"/>
          <w:szCs w:val="20"/>
          <w:color w:val="auto"/>
        </w:rPr>
      </w:pPr>
      <w:r>
        <w:rPr>
          <w:rFonts w:ascii="Courier New" w:cs="Courier New" w:eastAsia="Courier New" w:hAnsi="Courier New"/>
          <w:sz w:val="16"/>
          <w:szCs w:val="16"/>
          <w:color w:val="auto"/>
        </w:rPr>
        <w:t>Trustee. The term "Trustee" shall mean the Person unaffiliated with the Trust and a Prohibited Owner, that is appointed by the Trust to serve as trustee of the Charitable Trust.</w:t>
      </w:r>
    </w:p>
    <w:p>
      <w:pPr>
        <w:spacing w:after="0" w:line="4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7.2 Equity Shares.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7.2.1 Ownership Limitations. During the period commencing on the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Date and prior to the Restriction Termination Date:</w:t>
      </w:r>
    </w:p>
    <w:p>
      <w:pPr>
        <w:spacing w:after="0" w:line="16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 Basic Restrictions.</w:t>
      </w:r>
    </w:p>
    <w:p>
      <w:pPr>
        <w:spacing w:after="0" w:line="195" w:lineRule="exact"/>
        <w:rPr>
          <w:sz w:val="20"/>
          <w:szCs w:val="20"/>
          <w:color w:val="auto"/>
        </w:rPr>
      </w:pPr>
    </w:p>
    <w:p>
      <w:pPr>
        <w:ind w:right="2599" w:firstLine="196"/>
        <w:spacing w:after="0" w:line="273" w:lineRule="auto"/>
        <w:tabs>
          <w:tab w:leader="none" w:pos="58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w:t>
      </w:r>
    </w:p>
    <w:p>
      <w:pPr>
        <w:spacing w:after="0" w:line="78" w:lineRule="exact"/>
        <w:rPr>
          <w:rFonts w:ascii="Courier New" w:cs="Courier New" w:eastAsia="Courier New" w:hAnsi="Courier New"/>
          <w:sz w:val="16"/>
          <w:szCs w:val="16"/>
          <w:color w:val="auto"/>
        </w:rPr>
      </w:pPr>
    </w:p>
    <w:p>
      <w:pPr>
        <w:ind w:right="2599" w:firstLine="196"/>
        <w:spacing w:after="0" w:line="262" w:lineRule="auto"/>
        <w:tabs>
          <w:tab w:leader="none" w:pos="68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shall Beneficially or Constructively Own Equity Shares to the extent that such Beneficial or Constructive Ownership of Equity 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 Section 856(d)(2)(B) of the Code if the income derived by the Trust from such tenant would cause the Trust to fail to satisfy any of the gross income requirements of Section 856(c) of the Code).</w:t>
      </w:r>
    </w:p>
    <w:p>
      <w:pPr>
        <w:spacing w:after="0" w:line="2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651" w:right="1440" w:bottom="1440" w:gutter="0" w:footer="0" w:header="0"/>
        </w:sectPr>
      </w:pPr>
    </w:p>
    <w:bookmarkStart w:id="53" w:name="page54"/>
    <w:bookmarkEnd w:id="53"/>
    <w:p>
      <w:pPr>
        <w:ind w:right="2599" w:firstLine="196"/>
        <w:spacing w:after="0" w:line="266" w:lineRule="auto"/>
        <w:tabs>
          <w:tab w:leader="none" w:pos="7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w:t>
      </w:r>
    </w:p>
    <w:p>
      <w:pPr>
        <w:spacing w:after="0" w:line="84" w:lineRule="exact"/>
        <w:rPr>
          <w:sz w:val="20"/>
          <w:szCs w:val="20"/>
          <w:color w:val="auto"/>
        </w:rPr>
      </w:pPr>
    </w:p>
    <w:p>
      <w:pPr>
        <w:ind w:right="2599" w:firstLine="196"/>
        <w:spacing w:after="0" w:line="273" w:lineRule="auto"/>
        <w:tabs>
          <w:tab w:leader="none" w:pos="58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w:t>
      </w:r>
    </w:p>
    <w:p>
      <w:pPr>
        <w:spacing w:after="0" w:line="79" w:lineRule="exact"/>
        <w:rPr>
          <w:sz w:val="20"/>
          <w:szCs w:val="20"/>
          <w:color w:val="auto"/>
        </w:rPr>
      </w:pPr>
    </w:p>
    <w:p>
      <w:pPr>
        <w:ind w:right="3279" w:firstLine="196"/>
        <w:spacing w:after="0" w:line="268" w:lineRule="auto"/>
        <w:tabs>
          <w:tab w:leader="none" w:pos="58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that number of Equity Shares the Beneficial or Constructive Ownership of which otherwise would cause such Person to violate Section</w:t>
      </w:r>
    </w:p>
    <w:p>
      <w:pPr>
        <w:spacing w:after="0" w:line="1" w:lineRule="exact"/>
        <w:rPr>
          <w:rFonts w:ascii="Courier New" w:cs="Courier New" w:eastAsia="Courier New" w:hAnsi="Courier New"/>
          <w:sz w:val="16"/>
          <w:szCs w:val="16"/>
          <w:color w:val="auto"/>
        </w:rPr>
      </w:pPr>
    </w:p>
    <w:p>
      <w:pPr>
        <w:ind w:right="25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w:t>
      </w:r>
    </w:p>
    <w:p>
      <w:pPr>
        <w:spacing w:after="0" w:line="78" w:lineRule="exact"/>
        <w:rPr>
          <w:rFonts w:ascii="Courier New" w:cs="Courier New" w:eastAsia="Courier New" w:hAnsi="Courier New"/>
          <w:sz w:val="16"/>
          <w:szCs w:val="16"/>
          <w:color w:val="auto"/>
        </w:rPr>
      </w:pPr>
    </w:p>
    <w:p>
      <w:pPr>
        <w:ind w:right="2599" w:firstLine="196"/>
        <w:spacing w:after="0" w:line="273" w:lineRule="auto"/>
        <w:tabs>
          <w:tab w:leader="none" w:pos="68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 to the Charitable Trust described in clause (i) of this sentence would not be effective for any reason to prevent the violation of Section 7.2.1(a)(i) or (ii), then the Transfer of that number of Equity Shares that otherwise would cause any Person to violate Section 7.2.1(a)(i) or (ii) shall be void ab initio, and the intended transferee shall acquire no rights in such Equity Shares.</w:t>
      </w:r>
    </w:p>
    <w:p>
      <w:pPr>
        <w:spacing w:after="0" w:line="79" w:lineRule="exact"/>
        <w:rPr>
          <w:sz w:val="20"/>
          <w:szCs w:val="20"/>
          <w:color w:val="auto"/>
        </w:rPr>
      </w:pPr>
    </w:p>
    <w:p>
      <w:pPr>
        <w:ind w:right="2599" w:firstLine="196"/>
        <w:spacing w:after="0" w:line="257" w:lineRule="auto"/>
        <w:rPr>
          <w:sz w:val="20"/>
          <w:szCs w:val="20"/>
          <w:color w:val="auto"/>
        </w:rPr>
      </w:pPr>
      <w:r>
        <w:rPr>
          <w:rFonts w:ascii="Courier New" w:cs="Courier New" w:eastAsia="Courier New" w:hAnsi="Courier New"/>
          <w:sz w:val="16"/>
          <w:szCs w:val="16"/>
          <w:color w:val="auto"/>
        </w:rPr>
        <w:t>Section 7.2.2 Remedies for Breach. If the Board of Trustees or any duly authorized committee thereof shall at any time determine in good faith that a Transfer or other event has taken place that results in a violation of Section 7.2.1 or that a Person intends to acquire or has attempted to acquire Beneficial or Constructive Ownership of any Equity Shares in violation of Section 7.2.1 (whether or not such violation is intended), the Board of Trustees or a committee thereof shall take such action as it deems advisable to refuse to give effect to or to prevent such Transfer or other event, including, without limitation, causing the Trust to redeem Equity Shares, refusing to give effect to such Transfer on the books of the Trust or instituting proceedings to enjoin such Transfer or other event; provided, however, that any Transfers or attempted Transfers or other events in violation of Section 7.2.1 shall automatically result in the transfer to the Charitable Trust described above, and, where applicable, such Transfer (or other event) shall be void ab initio as provided above irrespective of any action (or non-action) by the Board of Trustees or a committee thereof.</w:t>
      </w:r>
    </w:p>
    <w:p>
      <w:pPr>
        <w:spacing w:after="0" w:line="90" w:lineRule="exact"/>
        <w:rPr>
          <w:sz w:val="20"/>
          <w:szCs w:val="20"/>
          <w:color w:val="auto"/>
        </w:rPr>
      </w:pPr>
    </w:p>
    <w:p>
      <w:pPr>
        <w:ind w:right="2699" w:firstLine="196"/>
        <w:spacing w:after="0" w:line="262" w:lineRule="auto"/>
        <w:rPr>
          <w:sz w:val="20"/>
          <w:szCs w:val="20"/>
          <w:color w:val="auto"/>
        </w:rPr>
      </w:pPr>
      <w:r>
        <w:rPr>
          <w:rFonts w:ascii="Courier New" w:cs="Courier New" w:eastAsia="Courier New" w:hAnsi="Courier New"/>
          <w:sz w:val="16"/>
          <w:szCs w:val="16"/>
          <w:color w:val="auto"/>
        </w:rPr>
        <w:t>Section 7.2.3 Notice of Restricted Transfer.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 transaction, give at least 15 days prior written notice, and shall provide to the Trust such other information as the Trust may request in order to determine the effect, if any, of such Transfer on the Trust's status as a REIT.</w:t>
      </w:r>
    </w:p>
    <w:p>
      <w:pPr>
        <w:spacing w:after="0" w:line="89" w:lineRule="exact"/>
        <w:rPr>
          <w:sz w:val="20"/>
          <w:szCs w:val="20"/>
          <w:color w:val="auto"/>
        </w:rPr>
      </w:pPr>
    </w:p>
    <w:p>
      <w:pPr>
        <w:ind w:right="2699" w:firstLine="196"/>
        <w:spacing w:after="0" w:line="373" w:lineRule="auto"/>
        <w:rPr>
          <w:sz w:val="20"/>
          <w:szCs w:val="20"/>
          <w:color w:val="auto"/>
        </w:rPr>
      </w:pPr>
      <w:r>
        <w:rPr>
          <w:rFonts w:ascii="Courier New" w:cs="Courier New" w:eastAsia="Courier New" w:hAnsi="Courier New"/>
          <w:sz w:val="16"/>
          <w:szCs w:val="16"/>
          <w:color w:val="auto"/>
        </w:rPr>
        <w:t>Section 7.2.4 Owners Required To Provide Information. From the Initial Date and prior to the Restriction Termination Date:</w:t>
      </w:r>
    </w:p>
    <w:p>
      <w:pPr>
        <w:ind w:right="2599" w:firstLine="196"/>
        <w:spacing w:after="0" w:line="262" w:lineRule="auto"/>
        <w:tabs>
          <w:tab w:leader="none" w:pos="5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 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w:t>
      </w:r>
    </w:p>
    <w:p>
      <w:pPr>
        <w:spacing w:after="0" w:line="88" w:lineRule="exact"/>
        <w:rPr>
          <w:rFonts w:ascii="Courier New" w:cs="Courier New" w:eastAsia="Courier New" w:hAnsi="Courier New"/>
          <w:sz w:val="16"/>
          <w:szCs w:val="16"/>
          <w:color w:val="auto"/>
        </w:rPr>
      </w:pPr>
    </w:p>
    <w:p>
      <w:pPr>
        <w:ind w:right="2799" w:firstLine="196"/>
        <w:spacing w:after="0" w:line="311" w:lineRule="auto"/>
        <w:tabs>
          <w:tab w:leader="none" w:pos="5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a Beneficial or Constructive Owner of Equity Shares and each Person (including the shareholder of record) who is holding Equity Shares for a Beneficial or Constructive Owner shall provide to the</w:t>
      </w:r>
    </w:p>
    <w:p>
      <w:pPr>
        <w:spacing w:after="0" w:line="4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19"/>
          </w:cols>
          <w:pgMar w:left="240" w:top="650" w:right="1440" w:bottom="969" w:gutter="0" w:footer="0" w:header="0"/>
        </w:sectPr>
      </w:pPr>
    </w:p>
    <w:bookmarkStart w:id="54" w:name="page55"/>
    <w:bookmarkEnd w:id="54"/>
    <w:p>
      <w:pPr>
        <w:ind w:right="2699"/>
        <w:spacing w:after="0" w:line="311" w:lineRule="auto"/>
        <w:rPr>
          <w:sz w:val="20"/>
          <w:szCs w:val="20"/>
          <w:color w:val="auto"/>
        </w:rPr>
      </w:pPr>
      <w:r>
        <w:rPr>
          <w:rFonts w:ascii="Courier New" w:cs="Courier New" w:eastAsia="Courier New" w:hAnsi="Courier New"/>
          <w:sz w:val="16"/>
          <w:szCs w:val="16"/>
          <w:color w:val="auto"/>
        </w:rPr>
        <w:t>Trust such information as the Trust may request, in good faith, in order to determine the Trust's status as a REIT and to comply with requirements of any taxing authority or governmental authority or to determine such compliance.</w:t>
      </w:r>
    </w:p>
    <w:p>
      <w:pPr>
        <w:spacing w:after="0" w:line="47" w:lineRule="exact"/>
        <w:rPr>
          <w:sz w:val="20"/>
          <w:szCs w:val="20"/>
          <w:color w:val="auto"/>
        </w:rPr>
      </w:pPr>
    </w:p>
    <w:p>
      <w:pPr>
        <w:ind w:right="2879" w:firstLine="196"/>
        <w:spacing w:after="0" w:line="280" w:lineRule="auto"/>
        <w:rPr>
          <w:sz w:val="20"/>
          <w:szCs w:val="20"/>
          <w:color w:val="auto"/>
        </w:rPr>
      </w:pPr>
      <w:r>
        <w:rPr>
          <w:rFonts w:ascii="Courier New" w:cs="Courier New" w:eastAsia="Courier New" w:hAnsi="Courier New"/>
          <w:sz w:val="16"/>
          <w:szCs w:val="16"/>
          <w:color w:val="auto"/>
        </w:rPr>
        <w:t>Section 7.2.5 Remedies Not Limited.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w:t>
      </w:r>
    </w:p>
    <w:p>
      <w:pPr>
        <w:spacing w:after="0" w:line="70"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Section 7.2.6 Ambiguity.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w:t>
      </w:r>
    </w:p>
    <w:p>
      <w:pPr>
        <w:spacing w:after="0" w:line="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7.2.7 Exceptions.</w:t>
      </w:r>
    </w:p>
    <w:p>
      <w:pPr>
        <w:spacing w:after="0" w:line="195" w:lineRule="exact"/>
        <w:rPr>
          <w:sz w:val="20"/>
          <w:szCs w:val="20"/>
          <w:color w:val="auto"/>
        </w:rPr>
      </w:pPr>
    </w:p>
    <w:p>
      <w:pPr>
        <w:ind w:right="2799" w:firstLine="196"/>
        <w:spacing w:after="0" w:line="290" w:lineRule="auto"/>
        <w:tabs>
          <w:tab w:leader="none" w:pos="58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7.2.1(a)(ii), the Board of Trustees, in its sole discretion, may exempt a Person from the Aggregate Share Ownership Limit and the Common Share Ownership Limit, as the case may be, and may establish or increase an Excepted Holder Limit for such Person if:</w:t>
      </w:r>
    </w:p>
    <w:p>
      <w:pPr>
        <w:spacing w:after="0" w:line="64" w:lineRule="exact"/>
        <w:rPr>
          <w:sz w:val="20"/>
          <w:szCs w:val="20"/>
          <w:color w:val="auto"/>
        </w:rPr>
      </w:pPr>
    </w:p>
    <w:p>
      <w:pPr>
        <w:ind w:right="2599" w:firstLine="196"/>
        <w:spacing w:after="0" w:line="311" w:lineRule="auto"/>
        <w:tabs>
          <w:tab w:leader="none" w:pos="58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Trustees obtains such representations and undertakings from such Person as are reasonably necessary to ascertain that no individual's Beneficial or Constructive Ownership of such Equity Shares will violate</w:t>
      </w:r>
    </w:p>
    <w:p>
      <w:pPr>
        <w:spacing w:after="0" w:line="4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7.2.1(a)(ii);</w:t>
      </w:r>
    </w:p>
    <w:p>
      <w:pPr>
        <w:spacing w:after="0" w:line="195" w:lineRule="exact"/>
        <w:rPr>
          <w:sz w:val="20"/>
          <w:szCs w:val="20"/>
          <w:color w:val="auto"/>
        </w:rPr>
      </w:pPr>
    </w:p>
    <w:p>
      <w:pPr>
        <w:ind w:right="2599" w:firstLine="196"/>
        <w:spacing w:after="0" w:line="260" w:lineRule="auto"/>
        <w:tabs>
          <w:tab w:leader="none" w:pos="68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does not and represents that it will not own, actually or Constructively, an interest in a tenant of the Trust (or a tenant of any entity owned or controlled by the Trust) that would cause the Trust to own, actually or Constructively, more than a 9.9% interest (as set forth in Section 856(d)(2)(B)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w:t>
      </w:r>
    </w:p>
    <w:p>
      <w:pPr>
        <w:spacing w:after="0" w:line="87" w:lineRule="exact"/>
        <w:rPr>
          <w:rFonts w:ascii="Courier New" w:cs="Courier New" w:eastAsia="Courier New" w:hAnsi="Courier New"/>
          <w:sz w:val="16"/>
          <w:szCs w:val="16"/>
          <w:color w:val="auto"/>
        </w:rPr>
      </w:pPr>
    </w:p>
    <w:p>
      <w:pPr>
        <w:ind w:right="2799" w:firstLine="196"/>
        <w:spacing w:after="0" w:line="280" w:lineRule="auto"/>
        <w:tabs>
          <w:tab w:leader="none" w:pos="7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w:t>
      </w:r>
    </w:p>
    <w:p>
      <w:pPr>
        <w:spacing w:after="0" w:line="70" w:lineRule="exact"/>
        <w:rPr>
          <w:sz w:val="20"/>
          <w:szCs w:val="20"/>
          <w:color w:val="auto"/>
        </w:rPr>
      </w:pPr>
    </w:p>
    <w:p>
      <w:pPr>
        <w:ind w:right="2699" w:firstLine="196"/>
        <w:spacing w:after="0" w:line="266" w:lineRule="auto"/>
        <w:tabs>
          <w:tab w:leader="none" w:pos="586"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w:t>
      </w:r>
    </w:p>
    <w:p>
      <w:pPr>
        <w:spacing w:after="0" w:line="84" w:lineRule="exact"/>
        <w:rPr>
          <w:rFonts w:ascii="Courier New" w:cs="Courier New" w:eastAsia="Courier New" w:hAnsi="Courier New"/>
          <w:sz w:val="16"/>
          <w:szCs w:val="16"/>
          <w:color w:val="auto"/>
        </w:rPr>
      </w:pPr>
    </w:p>
    <w:p>
      <w:pPr>
        <w:ind w:right="2699" w:firstLine="196"/>
        <w:spacing w:after="0" w:line="269" w:lineRule="auto"/>
        <w:tabs>
          <w:tab w:leader="none" w:pos="586"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w:t>
      </w:r>
    </w:p>
    <w:p>
      <w:pPr>
        <w:spacing w:after="0" w:line="81" w:lineRule="exact"/>
        <w:rPr>
          <w:rFonts w:ascii="Courier New" w:cs="Courier New" w:eastAsia="Courier New" w:hAnsi="Courier New"/>
          <w:sz w:val="16"/>
          <w:szCs w:val="16"/>
          <w:color w:val="auto"/>
        </w:rPr>
      </w:pPr>
    </w:p>
    <w:p>
      <w:pPr>
        <w:jc w:val="both"/>
        <w:ind w:right="2799" w:firstLine="196"/>
        <w:spacing w:after="0" w:line="311" w:lineRule="auto"/>
        <w:tabs>
          <w:tab w:leader="none" w:pos="586"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Trustees may only reduce the Excepted Holder Limit for an Excepted Holder: (1) with the written consent of such Excepted Holder at any time, or (2) pursuant to the terms and conditions of the</w:t>
      </w:r>
    </w:p>
    <w:p>
      <w:pPr>
        <w:spacing w:after="0" w:line="4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650" w:right="1440" w:bottom="1440" w:gutter="0" w:footer="0" w:header="0"/>
        </w:sectPr>
      </w:pPr>
    </w:p>
    <w:bookmarkStart w:id="55" w:name="page56"/>
    <w:bookmarkEnd w:id="55"/>
    <w:p>
      <w:pPr>
        <w:ind w:right="2979"/>
        <w:spacing w:after="0" w:line="290" w:lineRule="auto"/>
        <w:rPr>
          <w:sz w:val="20"/>
          <w:szCs w:val="20"/>
          <w:color w:val="auto"/>
        </w:rPr>
      </w:pPr>
      <w:r>
        <w:rPr>
          <w:rFonts w:ascii="Courier New" w:cs="Courier New" w:eastAsia="Courier New" w:hAnsi="Courier New"/>
          <w:sz w:val="16"/>
          <w:szCs w:val="16"/>
          <w:color w:val="auto"/>
        </w:rPr>
        <w:t>agreements and undertakings entered into with such Excepted Holder in connection with the establishment of the Excepted Holder Limit for that Excepted Holder. No Excepted Holder Limit shall be reduced to a percentage that is less than the Common Share Ownership Limit.</w:t>
      </w:r>
    </w:p>
    <w:p>
      <w:pPr>
        <w:spacing w:after="0" w:line="64" w:lineRule="exact"/>
        <w:rPr>
          <w:sz w:val="20"/>
          <w:szCs w:val="20"/>
          <w:color w:val="auto"/>
        </w:rPr>
      </w:pPr>
    </w:p>
    <w:p>
      <w:pPr>
        <w:ind w:right="2979" w:firstLine="196"/>
        <w:spacing w:after="0" w:line="311" w:lineRule="auto"/>
        <w:rPr>
          <w:sz w:val="20"/>
          <w:szCs w:val="20"/>
          <w:color w:val="auto"/>
        </w:rPr>
      </w:pPr>
      <w:r>
        <w:rPr>
          <w:rFonts w:ascii="Courier New" w:cs="Courier New" w:eastAsia="Courier New" w:hAnsi="Courier New"/>
          <w:sz w:val="16"/>
          <w:szCs w:val="16"/>
          <w:color w:val="auto"/>
        </w:rPr>
        <w:t>Section 7.2.8 Increase in Aggregate Share Ownership and Common Share Ownership Limits. The Board of Trustees may from time to time increase the Common Share Ownership Limit and the Aggregate Share Ownership Limit.</w:t>
      </w:r>
    </w:p>
    <w:p>
      <w:pPr>
        <w:spacing w:after="0" w:line="47" w:lineRule="exact"/>
        <w:rPr>
          <w:sz w:val="20"/>
          <w:szCs w:val="20"/>
          <w:color w:val="auto"/>
        </w:rPr>
      </w:pPr>
    </w:p>
    <w:p>
      <w:pPr>
        <w:jc w:val="both"/>
        <w:ind w:right="2879" w:firstLine="196"/>
        <w:spacing w:after="0" w:line="311" w:lineRule="auto"/>
        <w:rPr>
          <w:sz w:val="20"/>
          <w:szCs w:val="20"/>
          <w:color w:val="auto"/>
        </w:rPr>
      </w:pPr>
      <w:r>
        <w:rPr>
          <w:rFonts w:ascii="Courier New" w:cs="Courier New" w:eastAsia="Courier New" w:hAnsi="Courier New"/>
          <w:sz w:val="16"/>
          <w:szCs w:val="16"/>
          <w:color w:val="auto"/>
        </w:rPr>
        <w:t>Section 7.2.9 Legend. Each certificate for Equity Shares issued after the effective date of this Declaration as accepted for record by the SDAT shall bear substantially the following legend:</w:t>
      </w:r>
    </w:p>
    <w:p>
      <w:pPr>
        <w:spacing w:after="0" w:line="47" w:lineRule="exact"/>
        <w:rPr>
          <w:sz w:val="20"/>
          <w:szCs w:val="20"/>
          <w:color w:val="auto"/>
        </w:rPr>
      </w:pPr>
    </w:p>
    <w:p>
      <w:pPr>
        <w:ind w:left="200" w:right="2699"/>
        <w:spacing w:after="0" w:line="252" w:lineRule="auto"/>
        <w:rPr>
          <w:sz w:val="20"/>
          <w:szCs w:val="20"/>
          <w:color w:val="auto"/>
        </w:rPr>
      </w:pPr>
      <w:r>
        <w:rPr>
          <w:rFonts w:ascii="Courier New" w:cs="Courier New" w:eastAsia="Courier New" w:hAnsi="Courier New"/>
          <w:sz w:val="16"/>
          <w:szCs w:val="16"/>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112" w:lineRule="exact"/>
        <w:rPr>
          <w:sz w:val="20"/>
          <w:szCs w:val="20"/>
          <w:color w:val="auto"/>
        </w:rPr>
      </w:pPr>
    </w:p>
    <w:p>
      <w:pPr>
        <w:ind w:right="2599" w:firstLine="196"/>
        <w:spacing w:after="0" w:line="311" w:lineRule="auto"/>
        <w:rPr>
          <w:sz w:val="20"/>
          <w:szCs w:val="20"/>
          <w:color w:val="auto"/>
        </w:rPr>
      </w:pPr>
      <w:r>
        <w:rPr>
          <w:rFonts w:ascii="Courier New" w:cs="Courier New" w:eastAsia="Courier New" w:hAnsi="Courier New"/>
          <w:sz w:val="16"/>
          <w:szCs w:val="16"/>
          <w:color w:val="auto"/>
        </w:rPr>
        <w:t>Instead of the foregoing legend, the certificate may state that the Trust will furnish a full statement about certain restrictions on transferability to a shareholder on request and without charge.</w:t>
      </w:r>
    </w:p>
    <w:p>
      <w:pPr>
        <w:spacing w:after="0" w:line="4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7.3 Transfer of Equity Shares in Trust.</w:t>
      </w:r>
    </w:p>
    <w:p>
      <w:pPr>
        <w:spacing w:after="0" w:line="195"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Section 7.3.1 Ownership in Trust.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w:t>
      </w:r>
    </w:p>
    <w:p>
      <w:pPr>
        <w:spacing w:after="0" w:line="87" w:lineRule="exact"/>
        <w:rPr>
          <w:sz w:val="20"/>
          <w:szCs w:val="20"/>
          <w:color w:val="auto"/>
        </w:rPr>
      </w:pPr>
    </w:p>
    <w:p>
      <w:pPr>
        <w:ind w:right="2799" w:firstLine="196"/>
        <w:spacing w:after="0" w:line="269" w:lineRule="auto"/>
        <w:rPr>
          <w:sz w:val="20"/>
          <w:szCs w:val="20"/>
          <w:color w:val="auto"/>
        </w:rPr>
      </w:pPr>
      <w:r>
        <w:rPr>
          <w:rFonts w:ascii="Courier New" w:cs="Courier New" w:eastAsia="Courier New" w:hAnsi="Courier New"/>
          <w:sz w:val="16"/>
          <w:szCs w:val="16"/>
          <w:color w:val="auto"/>
        </w:rPr>
        <w:t>Section 7.3.2 Status of Shares Held by the Trustee.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w:t>
      </w:r>
    </w:p>
    <w:p>
      <w:pPr>
        <w:spacing w:after="0" w:line="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50" w:right="1440" w:bottom="1440" w:gutter="0" w:footer="0" w:header="0"/>
        </w:sectPr>
      </w:pPr>
    </w:p>
    <w:bookmarkStart w:id="56" w:name="page57"/>
    <w:bookmarkEnd w:id="56"/>
    <w:p>
      <w:pPr>
        <w:ind w:right="2699" w:firstLine="196"/>
        <w:spacing w:after="0" w:line="254" w:lineRule="auto"/>
        <w:rPr>
          <w:sz w:val="20"/>
          <w:szCs w:val="20"/>
          <w:color w:val="auto"/>
        </w:rPr>
      </w:pPr>
      <w:r>
        <w:rPr>
          <w:rFonts w:ascii="Courier New" w:cs="Courier New" w:eastAsia="Courier New" w:hAnsi="Courier New"/>
          <w:sz w:val="16"/>
          <w:szCs w:val="16"/>
          <w:color w:val="auto"/>
        </w:rPr>
        <w:t>Section 7.3.3 Dividend and Voting Rights. The Trustee shall have all voting rights and rights to dividends or other distributions with respect to Equity Shares held in the Charitable Trust, which rights shall be exercised for the exclusive benefit of the Charitable Beneficiary. Any dividend or other distribution paid prior to the discovery by the Trust that Equity Shares have been transferred to the Trustee shall be paid with respect to such Equity Shares to the 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w:t>
      </w:r>
    </w:p>
    <w:p>
      <w:pPr>
        <w:spacing w:after="0" w:line="91" w:lineRule="exact"/>
        <w:rPr>
          <w:sz w:val="20"/>
          <w:szCs w:val="20"/>
          <w:color w:val="auto"/>
        </w:rPr>
      </w:pPr>
    </w:p>
    <w:p>
      <w:pPr>
        <w:ind w:right="2699" w:firstLine="196"/>
        <w:spacing w:after="0" w:line="256" w:lineRule="auto"/>
        <w:rPr>
          <w:sz w:val="20"/>
          <w:szCs w:val="20"/>
          <w:color w:val="auto"/>
        </w:rPr>
      </w:pPr>
      <w:r>
        <w:rPr>
          <w:rFonts w:ascii="Courier New" w:cs="Courier New" w:eastAsia="Courier New" w:hAnsi="Courier New"/>
          <w:sz w:val="16"/>
          <w:szCs w:val="16"/>
          <w:color w:val="auto"/>
        </w:rPr>
        <w:t>Section 7.3.4 Sale of Shares by Trustee.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w:t>
      </w:r>
    </w:p>
    <w:p>
      <w:pPr>
        <w:spacing w:after="0" w:line="3" w:lineRule="exact"/>
        <w:rPr>
          <w:sz w:val="20"/>
          <w:szCs w:val="20"/>
          <w:color w:val="auto"/>
        </w:rPr>
      </w:pPr>
    </w:p>
    <w:p>
      <w:pPr>
        <w:ind w:right="2599"/>
        <w:spacing w:after="0" w:line="253" w:lineRule="auto"/>
        <w:rPr>
          <w:sz w:val="20"/>
          <w:szCs w:val="20"/>
          <w:color w:val="auto"/>
        </w:rPr>
      </w:pPr>
      <w:r>
        <w:rPr>
          <w:rFonts w:ascii="Courier New" w:cs="Courier New" w:eastAsia="Courier New" w:hAnsi="Courier New"/>
          <w:sz w:val="16"/>
          <w:szCs w:val="16"/>
          <w:color w:val="auto"/>
        </w:rPr>
        <w:t>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99"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Section 7.3.5 Purchase Right in Shares Transferred to the Trustee.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w:t>
      </w:r>
    </w:p>
    <w:p>
      <w:pPr>
        <w:spacing w:after="0" w:line="87" w:lineRule="exact"/>
        <w:rPr>
          <w:sz w:val="20"/>
          <w:szCs w:val="20"/>
          <w:color w:val="auto"/>
        </w:rPr>
      </w:pPr>
    </w:p>
    <w:p>
      <w:pPr>
        <w:ind w:right="2699" w:firstLine="196"/>
        <w:spacing w:after="0" w:line="264" w:lineRule="auto"/>
        <w:rPr>
          <w:sz w:val="20"/>
          <w:szCs w:val="20"/>
          <w:color w:val="auto"/>
        </w:rPr>
      </w:pPr>
      <w:r>
        <w:rPr>
          <w:rFonts w:ascii="Courier New" w:cs="Courier New" w:eastAsia="Courier New" w:hAnsi="Courier New"/>
          <w:sz w:val="16"/>
          <w:szCs w:val="16"/>
          <w:color w:val="auto"/>
        </w:rPr>
        <w:t>Section 7.3.6 Designation of Charitable Beneficiaries.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85" w:lineRule="exact"/>
        <w:rPr>
          <w:sz w:val="20"/>
          <w:szCs w:val="20"/>
          <w:color w:val="auto"/>
        </w:rPr>
      </w:pPr>
    </w:p>
    <w:p>
      <w:pPr>
        <w:ind w:right="2799" w:firstLine="196"/>
        <w:spacing w:after="0" w:line="311" w:lineRule="auto"/>
        <w:rPr>
          <w:sz w:val="20"/>
          <w:szCs w:val="20"/>
          <w:color w:val="auto"/>
        </w:rPr>
      </w:pPr>
      <w:r>
        <w:rPr>
          <w:rFonts w:ascii="Courier New" w:cs="Courier New" w:eastAsia="Courier New" w:hAnsi="Courier New"/>
          <w:sz w:val="16"/>
          <w:szCs w:val="16"/>
          <w:color w:val="auto"/>
        </w:rPr>
        <w:t>Section 7.4 NYSE Transactions. Nothing in this Article VII shall preclude the settlement of any transaction entered into through the facilities of the NYSE or any other national securities exchange or automated inter-</w:t>
      </w:r>
    </w:p>
    <w:p>
      <w:pPr>
        <w:spacing w:after="0" w:line="4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650" w:right="1440" w:bottom="969" w:gutter="0" w:footer="0" w:header="0"/>
        </w:sectPr>
      </w:pPr>
    </w:p>
    <w:bookmarkStart w:id="57" w:name="page58"/>
    <w:bookmarkEnd w:id="57"/>
    <w:p>
      <w:pPr>
        <w:ind w:right="2699"/>
        <w:spacing w:after="0" w:line="290" w:lineRule="auto"/>
        <w:rPr>
          <w:sz w:val="20"/>
          <w:szCs w:val="20"/>
          <w:color w:val="auto"/>
        </w:rPr>
      </w:pPr>
      <w:r>
        <w:rPr>
          <w:rFonts w:ascii="Courier New" w:cs="Courier New" w:eastAsia="Courier New" w:hAnsi="Courier New"/>
          <w:sz w:val="16"/>
          <w:szCs w:val="16"/>
          <w:color w:val="auto"/>
        </w:rPr>
        <w:t>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64" w:lineRule="exact"/>
        <w:rPr>
          <w:sz w:val="20"/>
          <w:szCs w:val="20"/>
          <w:color w:val="auto"/>
        </w:rPr>
      </w:pPr>
    </w:p>
    <w:p>
      <w:pPr>
        <w:ind w:right="2879" w:firstLine="196"/>
        <w:spacing w:after="0" w:line="311" w:lineRule="auto"/>
        <w:rPr>
          <w:sz w:val="20"/>
          <w:szCs w:val="20"/>
          <w:color w:val="auto"/>
        </w:rPr>
      </w:pPr>
      <w:r>
        <w:rPr>
          <w:rFonts w:ascii="Courier New" w:cs="Courier New" w:eastAsia="Courier New" w:hAnsi="Courier New"/>
          <w:sz w:val="16"/>
          <w:szCs w:val="16"/>
          <w:color w:val="auto"/>
        </w:rPr>
        <w:t>Section 7.5 Enforcement. The Trust is authorized specifically to seek equitable relief, including injunctive relief, to enforce the provisions of this Article VII.</w:t>
      </w:r>
    </w:p>
    <w:p>
      <w:pPr>
        <w:spacing w:after="0" w:line="47"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Section 7.6 Non-Waiver. No delay or failure on the part of the Trust or the Board of Trustees in exercising any right hereunder shall operate as a waiver of any right of the Trust or the Board of Trustees, as the case may be, except to the extent specifically waived in writing.</w:t>
      </w:r>
    </w:p>
    <w:p>
      <w:pPr>
        <w:spacing w:after="0" w:line="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VIII</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SHAREHOLDERS</w:t>
      </w:r>
    </w:p>
    <w:p>
      <w:pPr>
        <w:spacing w:after="0" w:line="195" w:lineRule="exact"/>
        <w:rPr>
          <w:sz w:val="20"/>
          <w:szCs w:val="20"/>
          <w:color w:val="auto"/>
        </w:rPr>
      </w:pPr>
    </w:p>
    <w:p>
      <w:pPr>
        <w:ind w:right="2699" w:firstLine="196"/>
        <w:spacing w:after="0" w:line="261" w:lineRule="auto"/>
        <w:rPr>
          <w:sz w:val="20"/>
          <w:szCs w:val="20"/>
          <w:color w:val="auto"/>
        </w:rPr>
      </w:pPr>
      <w:r>
        <w:rPr>
          <w:rFonts w:ascii="Courier New" w:cs="Courier New" w:eastAsia="Courier New" w:hAnsi="Courier New"/>
          <w:sz w:val="16"/>
          <w:szCs w:val="16"/>
          <w:color w:val="auto"/>
        </w:rPr>
        <w:t>Section 8.1 Meetings.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w:t>
      </w:r>
    </w:p>
    <w:p>
      <w:pPr>
        <w:spacing w:after="0" w:line="87" w:lineRule="exact"/>
        <w:rPr>
          <w:sz w:val="20"/>
          <w:szCs w:val="20"/>
          <w:color w:val="auto"/>
        </w:rPr>
      </w:pPr>
    </w:p>
    <w:p>
      <w:pPr>
        <w:ind w:right="2599" w:firstLine="196"/>
        <w:spacing w:after="0" w:line="259" w:lineRule="auto"/>
        <w:rPr>
          <w:sz w:val="20"/>
          <w:szCs w:val="20"/>
          <w:color w:val="auto"/>
        </w:rPr>
      </w:pPr>
      <w:r>
        <w:rPr>
          <w:rFonts w:ascii="Courier New" w:cs="Courier New" w:eastAsia="Courier New" w:hAnsi="Courier New"/>
          <w:sz w:val="16"/>
          <w:szCs w:val="16"/>
          <w:color w:val="auto"/>
        </w:rPr>
        <w:t>Section 8.2 Voting Rights.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spacing w:after="0" w:line="89" w:lineRule="exact"/>
        <w:rPr>
          <w:sz w:val="20"/>
          <w:szCs w:val="20"/>
          <w:color w:val="auto"/>
        </w:rPr>
      </w:pPr>
    </w:p>
    <w:p>
      <w:pPr>
        <w:ind w:right="2799" w:firstLine="196"/>
        <w:spacing w:after="0" w:line="266" w:lineRule="auto"/>
        <w:rPr>
          <w:sz w:val="20"/>
          <w:szCs w:val="20"/>
          <w:color w:val="auto"/>
        </w:rPr>
      </w:pPr>
      <w:r>
        <w:rPr>
          <w:rFonts w:ascii="Courier New" w:cs="Courier New" w:eastAsia="Courier New" w:hAnsi="Courier New"/>
          <w:sz w:val="16"/>
          <w:szCs w:val="16"/>
          <w:color w:val="auto"/>
        </w:rPr>
        <w:t>Section 8.3 Preemptive and Appraisal Rights.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w:t>
      </w:r>
    </w:p>
    <w:p>
      <w:pPr>
        <w:spacing w:after="0" w:line="84"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Section 8.4 Extraordinary Actions.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w:t>
      </w:r>
    </w:p>
    <w:p>
      <w:pPr>
        <w:spacing w:after="0" w:line="82" w:lineRule="exact"/>
        <w:rPr>
          <w:sz w:val="20"/>
          <w:szCs w:val="20"/>
          <w:color w:val="auto"/>
        </w:rPr>
      </w:pPr>
    </w:p>
    <w:p>
      <w:pPr>
        <w:ind w:right="2599" w:firstLine="196"/>
        <w:spacing w:after="0" w:line="373" w:lineRule="auto"/>
        <w:rPr>
          <w:sz w:val="20"/>
          <w:szCs w:val="20"/>
          <w:color w:val="auto"/>
        </w:rPr>
      </w:pPr>
      <w:r>
        <w:rPr>
          <w:rFonts w:ascii="Courier New" w:cs="Courier New" w:eastAsia="Courier New" w:hAnsi="Courier New"/>
          <w:sz w:val="16"/>
          <w:szCs w:val="16"/>
          <w:color w:val="auto"/>
        </w:rPr>
        <w:t>Section 8.5 Board Approval. The submission of any action to the shareholders for their consideration shall first be approved by the Board of Trustees.</w:t>
      </w:r>
    </w:p>
    <w:p>
      <w:pPr>
        <w:ind w:right="2599" w:firstLine="196"/>
        <w:spacing w:after="0" w:line="280" w:lineRule="auto"/>
        <w:rPr>
          <w:sz w:val="20"/>
          <w:szCs w:val="20"/>
          <w:color w:val="auto"/>
        </w:rPr>
      </w:pPr>
      <w:r>
        <w:rPr>
          <w:rFonts w:ascii="Courier New" w:cs="Courier New" w:eastAsia="Courier New" w:hAnsi="Courier New"/>
          <w:sz w:val="16"/>
          <w:szCs w:val="16"/>
          <w:color w:val="auto"/>
        </w:rPr>
        <w:t>Section 8.6 Action By Shareholders without a Meeting.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19"/>
          </w:cols>
          <w:pgMar w:left="240" w:top="650" w:right="1440" w:bottom="1440" w:gutter="0" w:footer="0" w:header="0"/>
        </w:sectPr>
      </w:pPr>
    </w:p>
    <w:bookmarkStart w:id="58" w:name="page59"/>
    <w:bookmarkEnd w:id="58"/>
    <w:p>
      <w:pPr>
        <w:jc w:val="center"/>
        <w:ind w:right="2599"/>
        <w:spacing w:after="0"/>
        <w:rPr>
          <w:sz w:val="20"/>
          <w:szCs w:val="20"/>
          <w:color w:val="auto"/>
        </w:rPr>
      </w:pPr>
      <w:r>
        <w:rPr>
          <w:rFonts w:ascii="Courier New" w:cs="Courier New" w:eastAsia="Courier New" w:hAnsi="Courier New"/>
          <w:sz w:val="16"/>
          <w:szCs w:val="16"/>
          <w:color w:val="auto"/>
        </w:rPr>
        <w:t>ARTICLE IX</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LIABILITY LIMITATION, INDEMNIFICATION</w:t>
      </w:r>
    </w:p>
    <w:p>
      <w:pPr>
        <w:spacing w:after="0" w:line="3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TRANSACTIONS WITH THE TRUST</w:t>
      </w:r>
    </w:p>
    <w:p>
      <w:pPr>
        <w:spacing w:after="0" w:line="165"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9.1 Limitation of Shareholder Liability.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w:t>
      </w:r>
    </w:p>
    <w:p>
      <w:pPr>
        <w:spacing w:after="0" w:line="79" w:lineRule="exact"/>
        <w:rPr>
          <w:sz w:val="20"/>
          <w:szCs w:val="20"/>
          <w:color w:val="auto"/>
        </w:rPr>
      </w:pPr>
    </w:p>
    <w:p>
      <w:pPr>
        <w:ind w:right="2599" w:firstLine="196"/>
        <w:spacing w:after="0" w:line="255" w:lineRule="auto"/>
        <w:rPr>
          <w:sz w:val="20"/>
          <w:szCs w:val="20"/>
          <w:color w:val="auto"/>
        </w:rPr>
      </w:pPr>
      <w:r>
        <w:rPr>
          <w:rFonts w:ascii="Courier New" w:cs="Courier New" w:eastAsia="Courier New" w:hAnsi="Courier New"/>
          <w:sz w:val="16"/>
          <w:szCs w:val="16"/>
          <w:color w:val="auto"/>
        </w:rPr>
        <w:t>Section 9.2 Limitation of Trustee and Officer Liability.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w:t>
      </w:r>
    </w:p>
    <w:p>
      <w:pPr>
        <w:spacing w:after="0" w:line="91" w:lineRule="exact"/>
        <w:rPr>
          <w:sz w:val="20"/>
          <w:szCs w:val="20"/>
          <w:color w:val="auto"/>
        </w:rPr>
      </w:pPr>
    </w:p>
    <w:p>
      <w:pPr>
        <w:ind w:right="2599" w:firstLine="196"/>
        <w:spacing w:after="0" w:line="257" w:lineRule="auto"/>
        <w:rPr>
          <w:sz w:val="20"/>
          <w:szCs w:val="20"/>
          <w:color w:val="auto"/>
        </w:rPr>
      </w:pPr>
      <w:r>
        <w:rPr>
          <w:rFonts w:ascii="Courier New" w:cs="Courier New" w:eastAsia="Courier New" w:hAnsi="Courier New"/>
          <w:sz w:val="16"/>
          <w:szCs w:val="16"/>
          <w:color w:val="auto"/>
        </w:rPr>
        <w:t>Section 9.3 Indemnification.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w:t>
      </w:r>
    </w:p>
    <w:p>
      <w:pPr>
        <w:spacing w:after="0" w:line="96"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Section 9.4 Transactions Between the Trust and its Trustees, Officers, Employees and Agents.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X</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AMENDMENTS</w:t>
      </w:r>
    </w:p>
    <w:p>
      <w:pPr>
        <w:spacing w:after="0" w:line="195" w:lineRule="exact"/>
        <w:rPr>
          <w:sz w:val="20"/>
          <w:szCs w:val="20"/>
          <w:color w:val="auto"/>
        </w:rPr>
      </w:pPr>
    </w:p>
    <w:p>
      <w:pPr>
        <w:ind w:right="2599" w:firstLine="196"/>
        <w:spacing w:after="0" w:line="259" w:lineRule="auto"/>
        <w:rPr>
          <w:sz w:val="20"/>
          <w:szCs w:val="20"/>
          <w:color w:val="auto"/>
        </w:rPr>
      </w:pPr>
      <w:r>
        <w:rPr>
          <w:rFonts w:ascii="Courier New" w:cs="Courier New" w:eastAsia="Courier New" w:hAnsi="Courier New"/>
          <w:sz w:val="16"/>
          <w:szCs w:val="16"/>
          <w:color w:val="auto"/>
        </w:rPr>
        <w:t>Section 10.1 General.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w:t>
      </w:r>
    </w:p>
    <w:p>
      <w:pPr>
        <w:spacing w:after="0" w:line="8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50" w:right="1440" w:bottom="1157" w:gutter="0" w:footer="0" w:header="0"/>
        </w:sectPr>
      </w:pPr>
    </w:p>
    <w:bookmarkStart w:id="59" w:name="page60"/>
    <w:bookmarkEnd w:id="59"/>
    <w:p>
      <w:pPr>
        <w:ind w:right="2699" w:firstLine="196"/>
        <w:spacing w:after="0" w:line="290" w:lineRule="auto"/>
        <w:rPr>
          <w:sz w:val="20"/>
          <w:szCs w:val="20"/>
          <w:color w:val="auto"/>
        </w:rPr>
      </w:pPr>
      <w:r>
        <w:rPr>
          <w:rFonts w:ascii="Courier New" w:cs="Courier New" w:eastAsia="Courier New" w:hAnsi="Courier New"/>
          <w:sz w:val="16"/>
          <w:szCs w:val="16"/>
          <w:color w:val="auto"/>
        </w:rPr>
        <w:t>Section 10.2 By Trustees. The Trustees may amend the Declaration of Trust from time to time, in the manner provided by Title 8, without any action by the shareholders, to qualify as a real estate investment trust under the Code or under Title 8 and as otherwise provided in the Declaration of Trust.</w:t>
      </w:r>
    </w:p>
    <w:p>
      <w:pPr>
        <w:spacing w:after="0" w:line="6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10.3 By Shareholders.</w:t>
      </w:r>
    </w:p>
    <w:p>
      <w:pPr>
        <w:spacing w:after="0" w:line="195" w:lineRule="exact"/>
        <w:rPr>
          <w:sz w:val="20"/>
          <w:szCs w:val="20"/>
          <w:color w:val="auto"/>
        </w:rPr>
      </w:pPr>
    </w:p>
    <w:p>
      <w:pPr>
        <w:ind w:right="2599" w:firstLine="196"/>
        <w:spacing w:after="0" w:line="290" w:lineRule="auto"/>
        <w:tabs>
          <w:tab w:leader="none" w:pos="5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the Declaration of Trust and in subsection (b) of this Section 10.3, any amendment to the Declaration of Trust shall be valid only if approved by the affirmative vote of two-thirds of all votes entitled to be cast on the matter.</w:t>
      </w:r>
    </w:p>
    <w:p>
      <w:pPr>
        <w:spacing w:after="0" w:line="63" w:lineRule="exact"/>
        <w:rPr>
          <w:rFonts w:ascii="Courier New" w:cs="Courier New" w:eastAsia="Courier New" w:hAnsi="Courier New"/>
          <w:sz w:val="16"/>
          <w:szCs w:val="16"/>
          <w:color w:val="auto"/>
        </w:rPr>
      </w:pPr>
    </w:p>
    <w:p>
      <w:pPr>
        <w:ind w:right="2599" w:firstLine="196"/>
        <w:spacing w:after="0" w:line="311" w:lineRule="auto"/>
        <w:tabs>
          <w:tab w:leader="none" w:pos="5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to the Declaration of Trust which has been unanimously approved by the Board of Trustees shall require only the affirmative vote of a majority of all votes entitled to be cast on the matter.</w:t>
      </w:r>
    </w:p>
    <w:p>
      <w:pPr>
        <w:spacing w:after="0" w:line="4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XI</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MERGER, CONSOLIDATION OR SALE OF TRUST PROPERTY</w:t>
      </w:r>
    </w:p>
    <w:p>
      <w:pPr>
        <w:spacing w:after="0" w:line="195" w:lineRule="exact"/>
        <w:rPr>
          <w:sz w:val="20"/>
          <w:szCs w:val="20"/>
          <w:color w:val="auto"/>
        </w:rPr>
      </w:pPr>
    </w:p>
    <w:p>
      <w:pPr>
        <w:ind w:right="2599" w:firstLine="196"/>
        <w:spacing w:after="0" w:line="266" w:lineRule="auto"/>
        <w:rPr>
          <w:sz w:val="20"/>
          <w:szCs w:val="20"/>
          <w:color w:val="auto"/>
        </w:rPr>
      </w:pPr>
      <w:r>
        <w:rPr>
          <w:rFonts w:ascii="Courier New" w:cs="Courier New" w:eastAsia="Courier New" w:hAnsi="Courier New"/>
          <w:sz w:val="16"/>
          <w:szCs w:val="16"/>
          <w:color w:val="auto"/>
        </w:rPr>
        <w:t>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two-thirds of all the votes entitled to be cast on the matter.</w:t>
      </w:r>
    </w:p>
    <w:p>
      <w:pPr>
        <w:spacing w:after="0" w:line="8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XII</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DURATION AND TERMINATION OF TRUST</w:t>
      </w:r>
    </w:p>
    <w:p>
      <w:pPr>
        <w:spacing w:after="0" w:line="195" w:lineRule="exact"/>
        <w:rPr>
          <w:sz w:val="20"/>
          <w:szCs w:val="20"/>
          <w:color w:val="auto"/>
        </w:rPr>
      </w:pPr>
    </w:p>
    <w:p>
      <w:pPr>
        <w:ind w:right="2599" w:firstLine="196"/>
        <w:spacing w:after="0" w:line="335" w:lineRule="auto"/>
        <w:rPr>
          <w:sz w:val="20"/>
          <w:szCs w:val="20"/>
          <w:color w:val="auto"/>
        </w:rPr>
      </w:pPr>
      <w:r>
        <w:rPr>
          <w:rFonts w:ascii="Courier New" w:cs="Courier New" w:eastAsia="Courier New" w:hAnsi="Courier New"/>
          <w:sz w:val="16"/>
          <w:szCs w:val="16"/>
          <w:color w:val="auto"/>
        </w:rPr>
        <w:t>Section 12.1 Duration. The Trust shall continue perpetually unless terminated pursuant to Section 12.2 or pursuant to any applicable provision of Title 8.</w:t>
      </w:r>
    </w:p>
    <w:p>
      <w:pPr>
        <w:spacing w:after="0" w:line="24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12.2 Termination.</w:t>
      </w:r>
    </w:p>
    <w:p>
      <w:pPr>
        <w:spacing w:after="0" w:line="195" w:lineRule="exact"/>
        <w:rPr>
          <w:sz w:val="20"/>
          <w:szCs w:val="20"/>
          <w:color w:val="auto"/>
        </w:rPr>
      </w:pPr>
    </w:p>
    <w:p>
      <w:pPr>
        <w:ind w:right="2599" w:firstLine="196"/>
        <w:spacing w:after="0" w:line="280" w:lineRule="auto"/>
        <w:tabs>
          <w:tab w:leader="none" w:pos="58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any class or series of Shares at the time outstanding, after approval by a majority of the entire Board of Trustees, the Trust may be terminated at any meeting of shareholders, by the affirmative vote of two-thirds of all the votes entitled to be cast on the matter. Upon the termination of the Trust:</w:t>
      </w:r>
    </w:p>
    <w:p>
      <w:pPr>
        <w:spacing w:after="0" w:line="70" w:lineRule="exact"/>
        <w:rPr>
          <w:sz w:val="20"/>
          <w:szCs w:val="20"/>
          <w:color w:val="auto"/>
        </w:rPr>
      </w:pPr>
    </w:p>
    <w:p>
      <w:pPr>
        <w:ind w:right="2799" w:firstLine="196"/>
        <w:spacing w:after="0" w:line="373" w:lineRule="auto"/>
        <w:tabs>
          <w:tab w:leader="none" w:pos="58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carry on no business except for the purpose of winding up its affairs.</w:t>
      </w:r>
    </w:p>
    <w:p>
      <w:pPr>
        <w:ind w:right="2699" w:firstLine="196"/>
        <w:spacing w:after="0" w:line="266" w:lineRule="auto"/>
        <w:tabs>
          <w:tab w:leader="none" w:pos="68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w:t>
      </w:r>
    </w:p>
    <w:p>
      <w:pPr>
        <w:spacing w:after="0" w:line="84" w:lineRule="exact"/>
        <w:rPr>
          <w:rFonts w:ascii="Courier New" w:cs="Courier New" w:eastAsia="Courier New" w:hAnsi="Courier New"/>
          <w:sz w:val="16"/>
          <w:szCs w:val="16"/>
          <w:color w:val="auto"/>
        </w:rPr>
      </w:pPr>
    </w:p>
    <w:p>
      <w:pPr>
        <w:ind w:right="2599" w:firstLine="196"/>
        <w:spacing w:after="0" w:line="264" w:lineRule="auto"/>
        <w:tabs>
          <w:tab w:leader="none" w:pos="78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w:t>
      </w:r>
    </w:p>
    <w:p>
      <w:pPr>
        <w:spacing w:after="0" w:line="85" w:lineRule="exact"/>
        <w:rPr>
          <w:sz w:val="20"/>
          <w:szCs w:val="20"/>
          <w:color w:val="auto"/>
        </w:rPr>
      </w:pPr>
    </w:p>
    <w:p>
      <w:pPr>
        <w:ind w:right="2599" w:firstLine="196"/>
        <w:spacing w:after="0" w:line="273" w:lineRule="auto"/>
        <w:tabs>
          <w:tab w:leader="none" w:pos="58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w:t>
      </w:r>
    </w:p>
    <w:p>
      <w:pPr>
        <w:spacing w:after="0" w:line="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650" w:right="1440" w:bottom="1440" w:gutter="0" w:footer="0" w:header="0"/>
        </w:sectPr>
      </w:pPr>
    </w:p>
    <w:bookmarkStart w:id="60" w:name="page61"/>
    <w:bookmarkEnd w:id="60"/>
    <w:p>
      <w:pPr>
        <w:ind w:left="3220"/>
        <w:spacing w:after="0"/>
        <w:rPr>
          <w:sz w:val="20"/>
          <w:szCs w:val="20"/>
          <w:color w:val="auto"/>
        </w:rPr>
      </w:pPr>
      <w:r>
        <w:rPr>
          <w:rFonts w:ascii="Courier New" w:cs="Courier New" w:eastAsia="Courier New" w:hAnsi="Courier New"/>
          <w:sz w:val="16"/>
          <w:szCs w:val="16"/>
          <w:color w:val="auto"/>
        </w:rPr>
        <w:t>ARTICLE XIII</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13.1 Governing Law.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79" w:lineRule="exact"/>
        <w:rPr>
          <w:sz w:val="20"/>
          <w:szCs w:val="20"/>
          <w:color w:val="auto"/>
        </w:rPr>
      </w:pPr>
    </w:p>
    <w:p>
      <w:pPr>
        <w:ind w:right="2799" w:firstLine="196"/>
        <w:spacing w:after="0" w:line="256" w:lineRule="auto"/>
        <w:rPr>
          <w:sz w:val="20"/>
          <w:szCs w:val="20"/>
          <w:color w:val="auto"/>
        </w:rPr>
      </w:pPr>
      <w:r>
        <w:rPr>
          <w:rFonts w:ascii="Courier New" w:cs="Courier New" w:eastAsia="Courier New" w:hAnsi="Courier New"/>
          <w:sz w:val="16"/>
          <w:szCs w:val="16"/>
          <w:color w:val="auto"/>
        </w:rPr>
        <w:t>Section 13.2 Reliance by Third Parties. Any certificate shall be final and conclusive as to any person dealing with the Trust if executed by the Secretary or an Assistant Secretary of the Trust or a Trustee, and if certifying to: (a) the number or identity of Trustees, officers of the Trust or shareholders; (b) the due authorization of the execution of any document;</w:t>
      </w:r>
    </w:p>
    <w:p>
      <w:pPr>
        <w:spacing w:after="0" w:line="3" w:lineRule="exact"/>
        <w:rPr>
          <w:sz w:val="20"/>
          <w:szCs w:val="20"/>
          <w:color w:val="auto"/>
        </w:rPr>
      </w:pPr>
    </w:p>
    <w:p>
      <w:pPr>
        <w:ind w:right="2699"/>
        <w:spacing w:after="0" w:line="248" w:lineRule="auto"/>
        <w:tabs>
          <w:tab w:leader="none" w:pos="39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w:t>
      </w:r>
    </w:p>
    <w:p>
      <w:pPr>
        <w:spacing w:after="0" w:line="2" w:lineRule="exact"/>
        <w:rPr>
          <w:rFonts w:ascii="Courier New" w:cs="Courier New" w:eastAsia="Courier New" w:hAnsi="Courier New"/>
          <w:sz w:val="16"/>
          <w:szCs w:val="16"/>
          <w:color w:val="auto"/>
        </w:rPr>
      </w:pPr>
    </w:p>
    <w:p>
      <w:pPr>
        <w:ind w:right="2799"/>
        <w:spacing w:after="0" w:line="277" w:lineRule="auto"/>
        <w:tabs>
          <w:tab w:leader="none" w:pos="39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w:t>
      </w:r>
    </w:p>
    <w:p>
      <w:pPr>
        <w:spacing w:after="0" w:line="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13.3 Severability.</w:t>
      </w:r>
    </w:p>
    <w:p>
      <w:pPr>
        <w:spacing w:after="0" w:line="195" w:lineRule="exact"/>
        <w:rPr>
          <w:sz w:val="20"/>
          <w:szCs w:val="20"/>
          <w:color w:val="auto"/>
        </w:rPr>
      </w:pPr>
    </w:p>
    <w:p>
      <w:pPr>
        <w:ind w:right="2599" w:firstLine="196"/>
        <w:spacing w:after="0" w:line="259" w:lineRule="auto"/>
        <w:tabs>
          <w:tab w:leader="none" w:pos="58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w:t>
      </w:r>
    </w:p>
    <w:p>
      <w:pPr>
        <w:spacing w:after="0" w:line="88" w:lineRule="exact"/>
        <w:rPr>
          <w:rFonts w:ascii="Courier New" w:cs="Courier New" w:eastAsia="Courier New" w:hAnsi="Courier New"/>
          <w:sz w:val="16"/>
          <w:szCs w:val="16"/>
          <w:color w:val="auto"/>
        </w:rPr>
      </w:pPr>
    </w:p>
    <w:p>
      <w:pPr>
        <w:ind w:right="2599" w:firstLine="196"/>
        <w:spacing w:after="0" w:line="273" w:lineRule="auto"/>
        <w:tabs>
          <w:tab w:leader="none" w:pos="58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spacing w:after="0" w:line="79" w:lineRule="exact"/>
        <w:rPr>
          <w:sz w:val="20"/>
          <w:szCs w:val="20"/>
          <w:color w:val="auto"/>
        </w:rPr>
      </w:pPr>
    </w:p>
    <w:p>
      <w:pPr>
        <w:ind w:right="2599" w:firstLine="196"/>
        <w:spacing w:after="0" w:line="258" w:lineRule="auto"/>
        <w:rPr>
          <w:sz w:val="20"/>
          <w:szCs w:val="20"/>
          <w:color w:val="auto"/>
        </w:rPr>
      </w:pPr>
      <w:r>
        <w:rPr>
          <w:rFonts w:ascii="Courier New" w:cs="Courier New" w:eastAsia="Courier New" w:hAnsi="Courier New"/>
          <w:sz w:val="16"/>
          <w:szCs w:val="16"/>
          <w:color w:val="auto"/>
        </w:rPr>
        <w:t>Section 13.4 Construction.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spacing w:after="0" w:line="91" w:lineRule="exact"/>
        <w:rPr>
          <w:sz w:val="20"/>
          <w:szCs w:val="20"/>
          <w:color w:val="auto"/>
        </w:rPr>
      </w:pPr>
    </w:p>
    <w:p>
      <w:pPr>
        <w:ind w:right="2599" w:firstLine="196"/>
        <w:spacing w:after="0" w:line="260" w:lineRule="auto"/>
        <w:rPr>
          <w:sz w:val="20"/>
          <w:szCs w:val="20"/>
          <w:color w:val="auto"/>
        </w:rPr>
      </w:pPr>
      <w:r>
        <w:rPr>
          <w:rFonts w:ascii="Courier New" w:cs="Courier New" w:eastAsia="Courier New" w:hAnsi="Courier New"/>
          <w:sz w:val="16"/>
          <w:szCs w:val="16"/>
          <w:color w:val="auto"/>
        </w:rPr>
        <w:t>Section 13.5 Recordation. The Trust was formerly governed by the laws of the District of Columbia pursuant to a Declaration of Trust, dated May 25, 1962, as subsequently amended. This Declaration of Trust has been filed with and accepted for record by the SDAT and any amendment hereto shall be filed with and accepted for record with the SDAT and may also be filed or recorded in such other places as the Trustees deem appropriate, but failure to file for record the Declaration of Trust or any amendment hereto in any office other than in the SDAT shall not affect or impair the validity or effectiveness of the Declaration of Trust or any amendment hereto. A restated Declaration of Trust shall, upon filing, be conclusive evidence of all amendments contained therein and may thereafter be referred to in lieu of the original Declaration of Trust and the various amendments thereto.</w:t>
      </w:r>
    </w:p>
    <w:p>
      <w:pPr>
        <w:spacing w:after="0" w:line="2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651" w:right="1440" w:bottom="969" w:gutter="0" w:footer="0" w:header="0"/>
        </w:sectPr>
      </w:pPr>
    </w:p>
    <w:bookmarkStart w:id="61" w:name="page62"/>
    <w:bookmarkEnd w:id="61"/>
    <w:p>
      <w:pPr>
        <w:ind w:right="2599" w:firstLine="196"/>
        <w:spacing w:after="0" w:line="311" w:lineRule="auto"/>
        <w:rPr>
          <w:sz w:val="20"/>
          <w:szCs w:val="20"/>
          <w:color w:val="auto"/>
        </w:rPr>
      </w:pPr>
      <w:r>
        <w:rPr>
          <w:rFonts w:ascii="Courier New" w:cs="Courier New" w:eastAsia="Courier New" w:hAnsi="Courier New"/>
          <w:sz w:val="16"/>
          <w:szCs w:val="16"/>
          <w:color w:val="auto"/>
        </w:rPr>
        <w:t>Section 13.6 Share Certificates. Certificates for Shares of beneficial interest issued prior to the date of acceptance for record of this Declaration of Trust by the SDAT shall continue to represent shares after such date.</w:t>
      </w:r>
    </w:p>
    <w:p>
      <w:pPr>
        <w:spacing w:after="0" w:line="47" w:lineRule="exact"/>
        <w:rPr>
          <w:sz w:val="20"/>
          <w:szCs w:val="20"/>
          <w:color w:val="auto"/>
        </w:rPr>
      </w:pPr>
    </w:p>
    <w:p>
      <w:pPr>
        <w:ind w:right="2799" w:firstLine="196"/>
        <w:spacing w:after="0" w:line="280" w:lineRule="auto"/>
        <w:rPr>
          <w:sz w:val="20"/>
          <w:szCs w:val="20"/>
          <w:color w:val="auto"/>
        </w:rPr>
      </w:pPr>
      <w:r>
        <w:rPr>
          <w:rFonts w:ascii="Courier New" w:cs="Courier New" w:eastAsia="Courier New" w:hAnsi="Courier New"/>
          <w:sz w:val="16"/>
          <w:szCs w:val="16"/>
          <w:color w:val="auto"/>
        </w:rPr>
        <w:t>This Declaration of Trust is executed by the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70"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IN WITNESS WHEREOF, this Declaration of Trust has been executed on this day of , 1999 by the undersigned Trustees, who acknowledge that this document is their act, that to the best of their knowledge, information, and belief, the matters and facts set forth herein are true in all material respects and that this statement is made under the penalties for perjury.</w:t>
      </w:r>
    </w:p>
    <w:p>
      <w:pPr>
        <w:spacing w:after="0" w:line="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650" w:right="1440" w:bottom="1440" w:gutter="0" w:footer="0" w:header="0"/>
        </w:sectPr>
      </w:pPr>
    </w:p>
    <w:bookmarkStart w:id="62" w:name="page63"/>
    <w:bookmarkEnd w:id="62"/>
    <w:p>
      <w:pPr>
        <w:jc w:val="right"/>
        <w:ind w:right="2499"/>
        <w:spacing w:after="0"/>
        <w:rPr>
          <w:sz w:val="20"/>
          <w:szCs w:val="20"/>
          <w:color w:val="auto"/>
        </w:rPr>
      </w:pPr>
      <w:r>
        <w:rPr>
          <w:rFonts w:ascii="Courier New" w:cs="Courier New" w:eastAsia="Courier New" w:hAnsi="Courier New"/>
          <w:sz w:val="16"/>
          <w:szCs w:val="16"/>
          <w:color w:val="auto"/>
        </w:rPr>
        <w:t>APPENDIX B</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BYLAWS</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I</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OFFICES</w:t>
      </w:r>
    </w:p>
    <w:p>
      <w:pPr>
        <w:spacing w:after="0" w:line="195" w:lineRule="exact"/>
        <w:rPr>
          <w:sz w:val="20"/>
          <w:szCs w:val="20"/>
          <w:color w:val="auto"/>
        </w:rPr>
      </w:pPr>
    </w:p>
    <w:p>
      <w:pPr>
        <w:ind w:right="3079" w:firstLine="196"/>
        <w:spacing w:after="0" w:line="373" w:lineRule="auto"/>
        <w:rPr>
          <w:sz w:val="20"/>
          <w:szCs w:val="20"/>
          <w:color w:val="auto"/>
        </w:rPr>
      </w:pPr>
      <w:r>
        <w:rPr>
          <w:rFonts w:ascii="Courier New" w:cs="Courier New" w:eastAsia="Courier New" w:hAnsi="Courier New"/>
          <w:sz w:val="16"/>
          <w:szCs w:val="16"/>
          <w:color w:val="auto"/>
        </w:rPr>
        <w:t>Section 1. PRINCIPAL OFFICE. The principal office of the Trust shall be located at such place or places as the Trustees may designate.</w:t>
      </w:r>
    </w:p>
    <w:p>
      <w:pPr>
        <w:ind w:right="2599" w:firstLine="196"/>
        <w:spacing w:after="0" w:line="311" w:lineRule="auto"/>
        <w:rPr>
          <w:sz w:val="20"/>
          <w:szCs w:val="20"/>
          <w:color w:val="auto"/>
        </w:rPr>
      </w:pPr>
      <w:r>
        <w:rPr>
          <w:rFonts w:ascii="Courier New" w:cs="Courier New" w:eastAsia="Courier New" w:hAnsi="Courier New"/>
          <w:sz w:val="16"/>
          <w:szCs w:val="16"/>
          <w:color w:val="auto"/>
        </w:rPr>
        <w:t>Section 2. ADDITIONAL OFFICES. The Trust may have additional offices at such places as the Board of Trustees may from time to time determine or the business of the Trust may require.</w:t>
      </w:r>
    </w:p>
    <w:p>
      <w:pPr>
        <w:spacing w:after="0" w:line="4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II</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MEETINGS OF SHAREHOLDERS</w:t>
      </w:r>
    </w:p>
    <w:p>
      <w:pPr>
        <w:spacing w:after="0" w:line="195" w:lineRule="exact"/>
        <w:rPr>
          <w:sz w:val="20"/>
          <w:szCs w:val="20"/>
          <w:color w:val="auto"/>
        </w:rPr>
      </w:pPr>
    </w:p>
    <w:p>
      <w:pPr>
        <w:ind w:right="3079" w:firstLine="196"/>
        <w:spacing w:after="0" w:line="311" w:lineRule="auto"/>
        <w:rPr>
          <w:sz w:val="20"/>
          <w:szCs w:val="20"/>
          <w:color w:val="auto"/>
        </w:rPr>
      </w:pPr>
      <w:r>
        <w:rPr>
          <w:rFonts w:ascii="Courier New" w:cs="Courier New" w:eastAsia="Courier New" w:hAnsi="Courier New"/>
          <w:sz w:val="16"/>
          <w:szCs w:val="16"/>
          <w:color w:val="auto"/>
        </w:rPr>
        <w:t>Section 1. PLACE. All meetings of shareholders shall be held at the principal executive office of the Trust or at such other place within the United States as shall be stated in the notice of the meeting.</w:t>
      </w:r>
    </w:p>
    <w:p>
      <w:pPr>
        <w:spacing w:after="0" w:line="47" w:lineRule="exact"/>
        <w:rPr>
          <w:sz w:val="20"/>
          <w:szCs w:val="20"/>
          <w:color w:val="auto"/>
        </w:rPr>
      </w:pPr>
    </w:p>
    <w:p>
      <w:pPr>
        <w:ind w:right="2699" w:firstLine="196"/>
        <w:spacing w:after="0" w:line="266" w:lineRule="auto"/>
        <w:rPr>
          <w:sz w:val="20"/>
          <w:szCs w:val="20"/>
          <w:color w:val="auto"/>
        </w:rPr>
      </w:pPr>
      <w:r>
        <w:rPr>
          <w:rFonts w:ascii="Courier New" w:cs="Courier New" w:eastAsia="Courier New" w:hAnsi="Courier New"/>
          <w:sz w:val="16"/>
          <w:szCs w:val="16"/>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84" w:lineRule="exact"/>
        <w:rPr>
          <w:sz w:val="20"/>
          <w:szCs w:val="20"/>
          <w:color w:val="auto"/>
        </w:rPr>
      </w:pPr>
    </w:p>
    <w:p>
      <w:pPr>
        <w:ind w:right="2699" w:firstLine="196"/>
        <w:spacing w:after="0" w:line="258" w:lineRule="auto"/>
        <w:rPr>
          <w:sz w:val="20"/>
          <w:szCs w:val="20"/>
          <w:color w:val="auto"/>
        </w:rPr>
      </w:pPr>
      <w:r>
        <w:rPr>
          <w:rFonts w:ascii="Courier New" w:cs="Courier New" w:eastAsia="Courier New" w:hAnsi="Courier New"/>
          <w:sz w:val="16"/>
          <w:szCs w:val="16"/>
          <w:color w:val="auto"/>
        </w:rPr>
        <w:t>Section 3. SPECIAL MEETINGS.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91"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Section</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2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SCOPE OF NOTICE. Any</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business of the</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Trust may be transacted at</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an annual</w:t>
            </w:r>
          </w:p>
        </w:tc>
        <w:tc>
          <w:tcPr>
            <w:tcW w:w="23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meeting of shareholders</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without being</w:t>
            </w:r>
          </w:p>
        </w:tc>
        <w:tc>
          <w:tcPr>
            <w:tcW w:w="3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specifically designated in the</w:t>
            </w:r>
          </w:p>
        </w:tc>
      </w:tr>
      <w:tr>
        <w:trPr>
          <w:trHeight w:val="188"/>
        </w:trPr>
        <w:tc>
          <w:tcPr>
            <w:tcW w:w="1900" w:type="dxa"/>
            <w:vAlign w:val="bottom"/>
            <w:gridSpan w:val="3"/>
          </w:tcPr>
          <w:p>
            <w:pPr>
              <w:spacing w:after="0"/>
              <w:rPr>
                <w:sz w:val="20"/>
                <w:szCs w:val="20"/>
                <w:color w:val="auto"/>
              </w:rPr>
            </w:pPr>
            <w:r>
              <w:rPr>
                <w:rFonts w:ascii="Courier New" w:cs="Courier New" w:eastAsia="Courier New" w:hAnsi="Courier New"/>
                <w:sz w:val="16"/>
                <w:szCs w:val="16"/>
                <w:color w:val="auto"/>
              </w:rPr>
              <w:t>notice, except such</w:t>
            </w:r>
          </w:p>
        </w:tc>
        <w:tc>
          <w:tcPr>
            <w:tcW w:w="2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business as is required by</w:t>
            </w:r>
          </w:p>
        </w:tc>
        <w:tc>
          <w:tcPr>
            <w:tcW w:w="3020" w:type="dxa"/>
            <w:vAlign w:val="bottom"/>
            <w:gridSpan w:val="2"/>
          </w:tcPr>
          <w:p>
            <w:pPr>
              <w:spacing w:after="0"/>
              <w:rPr>
                <w:sz w:val="20"/>
                <w:szCs w:val="20"/>
                <w:color w:val="auto"/>
              </w:rPr>
            </w:pPr>
            <w:r>
              <w:rPr>
                <w:rFonts w:ascii="Courier New" w:cs="Courier New" w:eastAsia="Courier New" w:hAnsi="Courier New"/>
                <w:sz w:val="16"/>
                <w:szCs w:val="16"/>
                <w:color w:val="auto"/>
              </w:rPr>
              <w:t>any statute to be stated in</w:t>
            </w:r>
          </w:p>
        </w:tc>
      </w:tr>
      <w:tr>
        <w:trPr>
          <w:trHeight w:val="188"/>
        </w:trPr>
        <w:tc>
          <w:tcPr>
            <w:tcW w:w="4600" w:type="dxa"/>
            <w:vAlign w:val="bottom"/>
            <w:gridSpan w:val="5"/>
          </w:tcPr>
          <w:p>
            <w:pPr>
              <w:spacing w:after="0"/>
              <w:rPr>
                <w:sz w:val="20"/>
                <w:szCs w:val="20"/>
                <w:color w:val="auto"/>
              </w:rPr>
            </w:pPr>
            <w:r>
              <w:rPr>
                <w:rFonts w:ascii="Courier New" w:cs="Courier New" w:eastAsia="Courier New" w:hAnsi="Courier New"/>
                <w:sz w:val="16"/>
                <w:szCs w:val="16"/>
                <w:color w:val="auto"/>
              </w:rPr>
              <w:t>such notice. No business shall be transacted at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special meeting of</w:t>
            </w:r>
          </w:p>
        </w:tc>
      </w:tr>
      <w:tr>
        <w:trPr>
          <w:trHeight w:val="276"/>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shareholders</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except</w:t>
            </w:r>
          </w:p>
        </w:tc>
        <w:tc>
          <w:tcPr>
            <w:tcW w:w="2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specifically designated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83"/>
              </w:rPr>
              <w:t>in</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the notice.</w:t>
            </w:r>
          </w:p>
        </w:tc>
      </w:tr>
    </w:tbl>
    <w:p>
      <w:pPr>
        <w:spacing w:after="0" w:line="100" w:lineRule="exact"/>
        <w:rPr>
          <w:sz w:val="20"/>
          <w:szCs w:val="20"/>
          <w:color w:val="auto"/>
        </w:rPr>
      </w:pPr>
    </w:p>
    <w:p>
      <w:pPr>
        <w:ind w:right="2699" w:firstLine="196"/>
        <w:spacing w:after="0" w:line="311" w:lineRule="auto"/>
        <w:rPr>
          <w:sz w:val="20"/>
          <w:szCs w:val="20"/>
          <w:color w:val="auto"/>
        </w:rPr>
      </w:pPr>
      <w:r>
        <w:rPr>
          <w:rFonts w:ascii="Courier New" w:cs="Courier New" w:eastAsia="Courier New" w:hAnsi="Courier New"/>
          <w:sz w:val="16"/>
          <w:szCs w:val="16"/>
          <w:color w:val="auto"/>
        </w:rPr>
        <w:t>Section 6. ORGANIZATION. At every meeting of the shareholders, the Chief Executive Officer, if there be one, shall conduct the meeting or, in the case of vacancy in office or absence of the Chief Executive Officer, one</w:t>
      </w:r>
    </w:p>
    <w:p>
      <w:pPr>
        <w:spacing w:after="0" w:line="4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50" w:right="1440" w:bottom="1440" w:gutter="0" w:footer="0" w:header="0"/>
        </w:sectPr>
      </w:pPr>
    </w:p>
    <w:bookmarkStart w:id="63" w:name="page64"/>
    <w:bookmarkEnd w:id="63"/>
    <w:p>
      <w:pPr>
        <w:ind w:right="2599"/>
        <w:spacing w:after="0" w:line="266" w:lineRule="auto"/>
        <w:rPr>
          <w:sz w:val="20"/>
          <w:szCs w:val="20"/>
          <w:color w:val="auto"/>
        </w:rPr>
      </w:pPr>
      <w:r>
        <w:rPr>
          <w:rFonts w:ascii="Courier New" w:cs="Courier New" w:eastAsia="Courier New" w:hAnsi="Courier New"/>
          <w:sz w:val="16"/>
          <w:szCs w:val="16"/>
          <w:color w:val="auto"/>
        </w:rPr>
        <w:t>of the following officers present shall conduct the meeting in the order stated: the President, the Executive Officers (as defined in Article V, Section 6) in their order of rank and seniority, or a Chairman chosen by the shareholders entitled to cast a majority of the votes which all shareholders present in person or by proxy are entitled to cast, shall act as Chairman, and the Secretary, or, in his absence, an assistant secretary, or in the absence of both the Secretary and assistant secretaries, a person appointed by the Chief Executive Officer shall act as Secretary.</w:t>
      </w:r>
    </w:p>
    <w:p>
      <w:pPr>
        <w:spacing w:after="0" w:line="84"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87"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Section 8. VOTING.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87"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79" w:lineRule="exact"/>
        <w:rPr>
          <w:sz w:val="20"/>
          <w:szCs w:val="20"/>
          <w:color w:val="auto"/>
        </w:rPr>
      </w:pPr>
    </w:p>
    <w:p>
      <w:pPr>
        <w:ind w:right="2699" w:firstLine="196"/>
        <w:spacing w:after="0" w:line="261" w:lineRule="auto"/>
        <w:rPr>
          <w:sz w:val="20"/>
          <w:szCs w:val="20"/>
          <w:color w:val="auto"/>
        </w:rPr>
      </w:pPr>
      <w:r>
        <w:rPr>
          <w:rFonts w:ascii="Courier New" w:cs="Courier New" w:eastAsia="Courier New" w:hAnsi="Courier New"/>
          <w:sz w:val="16"/>
          <w:szCs w:val="16"/>
          <w:color w:val="auto"/>
        </w:rPr>
        <w:t>Section 10. VOTING OF SHARES BY CERTAIN HOLDERS. Shares of the Trust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presents a certified copy of such bylaw, resolution or agreement, in which case such person may vote such shares. Any trustee or other fiduciary may vote shares registered in his name as such fiduciary, either in person or by proxy.</w:t>
      </w:r>
    </w:p>
    <w:p>
      <w:pPr>
        <w:spacing w:after="0" w:line="87"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79" w:lineRule="exact"/>
        <w:rPr>
          <w:sz w:val="20"/>
          <w:szCs w:val="20"/>
          <w:color w:val="auto"/>
        </w:rPr>
      </w:pPr>
    </w:p>
    <w:p>
      <w:pPr>
        <w:ind w:right="2699" w:firstLine="196"/>
        <w:spacing w:after="0" w:line="260" w:lineRule="auto"/>
        <w:rPr>
          <w:sz w:val="20"/>
          <w:szCs w:val="20"/>
          <w:color w:val="auto"/>
        </w:rPr>
      </w:pPr>
      <w:r>
        <w:rPr>
          <w:rFonts w:ascii="Courier New" w:cs="Courier New" w:eastAsia="Courier New" w:hAnsi="Courier New"/>
          <w:sz w:val="16"/>
          <w:szCs w:val="16"/>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w:t>
      </w:r>
    </w:p>
    <w:p>
      <w:pPr>
        <w:spacing w:after="0" w:line="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50" w:right="1440" w:bottom="1440" w:gutter="0" w:footer="0" w:header="0"/>
        </w:sectPr>
      </w:pPr>
    </w:p>
    <w:bookmarkStart w:id="64" w:name="page65"/>
    <w:bookmarkEnd w:id="64"/>
    <w:p>
      <w:pPr>
        <w:ind w:right="2699"/>
        <w:spacing w:after="0" w:line="373" w:lineRule="auto"/>
        <w:rPr>
          <w:sz w:val="20"/>
          <w:szCs w:val="20"/>
          <w:color w:val="auto"/>
        </w:rPr>
      </w:pPr>
      <w:r>
        <w:rPr>
          <w:rFonts w:ascii="Courier New" w:cs="Courier New" w:eastAsia="Courier New" w:hAnsi="Courier New"/>
          <w:sz w:val="16"/>
          <w:szCs w:val="16"/>
          <w:color w:val="auto"/>
        </w:rPr>
        <w:t>forth in the certification, the shareholder of record of the specified shares in place of the shareholder who makes the certification.</w:t>
      </w:r>
    </w:p>
    <w:p>
      <w:pPr>
        <w:ind w:right="2599" w:firstLine="196"/>
        <w:spacing w:after="0" w:line="266" w:lineRule="auto"/>
        <w:rPr>
          <w:sz w:val="20"/>
          <w:szCs w:val="20"/>
          <w:color w:val="auto"/>
        </w:rPr>
      </w:pPr>
      <w:r>
        <w:rPr>
          <w:rFonts w:ascii="Courier New" w:cs="Courier New" w:eastAsia="Courier New" w:hAnsi="Courier New"/>
          <w:sz w:val="16"/>
          <w:szCs w:val="16"/>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84" w:lineRule="exact"/>
        <w:rPr>
          <w:sz w:val="20"/>
          <w:szCs w:val="20"/>
          <w:color w:val="auto"/>
        </w:rPr>
      </w:pPr>
    </w:p>
    <w:p>
      <w:pPr>
        <w:jc w:val="both"/>
        <w:ind w:right="2699" w:firstLine="196"/>
        <w:spacing w:after="0" w:line="269" w:lineRule="auto"/>
        <w:rPr>
          <w:sz w:val="20"/>
          <w:szCs w:val="20"/>
          <w:color w:val="auto"/>
        </w:rPr>
      </w:pPr>
      <w:r>
        <w:rPr>
          <w:rFonts w:ascii="Courier New" w:cs="Courier New" w:eastAsia="Courier New" w:hAnsi="Courier New"/>
          <w:sz w:val="16"/>
          <w:szCs w:val="16"/>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82" w:lineRule="exact"/>
        <w:rPr>
          <w:sz w:val="20"/>
          <w:szCs w:val="20"/>
          <w:color w:val="auto"/>
        </w:rPr>
      </w:pPr>
    </w:p>
    <w:p>
      <w:pPr>
        <w:ind w:right="2799" w:firstLine="196"/>
        <w:spacing w:after="0" w:line="273" w:lineRule="auto"/>
        <w:rPr>
          <w:sz w:val="20"/>
          <w:szCs w:val="20"/>
          <w:color w:val="auto"/>
        </w:rPr>
      </w:pPr>
      <w:r>
        <w:rPr>
          <w:rFonts w:ascii="Courier New" w:cs="Courier New" w:eastAsia="Courier New" w:hAnsi="Courier New"/>
          <w:sz w:val="16"/>
          <w:szCs w:val="16"/>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7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12. REPORTS TO SHAREHOLDERS.</w:t>
      </w:r>
    </w:p>
    <w:p>
      <w:pPr>
        <w:spacing w:after="0" w:line="195" w:lineRule="exact"/>
        <w:rPr>
          <w:sz w:val="20"/>
          <w:szCs w:val="20"/>
          <w:color w:val="auto"/>
        </w:rPr>
      </w:pPr>
    </w:p>
    <w:p>
      <w:pPr>
        <w:ind w:left="400" w:right="2599" w:hanging="400"/>
        <w:spacing w:after="0" w:line="261" w:lineRule="auto"/>
        <w:tabs>
          <w:tab w:leader="none" w:pos="4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87" w:lineRule="exact"/>
        <w:rPr>
          <w:rFonts w:ascii="Courier New" w:cs="Courier New" w:eastAsia="Courier New" w:hAnsi="Courier New"/>
          <w:sz w:val="16"/>
          <w:szCs w:val="16"/>
          <w:color w:val="auto"/>
        </w:rPr>
      </w:pPr>
    </w:p>
    <w:p>
      <w:pPr>
        <w:ind w:left="400" w:right="2699" w:hanging="400"/>
        <w:spacing w:after="0" w:line="269" w:lineRule="auto"/>
        <w:tabs>
          <w:tab w:leader="none" w:pos="4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45 days after the end of each of the first three quarterly periods of each fiscal year, the Trustees shall deliver or cause to be delivered an interim report to the shareholders containing unaudited financial statements for such quarter and for the period from the beginning of the fiscal year to the end of such quarter, and such further information as the Trustees may determine is required pursuant to any law or regulation to which the Trust is subject.</w:t>
      </w:r>
    </w:p>
    <w:p>
      <w:pPr>
        <w:spacing w:after="0" w:line="8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13. NOMINATIONS AND PROPOSALS BY SHAREHOLDERS.</w:t>
      </w:r>
    </w:p>
    <w:p>
      <w:pPr>
        <w:spacing w:after="0" w:line="195" w:lineRule="exact"/>
        <w:rPr>
          <w:sz w:val="20"/>
          <w:szCs w:val="20"/>
          <w:color w:val="auto"/>
        </w:rPr>
      </w:pPr>
    </w:p>
    <w:p>
      <w:pPr>
        <w:ind w:left="400" w:right="2599" w:hanging="400"/>
        <w:spacing w:after="0" w:line="264" w:lineRule="auto"/>
        <w:tabs>
          <w:tab w:leader="none" w:pos="4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Meetings of Shareholders. (1) Nominations of persons for election to the Board of Trustees and the proposal of business to be considered by the shareholders may be made at an annual meeting of shareholders (i) pursuant to the Trust's notice of meeting, (ii) by or at the direction of the Trustees or (iii)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85" w:lineRule="exact"/>
        <w:rPr>
          <w:sz w:val="20"/>
          <w:szCs w:val="20"/>
          <w:color w:val="auto"/>
        </w:rPr>
      </w:pPr>
    </w:p>
    <w:p>
      <w:pPr>
        <w:ind w:left="400" w:right="2599" w:hanging="400"/>
        <w:spacing w:after="0" w:line="261" w:lineRule="auto"/>
        <w:tabs>
          <w:tab w:leader="none" w:pos="4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nominations or other business to be properly brought before an annual meeting by a shareholder pursuant to clause (iii) of paragraph (a) (1)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w:t>
      </w:r>
    </w:p>
    <w:p>
      <w:pPr>
        <w:spacing w:after="0" w:line="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650" w:right="1440" w:bottom="1440" w:gutter="0" w:footer="0" w:header="0"/>
        </w:sectPr>
      </w:pPr>
    </w:p>
    <w:bookmarkStart w:id="65" w:name="page66"/>
    <w:bookmarkEnd w:id="65"/>
    <w:p>
      <w:pPr>
        <w:ind w:left="300" w:right="2699"/>
        <w:spacing w:after="0" w:line="253" w:lineRule="auto"/>
        <w:rPr>
          <w:sz w:val="20"/>
          <w:szCs w:val="20"/>
          <w:color w:val="auto"/>
        </w:rPr>
      </w:pPr>
      <w:r>
        <w:rPr>
          <w:rFonts w:ascii="Courier New" w:cs="Courier New" w:eastAsia="Courier New" w:hAnsi="Courier New"/>
          <w:sz w:val="16"/>
          <w:szCs w:val="16"/>
          <w:color w:val="auto"/>
        </w:rPr>
        <w:t>or delayed by more than 60 days from such anniversary date or if the Trust has not previously held an annual meeting, notice by the shareholder to be timely must be so delivered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the Trust. In no event shall the public announcement of a postponement or adjournment of an annual meeting to a later date or time commence a new time period for the giving of a shareholder's notice as described above. Such shareholder's notice shall set forth (i)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(ii)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(iii) as to the shareholder giving the notice and the beneficial owner, if any, on whose behalf the nomination or proposal is made, (x) the name and address of such shareholder, as they appear on the Trust's books, and of such beneficial owner and (y) the number of each class of shares of the Trust which are owned beneficially and of record by such shareholder and such beneficial owner.</w:t>
      </w:r>
    </w:p>
    <w:p>
      <w:pPr>
        <w:spacing w:after="0" w:line="101" w:lineRule="exact"/>
        <w:rPr>
          <w:sz w:val="20"/>
          <w:szCs w:val="20"/>
          <w:color w:val="auto"/>
        </w:rPr>
      </w:pPr>
    </w:p>
    <w:p>
      <w:pPr>
        <w:ind w:left="400" w:right="2599" w:hanging="400"/>
        <w:spacing w:after="0" w:line="260" w:lineRule="auto"/>
        <w:tabs>
          <w:tab w:leader="none" w:pos="4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the second sentence of paragraph (a) (2)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87" w:lineRule="exact"/>
        <w:rPr>
          <w:sz w:val="20"/>
          <w:szCs w:val="20"/>
          <w:color w:val="auto"/>
        </w:rPr>
      </w:pPr>
    </w:p>
    <w:p>
      <w:pPr>
        <w:ind w:left="400" w:right="2599" w:hanging="400"/>
        <w:spacing w:after="0" w:line="253" w:lineRule="auto"/>
        <w:tabs>
          <w:tab w:leader="none" w:pos="40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 (2)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103" w:lineRule="exact"/>
        <w:rPr>
          <w:rFonts w:ascii="Courier New" w:cs="Courier New" w:eastAsia="Courier New" w:hAnsi="Courier New"/>
          <w:sz w:val="16"/>
          <w:szCs w:val="16"/>
          <w:color w:val="auto"/>
        </w:rPr>
      </w:pPr>
    </w:p>
    <w:p>
      <w:pPr>
        <w:ind w:left="400" w:right="2799" w:hanging="400"/>
        <w:spacing w:after="0" w:line="280" w:lineRule="auto"/>
        <w:tabs>
          <w:tab w:leader="none" w:pos="40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(1) 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w:t>
      </w:r>
    </w:p>
    <w:p>
      <w:pPr>
        <w:spacing w:after="0" w:line="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650" w:right="1440" w:bottom="1157" w:gutter="0" w:footer="0" w:header="0"/>
        </w:sectPr>
      </w:pPr>
    </w:p>
    <w:bookmarkStart w:id="66" w:name="page67"/>
    <w:bookmarkEnd w:id="66"/>
    <w:p>
      <w:pPr>
        <w:ind w:left="300" w:right="2499"/>
        <w:spacing w:after="0" w:line="273" w:lineRule="auto"/>
        <w:rPr>
          <w:sz w:val="20"/>
          <w:szCs w:val="20"/>
          <w:color w:val="auto"/>
        </w:rPr>
      </w:pPr>
      <w:r>
        <w:rPr>
          <w:rFonts w:ascii="Courier New" w:cs="Courier New" w:eastAsia="Courier New" w:hAnsi="Courier New"/>
          <w:sz w:val="16"/>
          <w:szCs w:val="16"/>
          <w:color w:val="auto"/>
        </w:rPr>
        <w:t>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79" w:lineRule="exact"/>
        <w:rPr>
          <w:sz w:val="20"/>
          <w:szCs w:val="20"/>
          <w:color w:val="auto"/>
        </w:rPr>
      </w:pPr>
    </w:p>
    <w:p>
      <w:pPr>
        <w:ind w:left="400" w:right="2499" w:hanging="400"/>
        <w:spacing w:after="0" w:line="280" w:lineRule="auto"/>
        <w:tabs>
          <w:tab w:leader="none" w:pos="4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70" w:lineRule="exact"/>
        <w:rPr>
          <w:rFonts w:ascii="Courier New" w:cs="Courier New" w:eastAsia="Courier New" w:hAnsi="Courier New"/>
          <w:sz w:val="16"/>
          <w:szCs w:val="16"/>
          <w:color w:val="auto"/>
        </w:rPr>
      </w:pPr>
    </w:p>
    <w:p>
      <w:pPr>
        <w:ind w:left="400" w:right="2599" w:hanging="400"/>
        <w:spacing w:after="0" w:line="269" w:lineRule="auto"/>
        <w:tabs>
          <w:tab w:leader="none" w:pos="4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7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14. INFORMAL ACTION BY SHAREHOLDERS.</w:t>
      </w:r>
    </w:p>
    <w:p>
      <w:pPr>
        <w:spacing w:after="0" w:line="195" w:lineRule="exact"/>
        <w:rPr>
          <w:sz w:val="20"/>
          <w:szCs w:val="20"/>
          <w:color w:val="auto"/>
        </w:rPr>
      </w:pPr>
    </w:p>
    <w:p>
      <w:pPr>
        <w:ind w:left="400" w:right="2499" w:hanging="400"/>
        <w:spacing w:after="0" w:line="280" w:lineRule="auto"/>
        <w:tabs>
          <w:tab w:leader="none" w:pos="49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70" w:lineRule="exact"/>
        <w:rPr>
          <w:rFonts w:ascii="Courier New" w:cs="Courier New" w:eastAsia="Courier New" w:hAnsi="Courier New"/>
          <w:sz w:val="16"/>
          <w:szCs w:val="16"/>
          <w:color w:val="auto"/>
        </w:rPr>
      </w:pPr>
    </w:p>
    <w:p>
      <w:pPr>
        <w:ind w:left="400" w:right="2499" w:hanging="400"/>
        <w:spacing w:after="0" w:line="252" w:lineRule="auto"/>
        <w:tabs>
          <w:tab w:leader="none" w:pos="4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w:t>
      </w:r>
    </w:p>
    <w:p>
      <w:pPr>
        <w:spacing w:after="0" w:line="1" w:lineRule="exact"/>
        <w:rPr>
          <w:rFonts w:ascii="Courier New" w:cs="Courier New" w:eastAsia="Courier New" w:hAnsi="Courier New"/>
          <w:sz w:val="16"/>
          <w:szCs w:val="16"/>
          <w:color w:val="auto"/>
        </w:rPr>
      </w:pPr>
    </w:p>
    <w:p>
      <w:pPr>
        <w:ind w:left="400" w:right="2499" w:hanging="9"/>
        <w:spacing w:after="0" w:line="254" w:lineRule="auto"/>
        <w:tabs>
          <w:tab w:leader="none" w:pos="889"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96" w:lineRule="exact"/>
        <w:rPr>
          <w:sz w:val="20"/>
          <w:szCs w:val="20"/>
          <w:color w:val="auto"/>
        </w:rPr>
      </w:pPr>
    </w:p>
    <w:p>
      <w:pPr>
        <w:ind w:right="2599" w:firstLine="196"/>
        <w:spacing w:after="0" w:line="311" w:lineRule="auto"/>
        <w:rPr>
          <w:sz w:val="20"/>
          <w:szCs w:val="20"/>
          <w:color w:val="auto"/>
        </w:rPr>
      </w:pPr>
      <w:r>
        <w:rPr>
          <w:rFonts w:ascii="Courier New" w:cs="Courier New" w:eastAsia="Courier New" w:hAnsi="Courier New"/>
          <w:sz w:val="16"/>
          <w:szCs w:val="16"/>
          <w:color w:val="auto"/>
        </w:rPr>
        <w:t>Section 15. VOTING BY BALLOT. Voting on any question or in any election may be viva voce unless the presiding officer shall order or any shareholder shall demand that voting be by ballot.</w:t>
      </w:r>
    </w:p>
    <w:p>
      <w:pPr>
        <w:spacing w:after="0" w:line="4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III</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TRUSTEES</w:t>
      </w:r>
    </w:p>
    <w:p>
      <w:pPr>
        <w:spacing w:after="0" w:line="195" w:lineRule="exact"/>
        <w:rPr>
          <w:sz w:val="20"/>
          <w:szCs w:val="20"/>
          <w:color w:val="auto"/>
        </w:rPr>
      </w:pPr>
    </w:p>
    <w:p>
      <w:pPr>
        <w:ind w:right="2499" w:firstLine="196"/>
        <w:spacing w:after="0" w:line="269" w:lineRule="auto"/>
        <w:rPr>
          <w:sz w:val="20"/>
          <w:szCs w:val="20"/>
          <w:color w:val="auto"/>
        </w:rPr>
      </w:pPr>
      <w:r>
        <w:rPr>
          <w:rFonts w:ascii="Courier New" w:cs="Courier New" w:eastAsia="Courier New" w:hAnsi="Courier New"/>
          <w:sz w:val="16"/>
          <w:szCs w:val="16"/>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w:t>
      </w:r>
    </w:p>
    <w:p>
      <w:pPr>
        <w:spacing w:after="0" w:line="8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650" w:right="1440" w:bottom="1440" w:gutter="0" w:footer="0" w:header="0"/>
        </w:sectPr>
      </w:pPr>
    </w:p>
    <w:bookmarkStart w:id="67" w:name="page68"/>
    <w:bookmarkEnd w:id="67"/>
    <w:p>
      <w:pPr>
        <w:ind w:right="2799" w:firstLine="196"/>
        <w:spacing w:after="0" w:line="311" w:lineRule="auto"/>
        <w:rPr>
          <w:sz w:val="20"/>
          <w:szCs w:val="20"/>
          <w:color w:val="auto"/>
        </w:rPr>
      </w:pPr>
      <w:r>
        <w:rPr>
          <w:rFonts w:ascii="Courier New" w:cs="Courier New" w:eastAsia="Courier New" w:hAnsi="Courier New"/>
          <w:sz w:val="16"/>
          <w:szCs w:val="16"/>
          <w:color w:val="auto"/>
        </w:rPr>
        <w:t>Section 2. NUMBER. At any regular meeting or at any special meeting called for that purpose, a majority of the entire Board of Trustees may establish, increase or decrease the number of Trustees.</w:t>
      </w:r>
    </w:p>
    <w:p>
      <w:pPr>
        <w:spacing w:after="0" w:line="47"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79"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4. SPECIAL MEETINGS. Special meetings of the Trustees may be called by or at the request of the chairman of the board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79" w:lineRule="exact"/>
        <w:rPr>
          <w:sz w:val="20"/>
          <w:szCs w:val="20"/>
          <w:color w:val="auto"/>
        </w:rPr>
      </w:pPr>
    </w:p>
    <w:p>
      <w:pPr>
        <w:ind w:right="2599" w:firstLine="196"/>
        <w:spacing w:after="0" w:line="256" w:lineRule="auto"/>
        <w:rPr>
          <w:sz w:val="20"/>
          <w:szCs w:val="20"/>
          <w:color w:val="auto"/>
        </w:rPr>
      </w:pPr>
      <w:r>
        <w:rPr>
          <w:rFonts w:ascii="Courier New" w:cs="Courier New" w:eastAsia="Courier New" w:hAnsi="Courier New"/>
          <w:sz w:val="16"/>
          <w:szCs w:val="16"/>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he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96"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82" w:lineRule="exact"/>
        <w:rPr>
          <w:sz w:val="20"/>
          <w:szCs w:val="20"/>
          <w:color w:val="auto"/>
        </w:rPr>
      </w:pPr>
    </w:p>
    <w:p>
      <w:pPr>
        <w:ind w:right="2879" w:firstLine="196"/>
        <w:spacing w:after="0" w:line="311" w:lineRule="auto"/>
        <w:rPr>
          <w:sz w:val="20"/>
          <w:szCs w:val="20"/>
          <w:color w:val="auto"/>
        </w:rPr>
      </w:pPr>
      <w:r>
        <w:rPr>
          <w:rFonts w:ascii="Courier New" w:cs="Courier New" w:eastAsia="Courier New" w:hAnsi="Courier New"/>
          <w:sz w:val="16"/>
          <w:szCs w:val="16"/>
          <w:color w:val="auto"/>
        </w:rPr>
        <w:t>The Trustees present at a meeting which has been duly called and convened may continue to transact business until adjournment, notwithstanding the withdrawal of enough Trustees to leave less than a quorum.</w:t>
      </w:r>
    </w:p>
    <w:p>
      <w:pPr>
        <w:spacing w:after="0" w:line="47" w:lineRule="exact"/>
        <w:rPr>
          <w:sz w:val="20"/>
          <w:szCs w:val="20"/>
          <w:color w:val="auto"/>
        </w:rPr>
      </w:pPr>
    </w:p>
    <w:p>
      <w:pPr>
        <w:ind w:right="2699" w:firstLine="196"/>
        <w:spacing w:after="0" w:line="290" w:lineRule="auto"/>
        <w:rPr>
          <w:sz w:val="20"/>
          <w:szCs w:val="20"/>
          <w:color w:val="auto"/>
        </w:rPr>
      </w:pPr>
      <w:r>
        <w:rPr>
          <w:rFonts w:ascii="Courier New" w:cs="Courier New" w:eastAsia="Courier New" w:hAnsi="Courier New"/>
          <w:sz w:val="16"/>
          <w:szCs w:val="16"/>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6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Section 8. TELEPHONE MEETINGS. Trustees may participate in a meeting by</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means of a conference telephone or similar communications equipment if all</w:t>
      </w:r>
    </w:p>
    <w:p>
      <w:pPr>
        <w:spacing w:after="0" w:line="7" w:lineRule="exact"/>
        <w:rPr>
          <w:sz w:val="20"/>
          <w:szCs w:val="20"/>
          <w:color w:val="auto"/>
        </w:rPr>
      </w:pPr>
    </w:p>
    <w:p>
      <w:pPr>
        <w:ind w:right="2699"/>
        <w:spacing w:after="0" w:line="291" w:lineRule="auto"/>
        <w:rPr>
          <w:sz w:val="20"/>
          <w:szCs w:val="20"/>
          <w:color w:val="auto"/>
        </w:rPr>
      </w:pPr>
      <w:r>
        <w:rPr>
          <w:rFonts w:ascii="Courier New" w:cs="Courier New" w:eastAsia="Courier New" w:hAnsi="Courier New"/>
          <w:sz w:val="16"/>
          <w:szCs w:val="16"/>
          <w:color w:val="auto"/>
        </w:rPr>
        <w:t>persons participating in the meeting can hear each other at the same time. Participation in a meeting by these means shall constitute presence in person at the meeting.</w:t>
      </w:r>
    </w:p>
    <w:p>
      <w:pPr>
        <w:spacing w:after="0" w:line="63" w:lineRule="exact"/>
        <w:rPr>
          <w:sz w:val="20"/>
          <w:szCs w:val="20"/>
          <w:color w:val="auto"/>
        </w:rPr>
      </w:pPr>
    </w:p>
    <w:p>
      <w:pPr>
        <w:jc w:val="both"/>
        <w:ind w:right="2699" w:firstLine="196"/>
        <w:spacing w:after="0" w:line="290" w:lineRule="auto"/>
        <w:rPr>
          <w:sz w:val="20"/>
          <w:szCs w:val="20"/>
          <w:color w:val="auto"/>
        </w:rPr>
      </w:pPr>
      <w:r>
        <w:rPr>
          <w:rFonts w:ascii="Courier New" w:cs="Courier New" w:eastAsia="Courier New" w:hAnsi="Courier New"/>
          <w:sz w:val="16"/>
          <w:szCs w:val="16"/>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64" w:lineRule="exact"/>
        <w:rPr>
          <w:sz w:val="20"/>
          <w:szCs w:val="20"/>
          <w:color w:val="auto"/>
        </w:rPr>
      </w:pPr>
    </w:p>
    <w:p>
      <w:pPr>
        <w:ind w:right="2599" w:firstLine="196"/>
        <w:spacing w:after="0" w:line="266" w:lineRule="auto"/>
        <w:rPr>
          <w:sz w:val="20"/>
          <w:szCs w:val="20"/>
          <w:color w:val="auto"/>
        </w:rPr>
      </w:pPr>
      <w:r>
        <w:rPr>
          <w:rFonts w:ascii="Courier New" w:cs="Courier New" w:eastAsia="Courier New" w:hAnsi="Courier New"/>
          <w:sz w:val="16"/>
          <w:szCs w:val="16"/>
          <w:color w:val="auto"/>
        </w:rPr>
        <w:t>Section 10. VACANCIES. If for any reason any or all the Trustees cease to be Trustees, such event shall not terminate the Trust or affect these Bylaws or the powers of the remaining Trustees hereunder (even if fewer than 3 Trustees remain). Any vacancy (including a vacancy created by an increase in the number of Trustees) shall be filled, at any regular meeting or at any special meeting called for that purpose, by a majority of the Trustees. Any individual so elected as Trustee shall serve for the unexpired term of the Trustee he is replacing.</w:t>
      </w:r>
    </w:p>
    <w:p>
      <w:pPr>
        <w:spacing w:after="0" w:line="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19"/>
          </w:cols>
          <w:pgMar w:left="240" w:top="650" w:right="1440" w:bottom="1440" w:gutter="0" w:footer="0" w:header="0"/>
        </w:sectPr>
      </w:pPr>
    </w:p>
    <w:bookmarkStart w:id="68" w:name="page69"/>
    <w:bookmarkEnd w:id="68"/>
    <w:p>
      <w:pPr>
        <w:ind w:left="200"/>
        <w:spacing w:after="0"/>
        <w:rPr>
          <w:sz w:val="20"/>
          <w:szCs w:val="20"/>
          <w:color w:val="auto"/>
        </w:rPr>
      </w:pPr>
      <w:r>
        <w:rPr>
          <w:rFonts w:ascii="Courier New" w:cs="Courier New" w:eastAsia="Courier New" w:hAnsi="Courier New"/>
          <w:sz w:val="16"/>
          <w:szCs w:val="16"/>
          <w:color w:val="auto"/>
        </w:rPr>
        <w:t>Section 11. COMPENSATION; FINANCIAL ASSISTANCE.</w:t>
      </w:r>
    </w:p>
    <w:p>
      <w:pPr>
        <w:spacing w:after="0" w:line="195" w:lineRule="exact"/>
        <w:rPr>
          <w:sz w:val="20"/>
          <w:szCs w:val="20"/>
          <w:color w:val="auto"/>
        </w:rPr>
      </w:pPr>
    </w:p>
    <w:p>
      <w:pPr>
        <w:ind w:left="400" w:right="2599" w:hanging="400"/>
        <w:spacing w:after="0" w:line="261" w:lineRule="auto"/>
        <w:tabs>
          <w:tab w:leader="none" w:pos="4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87" w:lineRule="exact"/>
        <w:rPr>
          <w:rFonts w:ascii="Courier New" w:cs="Courier New" w:eastAsia="Courier New" w:hAnsi="Courier New"/>
          <w:sz w:val="16"/>
          <w:szCs w:val="16"/>
          <w:color w:val="auto"/>
        </w:rPr>
      </w:pPr>
    </w:p>
    <w:p>
      <w:pPr>
        <w:ind w:left="400" w:right="2699" w:hanging="400"/>
        <w:spacing w:after="0" w:line="280" w:lineRule="auto"/>
        <w:tabs>
          <w:tab w:leader="none" w:pos="4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Assistance to Trustees.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70" w:lineRule="exact"/>
        <w:rPr>
          <w:sz w:val="20"/>
          <w:szCs w:val="20"/>
          <w:color w:val="auto"/>
        </w:rPr>
      </w:pPr>
    </w:p>
    <w:p>
      <w:pPr>
        <w:ind w:right="2799" w:firstLine="196"/>
        <w:spacing w:after="0" w:line="373" w:lineRule="auto"/>
        <w:rPr>
          <w:sz w:val="20"/>
          <w:szCs w:val="20"/>
          <w:color w:val="auto"/>
        </w:rPr>
      </w:pPr>
      <w:r>
        <w:rPr>
          <w:rFonts w:ascii="Courier New" w:cs="Courier New" w:eastAsia="Courier New" w:hAnsi="Courier New"/>
          <w:sz w:val="16"/>
          <w:szCs w:val="16"/>
          <w:color w:val="auto"/>
        </w:rPr>
        <w:t>Section 12. REMOVAL OF TRUSTEES. The shareholders may, at any time, remove any Trustee in the manner provided in the Declaration of Trust.</w:t>
      </w:r>
    </w:p>
    <w:p>
      <w:pPr>
        <w:ind w:right="2699" w:firstLine="196"/>
        <w:spacing w:after="0" w:line="290" w:lineRule="auto"/>
        <w:rPr>
          <w:sz w:val="20"/>
          <w:szCs w:val="20"/>
          <w:color w:val="auto"/>
        </w:rPr>
      </w:pPr>
      <w:r>
        <w:rPr>
          <w:rFonts w:ascii="Courier New" w:cs="Courier New" w:eastAsia="Courier New" w:hAnsi="Courier New"/>
          <w:sz w:val="16"/>
          <w:szCs w:val="16"/>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64" w:lineRule="exact"/>
        <w:rPr>
          <w:sz w:val="20"/>
          <w:szCs w:val="20"/>
          <w:color w:val="auto"/>
        </w:rPr>
      </w:pPr>
    </w:p>
    <w:p>
      <w:pPr>
        <w:ind w:right="2699" w:firstLine="196"/>
        <w:spacing w:after="0" w:line="311" w:lineRule="auto"/>
        <w:rPr>
          <w:sz w:val="20"/>
          <w:szCs w:val="20"/>
          <w:color w:val="auto"/>
        </w:rPr>
      </w:pPr>
      <w:r>
        <w:rPr>
          <w:rFonts w:ascii="Courier New" w:cs="Courier New" w:eastAsia="Courier New" w:hAnsi="Courier New"/>
          <w:sz w:val="16"/>
          <w:szCs w:val="16"/>
          <w:color w:val="auto"/>
        </w:rPr>
        <w:t>Section 14. SURETY BONDS. Unless required by law, no Trustee shall be obligated to give any bond or surety or other security for the performance of any of his duties.</w:t>
      </w:r>
    </w:p>
    <w:p>
      <w:pPr>
        <w:spacing w:after="0" w:line="47" w:lineRule="exact"/>
        <w:rPr>
          <w:sz w:val="20"/>
          <w:szCs w:val="20"/>
          <w:color w:val="auto"/>
        </w:rPr>
      </w:pPr>
    </w:p>
    <w:p>
      <w:pPr>
        <w:ind w:right="2599" w:firstLine="196"/>
        <w:spacing w:after="0" w:line="266" w:lineRule="auto"/>
        <w:rPr>
          <w:sz w:val="20"/>
          <w:szCs w:val="20"/>
          <w:color w:val="auto"/>
        </w:rPr>
      </w:pPr>
      <w:r>
        <w:rPr>
          <w:rFonts w:ascii="Courier New" w:cs="Courier New" w:eastAsia="Courier New" w:hAnsi="Courier New"/>
          <w:sz w:val="16"/>
          <w:szCs w:val="16"/>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84"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79"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IV</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COMMITTEES</w:t>
      </w:r>
    </w:p>
    <w:p>
      <w:pPr>
        <w:spacing w:after="0" w:line="195" w:lineRule="exact"/>
        <w:rPr>
          <w:sz w:val="20"/>
          <w:szCs w:val="20"/>
          <w:color w:val="auto"/>
        </w:rPr>
      </w:pPr>
    </w:p>
    <w:p>
      <w:pPr>
        <w:jc w:val="both"/>
        <w:ind w:right="2699" w:firstLine="196"/>
        <w:spacing w:after="0" w:line="290" w:lineRule="auto"/>
        <w:rPr>
          <w:sz w:val="20"/>
          <w:szCs w:val="20"/>
          <w:color w:val="auto"/>
        </w:rPr>
      </w:pPr>
      <w:r>
        <w:rPr>
          <w:rFonts w:ascii="Courier New" w:cs="Courier New" w:eastAsia="Courier New" w:hAnsi="Courier New"/>
          <w:sz w:val="16"/>
          <w:szCs w:val="16"/>
          <w:color w:val="auto"/>
        </w:rPr>
        <w:t>Section 1. NUMBER, TENURE AND QUALIFICATIONS. The Trustees may appoint from among its members an Executive Committee, an Audit Committee, a Compensation Committee and other committees, composed of two or more Trustees, to serve at the pleasure of the Trustees.</w:t>
      </w:r>
    </w:p>
    <w:p>
      <w:pPr>
        <w:spacing w:after="0" w:line="64" w:lineRule="exact"/>
        <w:rPr>
          <w:sz w:val="20"/>
          <w:szCs w:val="20"/>
          <w:color w:val="auto"/>
        </w:rPr>
      </w:pPr>
    </w:p>
    <w:p>
      <w:pPr>
        <w:ind w:right="2799" w:firstLine="196"/>
        <w:spacing w:after="0" w:line="311" w:lineRule="auto"/>
        <w:rPr>
          <w:sz w:val="20"/>
          <w:szCs w:val="20"/>
          <w:color w:val="auto"/>
        </w:rPr>
      </w:pPr>
      <w:r>
        <w:rPr>
          <w:rFonts w:ascii="Courier New" w:cs="Courier New" w:eastAsia="Courier New" w:hAnsi="Courier New"/>
          <w:sz w:val="16"/>
          <w:szCs w:val="16"/>
          <w:color w:val="auto"/>
        </w:rPr>
        <w:t>Section 2. POWERS. The Trustees may delegate to committees appointed under Section 1 of this Article any of the powers of the Trustees, except as prohibited by law.</w:t>
      </w:r>
    </w:p>
    <w:p>
      <w:pPr>
        <w:spacing w:after="0" w:line="4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19"/>
          </w:cols>
          <w:pgMar w:left="240" w:top="651" w:right="1440" w:bottom="1440" w:gutter="0" w:footer="0" w:header="0"/>
        </w:sectPr>
      </w:pPr>
    </w:p>
    <w:bookmarkStart w:id="69" w:name="page70"/>
    <w:bookmarkEnd w:id="69"/>
    <w:p>
      <w:pPr>
        <w:ind w:right="2599" w:firstLine="196"/>
        <w:spacing w:after="0" w:line="280" w:lineRule="auto"/>
        <w:rPr>
          <w:sz w:val="20"/>
          <w:szCs w:val="20"/>
          <w:color w:val="auto"/>
        </w:rPr>
      </w:pPr>
      <w:r>
        <w:rPr>
          <w:rFonts w:ascii="Courier New" w:cs="Courier New" w:eastAsia="Courier New" w:hAnsi="Courier New"/>
          <w:sz w:val="16"/>
          <w:szCs w:val="16"/>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70" w:lineRule="exact"/>
        <w:rPr>
          <w:sz w:val="20"/>
          <w:szCs w:val="20"/>
          <w:color w:val="auto"/>
        </w:rPr>
      </w:pPr>
    </w:p>
    <w:p>
      <w:pPr>
        <w:ind w:right="2599" w:firstLine="196"/>
        <w:spacing w:after="0" w:line="261" w:lineRule="auto"/>
        <w:rPr>
          <w:sz w:val="20"/>
          <w:szCs w:val="20"/>
          <w:color w:val="auto"/>
        </w:rPr>
      </w:pPr>
      <w:r>
        <w:rPr>
          <w:rFonts w:ascii="Courier New" w:cs="Courier New" w:eastAsia="Courier New" w:hAnsi="Courier New"/>
          <w:sz w:val="16"/>
          <w:szCs w:val="16"/>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87"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70"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70"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70" w:lineRule="exact"/>
        <w:rPr>
          <w:sz w:val="20"/>
          <w:szCs w:val="20"/>
          <w:color w:val="auto"/>
        </w:rPr>
      </w:pPr>
    </w:p>
    <w:p>
      <w:pPr>
        <w:ind w:right="2879" w:firstLine="196"/>
        <w:spacing w:after="0" w:line="290" w:lineRule="auto"/>
        <w:rPr>
          <w:sz w:val="20"/>
          <w:szCs w:val="20"/>
          <w:color w:val="auto"/>
        </w:rPr>
      </w:pPr>
      <w:r>
        <w:rPr>
          <w:rFonts w:ascii="Courier New" w:cs="Courier New" w:eastAsia="Courier New" w:hAnsi="Courier New"/>
          <w:sz w:val="16"/>
          <w:szCs w:val="16"/>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w:t>
      </w:r>
    </w:p>
    <w:p>
      <w:pPr>
        <w:spacing w:after="0" w:line="6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V</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OFFICERS</w:t>
      </w:r>
    </w:p>
    <w:p>
      <w:pPr>
        <w:spacing w:after="0" w:line="195" w:lineRule="exact"/>
        <w:rPr>
          <w:sz w:val="20"/>
          <w:szCs w:val="20"/>
          <w:color w:val="auto"/>
        </w:rPr>
      </w:pPr>
    </w:p>
    <w:p>
      <w:pPr>
        <w:ind w:right="2599" w:firstLine="196"/>
        <w:spacing w:after="0" w:line="258" w:lineRule="auto"/>
        <w:rPr>
          <w:sz w:val="20"/>
          <w:szCs w:val="20"/>
          <w:color w:val="auto"/>
        </w:rPr>
      </w:pPr>
      <w:r>
        <w:rPr>
          <w:rFonts w:ascii="Courier New" w:cs="Courier New" w:eastAsia="Courier New" w:hAnsi="Courier New"/>
          <w:sz w:val="16"/>
          <w:szCs w:val="16"/>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the Trustees may from time to time appoint such other officers with such powers and duties as they shall deem necessary or desirable. The officers of the Trust shall be elected at such intervals as the Trustees may determine. Each officer shall hold office until his successor is elected and qualifies or until his death, resignation or removal in the manner hereinafter provided. Any two or more offices except president and vice president may be held by the same person. In their discretion, the Trustees may leave unfilled any office except that of president and secretary. Election of an officer or agent shall not of itself create contract rights between the Trust and such officer or agent.</w:t>
      </w:r>
    </w:p>
    <w:p>
      <w:pPr>
        <w:spacing w:after="0" w:line="91" w:lineRule="exact"/>
        <w:rPr>
          <w:sz w:val="20"/>
          <w:szCs w:val="20"/>
          <w:color w:val="auto"/>
        </w:rPr>
      </w:pPr>
    </w:p>
    <w:p>
      <w:pPr>
        <w:ind w:right="2599" w:firstLine="196"/>
        <w:spacing w:after="0" w:line="259" w:lineRule="auto"/>
        <w:rPr>
          <w:sz w:val="20"/>
          <w:szCs w:val="20"/>
          <w:color w:val="auto"/>
        </w:rPr>
      </w:pPr>
      <w:r>
        <w:rPr>
          <w:rFonts w:ascii="Courier New" w:cs="Courier New" w:eastAsia="Courier New" w:hAnsi="Courier New"/>
          <w:sz w:val="16"/>
          <w:szCs w:val="16"/>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8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19"/>
          </w:cols>
          <w:pgMar w:left="240" w:top="650" w:right="1440" w:bottom="1440" w:gutter="0" w:footer="0" w:header="0"/>
        </w:sectPr>
      </w:pPr>
    </w:p>
    <w:bookmarkStart w:id="70" w:name="page71"/>
    <w:bookmarkEnd w:id="70"/>
    <w:p>
      <w:pPr>
        <w:ind w:right="2699" w:firstLine="196"/>
        <w:spacing w:after="0" w:line="373" w:lineRule="auto"/>
        <w:rPr>
          <w:sz w:val="20"/>
          <w:szCs w:val="20"/>
          <w:color w:val="auto"/>
        </w:rPr>
      </w:pPr>
      <w:r>
        <w:rPr>
          <w:rFonts w:ascii="Courier New" w:cs="Courier New" w:eastAsia="Courier New" w:hAnsi="Courier New"/>
          <w:sz w:val="16"/>
          <w:szCs w:val="16"/>
          <w:color w:val="auto"/>
        </w:rPr>
        <w:t>Section 3. VACANCIES. A vacancy in any office may be filled by the Trustees for the balance of the term.</w:t>
      </w:r>
    </w:p>
    <w:p>
      <w:pPr>
        <w:ind w:right="2599" w:firstLine="196"/>
        <w:spacing w:after="0" w:line="273" w:lineRule="auto"/>
        <w:rPr>
          <w:sz w:val="20"/>
          <w:szCs w:val="20"/>
          <w:color w:val="auto"/>
        </w:rPr>
      </w:pPr>
      <w:r>
        <w:rPr>
          <w:rFonts w:ascii="Courier New" w:cs="Courier New" w:eastAsia="Courier New" w:hAnsi="Courier New"/>
          <w:sz w:val="16"/>
          <w:szCs w:val="16"/>
          <w:color w:val="auto"/>
        </w:rPr>
        <w:t>Section 4. CHIEF EXECUTIVE OFFICER. The Trustees may designate a chief executive officer from among the elected officers. The chief executive officer shall have responsibility for implementation of the policies of the Trust, as determined by the Trustees, and for the administration of the business affairs of the Trust. The chief executive officer shall preside over the meetings of the Trustees and of the shareholders at which he shall be present.</w:t>
      </w:r>
    </w:p>
    <w:p>
      <w:pPr>
        <w:spacing w:after="0" w:line="79" w:lineRule="exact"/>
        <w:rPr>
          <w:sz w:val="20"/>
          <w:szCs w:val="20"/>
          <w:color w:val="auto"/>
        </w:rPr>
      </w:pPr>
    </w:p>
    <w:p>
      <w:pPr>
        <w:ind w:right="2599" w:firstLine="196"/>
        <w:spacing w:after="0" w:line="260" w:lineRule="auto"/>
        <w:rPr>
          <w:sz w:val="20"/>
          <w:szCs w:val="20"/>
          <w:color w:val="auto"/>
        </w:rPr>
      </w:pPr>
      <w:r>
        <w:rPr>
          <w:rFonts w:ascii="Courier New" w:cs="Courier New" w:eastAsia="Courier New" w:hAnsi="Courier New"/>
          <w:sz w:val="16"/>
          <w:szCs w:val="16"/>
          <w:color w:val="auto"/>
        </w:rPr>
        <w:t>Section 6. PRESIDENT. In the absence of the chief executive officer, the president shall preside over the meetings of the Trustees and of the shareholders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w:t>
      </w:r>
    </w:p>
    <w:p>
      <w:pPr>
        <w:spacing w:after="0" w:line="87" w:lineRule="exact"/>
        <w:rPr>
          <w:sz w:val="20"/>
          <w:szCs w:val="20"/>
          <w:color w:val="auto"/>
        </w:rPr>
      </w:pPr>
    </w:p>
    <w:p>
      <w:pPr>
        <w:ind w:right="2699" w:firstLine="196"/>
        <w:spacing w:after="0" w:line="262" w:lineRule="auto"/>
        <w:rPr>
          <w:sz w:val="20"/>
          <w:szCs w:val="20"/>
          <w:color w:val="auto"/>
        </w:rPr>
      </w:pPr>
      <w:r>
        <w:rPr>
          <w:rFonts w:ascii="Courier New" w:cs="Courier New" w:eastAsia="Courier New" w:hAnsi="Courier New"/>
          <w:sz w:val="16"/>
          <w:szCs w:val="16"/>
          <w:color w:val="auto"/>
        </w:rPr>
        <w:t>Section 7. EXECUTIVE OFFICERS. In the absence of the president or in the event of a vacancy in such office, the executive officer (or in the event there be more than one executive officer, the executive officers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executive officers for particular areas of responsibility.</w:t>
      </w:r>
    </w:p>
    <w:p>
      <w:pPr>
        <w:spacing w:after="0" w:line="89"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Section 8.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and (f) in general perform such other duties as from time to time may be assigned to him by the chief executive officer, the president or by the Trustees.</w:t>
      </w:r>
    </w:p>
    <w:p>
      <w:pPr>
        <w:spacing w:after="0" w:line="89"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Section 9.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70" w:lineRule="exact"/>
        <w:rPr>
          <w:sz w:val="20"/>
          <w:szCs w:val="20"/>
          <w:color w:val="auto"/>
        </w:rPr>
      </w:pPr>
    </w:p>
    <w:p>
      <w:pPr>
        <w:ind w:right="2599" w:firstLine="196"/>
        <w:spacing w:after="0" w:line="280" w:lineRule="auto"/>
        <w:rPr>
          <w:sz w:val="20"/>
          <w:szCs w:val="20"/>
          <w:color w:val="auto"/>
        </w:rPr>
      </w:pPr>
      <w:r>
        <w:rPr>
          <w:rFonts w:ascii="Courier New" w:cs="Courier New" w:eastAsia="Courier New" w:hAnsi="Courier New"/>
          <w:sz w:val="16"/>
          <w:szCs w:val="16"/>
          <w:color w:val="auto"/>
        </w:rPr>
        <w:t>He shall disburse the funds of the Trust in accordance with the authority granted by the Trustees, taking proper vouchers for such disbursements, and shall render to the president and Trustees, whenever they may require it, an account of all his transactions as treasurer and of the financial condition of the Trust.</w:t>
      </w:r>
    </w:p>
    <w:p>
      <w:pPr>
        <w:spacing w:after="0" w:line="70" w:lineRule="exact"/>
        <w:rPr>
          <w:sz w:val="20"/>
          <w:szCs w:val="20"/>
          <w:color w:val="auto"/>
        </w:rPr>
      </w:pPr>
    </w:p>
    <w:p>
      <w:pPr>
        <w:ind w:right="2699" w:firstLine="196"/>
        <w:spacing w:after="0" w:line="273" w:lineRule="auto"/>
        <w:rPr>
          <w:sz w:val="20"/>
          <w:szCs w:val="20"/>
          <w:color w:val="auto"/>
        </w:rPr>
      </w:pPr>
      <w:r>
        <w:rPr>
          <w:rFonts w:ascii="Courier New" w:cs="Courier New" w:eastAsia="Courier New" w:hAnsi="Courier New"/>
          <w:sz w:val="16"/>
          <w:szCs w:val="16"/>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79" w:lineRule="exact"/>
        <w:rPr>
          <w:sz w:val="20"/>
          <w:szCs w:val="20"/>
          <w:color w:val="auto"/>
        </w:rPr>
      </w:pPr>
    </w:p>
    <w:p>
      <w:pPr>
        <w:ind w:right="2599" w:firstLine="196"/>
        <w:spacing w:after="0" w:line="270" w:lineRule="auto"/>
        <w:rPr>
          <w:sz w:val="20"/>
          <w:szCs w:val="20"/>
          <w:color w:val="auto"/>
        </w:rPr>
      </w:pPr>
      <w:r>
        <w:rPr>
          <w:rFonts w:ascii="Courier New" w:cs="Courier New" w:eastAsia="Courier New" w:hAnsi="Courier New"/>
          <w:sz w:val="16"/>
          <w:szCs w:val="16"/>
          <w:color w:val="auto"/>
        </w:rPr>
        <w:t>Section 12. ASSISTANT SECRETARIES AND ASSISTANT TREASURERS. The assistant secretaries and assistant treasurers, in general, shall perform such duties as shall be assigned to them by the secretary or treasurer, respectively, or by the president or the Trustees. The assistant treasurers shall, if required by the Trustees, give bonds for the faithful performance of their duties in such sums and with such surety or sureties as shall be satisfactory to the Trustees.</w:t>
      </w:r>
    </w:p>
    <w:p>
      <w:pPr>
        <w:spacing w:after="0" w:line="280" w:lineRule="exact"/>
        <w:rPr>
          <w:sz w:val="20"/>
          <w:szCs w:val="20"/>
          <w:color w:val="auto"/>
        </w:rPr>
      </w:pPr>
    </w:p>
    <w:p>
      <w:pPr>
        <w:ind w:right="2879" w:firstLine="196"/>
        <w:spacing w:after="0" w:line="290" w:lineRule="auto"/>
        <w:rPr>
          <w:sz w:val="20"/>
          <w:szCs w:val="20"/>
          <w:color w:val="auto"/>
        </w:rPr>
      </w:pPr>
      <w:r>
        <w:rPr>
          <w:rFonts w:ascii="Courier New" w:cs="Courier New" w:eastAsia="Courier New" w:hAnsi="Courier New"/>
          <w:sz w:val="16"/>
          <w:szCs w:val="16"/>
          <w:color w:val="auto"/>
        </w:rPr>
        <w:t>Section 13. SALARIES. The salaries and other compensation of the officers shall be fixed from time to time by the Trustees and no officer shall be prevented from receiving such salary or other compensation by reason of the fact that he is also a Trustee.</w:t>
      </w:r>
    </w:p>
    <w:p>
      <w:pPr>
        <w:spacing w:after="0" w:line="6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19"/>
          </w:cols>
          <w:pgMar w:left="240" w:top="651" w:right="1440" w:bottom="969" w:gutter="0" w:footer="0" w:header="0"/>
        </w:sectPr>
      </w:pPr>
    </w:p>
    <w:bookmarkStart w:id="71" w:name="page72"/>
    <w:bookmarkEnd w:id="71"/>
    <w:p>
      <w:pPr>
        <w:jc w:val="center"/>
        <w:ind w:right="2599"/>
        <w:spacing w:after="0"/>
        <w:rPr>
          <w:sz w:val="20"/>
          <w:szCs w:val="20"/>
          <w:color w:val="auto"/>
        </w:rPr>
      </w:pPr>
      <w:r>
        <w:rPr>
          <w:rFonts w:ascii="Courier New" w:cs="Courier New" w:eastAsia="Courier New" w:hAnsi="Courier New"/>
          <w:sz w:val="16"/>
          <w:szCs w:val="16"/>
          <w:color w:val="auto"/>
        </w:rPr>
        <w:t>ARTICLE VI</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CONTRACTS, LOANS, CHECKS AND DEPOSITS</w:t>
      </w:r>
    </w:p>
    <w:p>
      <w:pPr>
        <w:spacing w:after="0" w:line="195" w:lineRule="exact"/>
        <w:rPr>
          <w:sz w:val="20"/>
          <w:szCs w:val="20"/>
          <w:color w:val="auto"/>
        </w:rPr>
      </w:pPr>
    </w:p>
    <w:p>
      <w:pPr>
        <w:ind w:right="2599" w:firstLine="196"/>
        <w:spacing w:after="0" w:line="269" w:lineRule="auto"/>
        <w:rPr>
          <w:sz w:val="20"/>
          <w:szCs w:val="20"/>
          <w:color w:val="auto"/>
        </w:rPr>
      </w:pPr>
      <w:r>
        <w:rPr>
          <w:rFonts w:ascii="Courier New" w:cs="Courier New" w:eastAsia="Courier New" w:hAnsi="Courier New"/>
          <w:sz w:val="16"/>
          <w:szCs w:val="16"/>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82" w:lineRule="exact"/>
        <w:rPr>
          <w:sz w:val="20"/>
          <w:szCs w:val="20"/>
          <w:color w:val="auto"/>
        </w:rPr>
      </w:pPr>
    </w:p>
    <w:p>
      <w:pPr>
        <w:ind w:right="2699" w:firstLine="196"/>
        <w:spacing w:after="0" w:line="290" w:lineRule="auto"/>
        <w:rPr>
          <w:sz w:val="20"/>
          <w:szCs w:val="20"/>
          <w:color w:val="auto"/>
        </w:rPr>
      </w:pPr>
      <w:r>
        <w:rPr>
          <w:rFonts w:ascii="Courier New" w:cs="Courier New" w:eastAsia="Courier New" w:hAnsi="Courier New"/>
          <w:sz w:val="16"/>
          <w:szCs w:val="16"/>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64"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may do so.</w:t>
      </w:r>
    </w:p>
    <w:p>
      <w:pPr>
        <w:spacing w:after="0" w:line="6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VII</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SHARES</w:t>
      </w:r>
    </w:p>
    <w:p>
      <w:pPr>
        <w:spacing w:after="0" w:line="195" w:lineRule="exact"/>
        <w:rPr>
          <w:sz w:val="20"/>
          <w:szCs w:val="20"/>
          <w:color w:val="auto"/>
        </w:rPr>
      </w:pPr>
    </w:p>
    <w:p>
      <w:pPr>
        <w:ind w:right="2599" w:firstLine="196"/>
        <w:spacing w:after="0" w:line="255" w:lineRule="auto"/>
        <w:rPr>
          <w:sz w:val="20"/>
          <w:szCs w:val="20"/>
          <w:color w:val="auto"/>
        </w:rPr>
      </w:pPr>
      <w:r>
        <w:rPr>
          <w:rFonts w:ascii="Courier New" w:cs="Courier New" w:eastAsia="Courier New" w:hAnsi="Courier New"/>
          <w:sz w:val="16"/>
          <w:szCs w:val="16"/>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95" w:lineRule="exact"/>
        <w:rPr>
          <w:sz w:val="20"/>
          <w:szCs w:val="20"/>
          <w:color w:val="auto"/>
        </w:rPr>
      </w:pPr>
    </w:p>
    <w:p>
      <w:pPr>
        <w:ind w:right="2699" w:firstLine="196"/>
        <w:spacing w:after="0" w:line="266" w:lineRule="auto"/>
        <w:rPr>
          <w:sz w:val="20"/>
          <w:szCs w:val="20"/>
          <w:color w:val="auto"/>
        </w:rPr>
      </w:pPr>
      <w:r>
        <w:rPr>
          <w:rFonts w:ascii="Courier New" w:cs="Courier New" w:eastAsia="Courier New" w:hAnsi="Courier New"/>
          <w:sz w:val="16"/>
          <w:szCs w:val="16"/>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84" w:lineRule="exact"/>
        <w:rPr>
          <w:sz w:val="20"/>
          <w:szCs w:val="20"/>
          <w:color w:val="auto"/>
        </w:rPr>
      </w:pPr>
    </w:p>
    <w:p>
      <w:pPr>
        <w:ind w:right="2599" w:firstLine="196"/>
        <w:spacing w:after="0" w:line="273" w:lineRule="auto"/>
        <w:rPr>
          <w:sz w:val="20"/>
          <w:szCs w:val="20"/>
          <w:color w:val="auto"/>
        </w:rPr>
      </w:pPr>
      <w:r>
        <w:rPr>
          <w:rFonts w:ascii="Courier New" w:cs="Courier New" w:eastAsia="Courier New" w:hAnsi="Courier New"/>
          <w:sz w:val="16"/>
          <w:szCs w:val="16"/>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79" w:lineRule="exact"/>
        <w:rPr>
          <w:sz w:val="20"/>
          <w:szCs w:val="20"/>
          <w:color w:val="auto"/>
        </w:rPr>
      </w:pPr>
    </w:p>
    <w:p>
      <w:pPr>
        <w:ind w:right="2599" w:firstLine="196"/>
        <w:spacing w:after="0" w:line="311" w:lineRule="auto"/>
        <w:rPr>
          <w:sz w:val="20"/>
          <w:szCs w:val="20"/>
          <w:color w:val="auto"/>
        </w:rPr>
      </w:pPr>
      <w:r>
        <w:rPr>
          <w:rFonts w:ascii="Courier New" w:cs="Courier New" w:eastAsia="Courier New" w:hAnsi="Courier New"/>
          <w:sz w:val="16"/>
          <w:szCs w:val="16"/>
          <w:color w:val="auto"/>
        </w:rPr>
        <w:t>Notwithstanding the foregoing, transfers of shares of beneficial interest of the Trust will be subject in all respects to the Declaration of Trust and all of the terms and conditions contained therein.</w:t>
      </w:r>
    </w:p>
    <w:p>
      <w:pPr>
        <w:spacing w:after="0" w:line="47" w:lineRule="exact"/>
        <w:rPr>
          <w:sz w:val="20"/>
          <w:szCs w:val="20"/>
          <w:color w:val="auto"/>
        </w:rPr>
      </w:pPr>
    </w:p>
    <w:p>
      <w:pPr>
        <w:ind w:right="2699" w:firstLine="196"/>
        <w:spacing w:after="0" w:line="266" w:lineRule="auto"/>
        <w:rPr>
          <w:sz w:val="20"/>
          <w:szCs w:val="20"/>
          <w:color w:val="auto"/>
        </w:rPr>
      </w:pPr>
      <w:r>
        <w:rPr>
          <w:rFonts w:ascii="Courier New" w:cs="Courier New" w:eastAsia="Courier New" w:hAnsi="Courier New"/>
          <w:sz w:val="16"/>
          <w:szCs w:val="16"/>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w:t>
      </w:r>
    </w:p>
    <w:p>
      <w:pPr>
        <w:spacing w:after="0" w:line="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B-10</w:t>
      </w:r>
    </w:p>
    <w:p>
      <w:pPr>
        <w:sectPr>
          <w:pgSz w:w="11900" w:h="16838" w:orient="portrait"/>
          <w:cols w:equalWidth="0" w:num="1">
            <w:col w:w="10219"/>
          </w:cols>
          <w:pgMar w:left="240" w:top="650" w:right="1440" w:bottom="1157" w:gutter="0" w:footer="0" w:header="0"/>
        </w:sectPr>
      </w:pPr>
    </w:p>
    <w:bookmarkStart w:id="72" w:name="page73"/>
    <w:bookmarkEnd w:id="72"/>
    <w:p>
      <w:pPr>
        <w:ind w:right="2599"/>
        <w:spacing w:after="0" w:line="290" w:lineRule="auto"/>
        <w:rPr>
          <w:sz w:val="20"/>
          <w:szCs w:val="20"/>
          <w:color w:val="auto"/>
        </w:rPr>
      </w:pPr>
      <w:r>
        <w:rPr>
          <w:rFonts w:ascii="Courier New" w:cs="Courier New" w:eastAsia="Courier New" w:hAnsi="Courier New"/>
          <w:sz w:val="16"/>
          <w:szCs w:val="16"/>
          <w:color w:val="auto"/>
        </w:rPr>
        <w:t>destroyed certificate or the owner's legal representative to advertise the same in such manner as he shall require and/or to give bond, with sufficient surety, to the Trust to indemnify it against any loss or claim which may arise as a result of the issuance of a new certificate.</w:t>
      </w:r>
    </w:p>
    <w:p>
      <w:pPr>
        <w:spacing w:after="0" w:line="64" w:lineRule="exact"/>
        <w:rPr>
          <w:sz w:val="20"/>
          <w:szCs w:val="20"/>
          <w:color w:val="auto"/>
        </w:rPr>
      </w:pPr>
    </w:p>
    <w:p>
      <w:pPr>
        <w:ind w:right="2599" w:firstLine="196"/>
        <w:spacing w:after="0" w:line="262" w:lineRule="auto"/>
        <w:rPr>
          <w:sz w:val="20"/>
          <w:szCs w:val="20"/>
          <w:color w:val="auto"/>
        </w:rPr>
      </w:pPr>
      <w:r>
        <w:rPr>
          <w:rFonts w:ascii="Courier New" w:cs="Courier New" w:eastAsia="Courier New" w:hAnsi="Courier New"/>
          <w:sz w:val="16"/>
          <w:szCs w:val="16"/>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89" w:lineRule="exact"/>
        <w:rPr>
          <w:sz w:val="20"/>
          <w:szCs w:val="20"/>
          <w:color w:val="auto"/>
        </w:rPr>
      </w:pPr>
    </w:p>
    <w:p>
      <w:pPr>
        <w:ind w:right="2879" w:firstLine="196"/>
        <w:spacing w:after="0" w:line="273" w:lineRule="auto"/>
        <w:rPr>
          <w:sz w:val="20"/>
          <w:szCs w:val="20"/>
          <w:color w:val="auto"/>
        </w:rPr>
      </w:pPr>
      <w:r>
        <w:rPr>
          <w:rFonts w:ascii="Courier New" w:cs="Courier New" w:eastAsia="Courier New" w:hAnsi="Courier New"/>
          <w:sz w:val="16"/>
          <w:szCs w:val="16"/>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79" w:lineRule="exact"/>
        <w:rPr>
          <w:sz w:val="20"/>
          <w:szCs w:val="20"/>
          <w:color w:val="auto"/>
        </w:rPr>
      </w:pPr>
    </w:p>
    <w:p>
      <w:pPr>
        <w:ind w:right="2599" w:firstLine="196"/>
        <w:spacing w:after="0" w:line="264" w:lineRule="auto"/>
        <w:rPr>
          <w:sz w:val="20"/>
          <w:szCs w:val="20"/>
          <w:color w:val="auto"/>
        </w:rPr>
      </w:pPr>
      <w:r>
        <w:rPr>
          <w:rFonts w:ascii="Courier New" w:cs="Courier New" w:eastAsia="Courier New" w:hAnsi="Courier New"/>
          <w:sz w:val="16"/>
          <w:szCs w:val="16"/>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85" w:lineRule="exact"/>
        <w:rPr>
          <w:sz w:val="20"/>
          <w:szCs w:val="20"/>
          <w:color w:val="auto"/>
        </w:rPr>
      </w:pPr>
    </w:p>
    <w:p>
      <w:pPr>
        <w:ind w:right="2699" w:firstLine="196"/>
        <w:spacing w:after="0" w:line="269" w:lineRule="auto"/>
        <w:rPr>
          <w:sz w:val="20"/>
          <w:szCs w:val="20"/>
          <w:color w:val="auto"/>
        </w:rPr>
      </w:pPr>
      <w:r>
        <w:rPr>
          <w:rFonts w:ascii="Courier New" w:cs="Courier New" w:eastAsia="Courier New" w:hAnsi="Courier New"/>
          <w:sz w:val="16"/>
          <w:szCs w:val="16"/>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82"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64" w:lineRule="exact"/>
        <w:rPr>
          <w:sz w:val="20"/>
          <w:szCs w:val="20"/>
          <w:color w:val="auto"/>
        </w:rPr>
      </w:pPr>
    </w:p>
    <w:p>
      <w:pPr>
        <w:ind w:right="2599" w:firstLine="196"/>
        <w:spacing w:after="0" w:line="264" w:lineRule="auto"/>
        <w:rPr>
          <w:sz w:val="20"/>
          <w:szCs w:val="20"/>
          <w:color w:val="auto"/>
        </w:rPr>
      </w:pPr>
      <w:r>
        <w:rPr>
          <w:rFonts w:ascii="Courier New" w:cs="Courier New" w:eastAsia="Courier New" w:hAnsi="Courier New"/>
          <w:sz w:val="16"/>
          <w:szCs w:val="16"/>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VIII</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ACCOUNTING YEAR</w:t>
      </w:r>
    </w:p>
    <w:p>
      <w:pPr>
        <w:spacing w:after="0" w:line="195" w:lineRule="exact"/>
        <w:rPr>
          <w:sz w:val="20"/>
          <w:szCs w:val="20"/>
          <w:color w:val="auto"/>
        </w:rPr>
      </w:pPr>
    </w:p>
    <w:p>
      <w:pPr>
        <w:ind w:right="2599" w:firstLine="196"/>
        <w:spacing w:after="0" w:line="373" w:lineRule="auto"/>
        <w:rPr>
          <w:sz w:val="20"/>
          <w:szCs w:val="20"/>
          <w:color w:val="auto"/>
        </w:rPr>
      </w:pPr>
      <w:r>
        <w:rPr>
          <w:rFonts w:ascii="Courier New" w:cs="Courier New" w:eastAsia="Courier New" w:hAnsi="Courier New"/>
          <w:sz w:val="16"/>
          <w:szCs w:val="16"/>
          <w:color w:val="auto"/>
        </w:rPr>
        <w:t>The Trustees shall have the power, from time to time, to fix the fiscal year of the Trust by a duly adopted resolution.</w:t>
      </w:r>
    </w:p>
    <w:p>
      <w:pPr>
        <w:ind w:left="3320"/>
        <w:spacing w:after="0"/>
        <w:rPr>
          <w:sz w:val="20"/>
          <w:szCs w:val="20"/>
          <w:color w:val="auto"/>
        </w:rPr>
      </w:pPr>
      <w:r>
        <w:rPr>
          <w:rFonts w:ascii="Courier New" w:cs="Courier New" w:eastAsia="Courier New" w:hAnsi="Courier New"/>
          <w:sz w:val="16"/>
          <w:szCs w:val="16"/>
          <w:color w:val="auto"/>
        </w:rPr>
        <w:t>ARTICLE IX</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DISTRIBUTIONS</w:t>
      </w:r>
    </w:p>
    <w:p>
      <w:pPr>
        <w:spacing w:after="0" w:line="195"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10219"/>
          </w:cols>
          <w:pgMar w:left="240" w:top="650" w:right="1440" w:bottom="1440" w:gutter="0" w:footer="0" w:header="0"/>
        </w:sectPr>
      </w:pPr>
    </w:p>
    <w:bookmarkStart w:id="73" w:name="page74"/>
    <w:bookmarkEnd w:id="73"/>
    <w:p>
      <w:pPr>
        <w:ind w:right="2599" w:firstLine="196"/>
        <w:spacing w:after="0" w:line="264" w:lineRule="auto"/>
        <w:rPr>
          <w:sz w:val="20"/>
          <w:szCs w:val="20"/>
          <w:color w:val="auto"/>
        </w:rPr>
      </w:pPr>
      <w:r>
        <w:rPr>
          <w:rFonts w:ascii="Courier New" w:cs="Courier New" w:eastAsia="Courier New" w:hAnsi="Courier New"/>
          <w:sz w:val="16"/>
          <w:szCs w:val="16"/>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8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X</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INVESTMENT POLICY</w:t>
      </w:r>
    </w:p>
    <w:p>
      <w:pPr>
        <w:spacing w:after="0" w:line="195" w:lineRule="exact"/>
        <w:rPr>
          <w:sz w:val="20"/>
          <w:szCs w:val="20"/>
          <w:color w:val="auto"/>
        </w:rPr>
      </w:pPr>
    </w:p>
    <w:p>
      <w:pPr>
        <w:ind w:right="2599" w:firstLine="196"/>
        <w:spacing w:after="0" w:line="290" w:lineRule="auto"/>
        <w:rPr>
          <w:sz w:val="20"/>
          <w:szCs w:val="20"/>
          <w:color w:val="auto"/>
        </w:rPr>
      </w:pPr>
      <w:r>
        <w:rPr>
          <w:rFonts w:ascii="Courier New" w:cs="Courier New" w:eastAsia="Courier New" w:hAnsi="Courier New"/>
          <w:sz w:val="16"/>
          <w:szCs w:val="16"/>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6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XI</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SEAL</w:t>
      </w:r>
    </w:p>
    <w:p>
      <w:pPr>
        <w:spacing w:after="0" w:line="195" w:lineRule="exact"/>
        <w:rPr>
          <w:sz w:val="20"/>
          <w:szCs w:val="20"/>
          <w:color w:val="auto"/>
        </w:rPr>
      </w:pPr>
    </w:p>
    <w:p>
      <w:pPr>
        <w:ind w:right="2699" w:firstLine="196"/>
        <w:spacing w:after="0" w:line="290" w:lineRule="auto"/>
        <w:rPr>
          <w:sz w:val="20"/>
          <w:szCs w:val="20"/>
          <w:color w:val="auto"/>
        </w:rPr>
      </w:pPr>
      <w:r>
        <w:rPr>
          <w:rFonts w:ascii="Courier New" w:cs="Courier New" w:eastAsia="Courier New" w:hAnsi="Courier New"/>
          <w:sz w:val="16"/>
          <w:szCs w:val="16"/>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64" w:lineRule="exact"/>
        <w:rPr>
          <w:sz w:val="20"/>
          <w:szCs w:val="20"/>
          <w:color w:val="auto"/>
        </w:rPr>
      </w:pPr>
    </w:p>
    <w:p>
      <w:pPr>
        <w:ind w:right="2699" w:firstLine="196"/>
        <w:spacing w:after="0" w:line="280" w:lineRule="auto"/>
        <w:rPr>
          <w:sz w:val="20"/>
          <w:szCs w:val="20"/>
          <w:color w:val="auto"/>
        </w:rPr>
      </w:pPr>
      <w:r>
        <w:rPr>
          <w:rFonts w:ascii="Courier New" w:cs="Courier New" w:eastAsia="Courier New" w:hAnsi="Courier New"/>
          <w:sz w:val="16"/>
          <w:szCs w:val="16"/>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7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XII</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INDEMNIFICATION AND ADVANCE OF EXPENSES</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(i) a written affirmation by the Trustee or officer of his good faith belief that he has met the applicable standard of conduct necessary for indemnification by the Trust as authorized by these Bylaws and</w:t>
      </w:r>
    </w:p>
    <w:p>
      <w:pPr>
        <w:spacing w:after="0" w:line="5" w:lineRule="exact"/>
        <w:rPr>
          <w:sz w:val="20"/>
          <w:szCs w:val="20"/>
          <w:color w:val="auto"/>
        </w:rPr>
      </w:pPr>
    </w:p>
    <w:p>
      <w:pPr>
        <w:ind w:right="2799"/>
        <w:spacing w:after="0" w:line="270" w:lineRule="auto"/>
        <w:tabs>
          <w:tab w:leader="none" w:pos="48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undertaking by or on his behalf to repay the amount paid or reimbursed by the Trust if it shall ultimately be determined that the applicable standard of conduct was not met. The Trust may, with the approval of its Trustees, provide such indemnification or payment or reimbursement of expenses to any</w:t>
      </w:r>
    </w:p>
    <w:p>
      <w:pPr>
        <w:spacing w:after="0" w:line="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B-12</w:t>
      </w:r>
    </w:p>
    <w:p>
      <w:pPr>
        <w:sectPr>
          <w:pgSz w:w="11900" w:h="16838" w:orient="portrait"/>
          <w:cols w:equalWidth="0" w:num="1">
            <w:col w:w="10219"/>
          </w:cols>
          <w:pgMar w:left="240" w:top="650" w:right="1440" w:bottom="1440" w:gutter="0" w:footer="0" w:header="0"/>
        </w:sectPr>
      </w:pPr>
    </w:p>
    <w:bookmarkStart w:id="74" w:name="page75"/>
    <w:bookmarkEnd w:id="74"/>
    <w:p>
      <w:pPr>
        <w:ind w:right="2699"/>
        <w:spacing w:after="0" w:line="266" w:lineRule="auto"/>
        <w:rPr>
          <w:sz w:val="20"/>
          <w:szCs w:val="20"/>
          <w:color w:val="auto"/>
        </w:rPr>
      </w:pPr>
      <w:r>
        <w:rPr>
          <w:rFonts w:ascii="Courier New" w:cs="Courier New" w:eastAsia="Courier New" w:hAnsi="Courier New"/>
          <w:sz w:val="16"/>
          <w:szCs w:val="16"/>
          <w:color w:val="auto"/>
        </w:rPr>
        <w:t>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84" w:lineRule="exact"/>
        <w:rPr>
          <w:sz w:val="20"/>
          <w:szCs w:val="20"/>
          <w:color w:val="auto"/>
        </w:rPr>
      </w:pPr>
    </w:p>
    <w:p>
      <w:pPr>
        <w:ind w:right="2599" w:firstLine="196"/>
        <w:spacing w:after="0" w:line="266" w:lineRule="auto"/>
        <w:rPr>
          <w:sz w:val="20"/>
          <w:szCs w:val="20"/>
          <w:color w:val="auto"/>
        </w:rPr>
      </w:pPr>
      <w:r>
        <w:rPr>
          <w:rFonts w:ascii="Courier New" w:cs="Courier New" w:eastAsia="Courier New" w:hAnsi="Courier New"/>
          <w:sz w:val="16"/>
          <w:szCs w:val="16"/>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8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XIII</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WAIVER OF NOTICE</w:t>
      </w:r>
    </w:p>
    <w:p>
      <w:pPr>
        <w:spacing w:after="0" w:line="195" w:lineRule="exact"/>
        <w:rPr>
          <w:sz w:val="20"/>
          <w:szCs w:val="20"/>
          <w:color w:val="auto"/>
        </w:rPr>
      </w:pPr>
    </w:p>
    <w:p>
      <w:pPr>
        <w:ind w:right="2799" w:firstLine="196"/>
        <w:spacing w:after="0" w:line="261" w:lineRule="auto"/>
        <w:rPr>
          <w:sz w:val="20"/>
          <w:szCs w:val="20"/>
          <w:color w:val="auto"/>
        </w:rPr>
      </w:pPr>
      <w:r>
        <w:rPr>
          <w:rFonts w:ascii="Courier New" w:cs="Courier New" w:eastAsia="Courier New" w:hAnsi="Courier New"/>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XIV</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AMENDMENT OF BYLAWS</w:t>
      </w:r>
    </w:p>
    <w:p>
      <w:pPr>
        <w:spacing w:after="0" w:line="195" w:lineRule="exact"/>
        <w:rPr>
          <w:sz w:val="20"/>
          <w:szCs w:val="20"/>
          <w:color w:val="auto"/>
        </w:rPr>
      </w:pPr>
    </w:p>
    <w:p>
      <w:pPr>
        <w:ind w:right="2879" w:firstLine="196"/>
        <w:spacing w:after="0" w:line="373" w:lineRule="auto"/>
        <w:rPr>
          <w:sz w:val="20"/>
          <w:szCs w:val="20"/>
          <w:color w:val="auto"/>
        </w:rPr>
      </w:pPr>
      <w:r>
        <w:rPr>
          <w:rFonts w:ascii="Courier New" w:cs="Courier New" w:eastAsia="Courier New" w:hAnsi="Courier New"/>
          <w:sz w:val="16"/>
          <w:szCs w:val="16"/>
          <w:color w:val="auto"/>
        </w:rPr>
        <w:t>The Trustees shall have the exclusive power to adopt, alter or repeal any provision of these Bylaws and to make new Bylaws.</w:t>
      </w:r>
    </w:p>
    <w:p>
      <w:pPr>
        <w:ind w:left="3320"/>
        <w:spacing w:after="0"/>
        <w:rPr>
          <w:sz w:val="20"/>
          <w:szCs w:val="20"/>
          <w:color w:val="auto"/>
        </w:rPr>
      </w:pPr>
      <w:r>
        <w:rPr>
          <w:rFonts w:ascii="Courier New" w:cs="Courier New" w:eastAsia="Courier New" w:hAnsi="Courier New"/>
          <w:sz w:val="16"/>
          <w:szCs w:val="16"/>
          <w:color w:val="auto"/>
        </w:rPr>
        <w:t>ARTICLE XV</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right="3079" w:firstLine="196"/>
        <w:spacing w:after="0" w:line="373" w:lineRule="auto"/>
        <w:rPr>
          <w:sz w:val="20"/>
          <w:szCs w:val="20"/>
          <w:color w:val="auto"/>
        </w:rPr>
      </w:pPr>
      <w:r>
        <w:rPr>
          <w:rFonts w:ascii="Courier New" w:cs="Courier New" w:eastAsia="Courier New" w:hAnsi="Courier New"/>
          <w:sz w:val="16"/>
          <w:szCs w:val="16"/>
          <w:color w:val="auto"/>
        </w:rPr>
        <w:t>All references to the Declaration of Trust shall include any amendments thereto.</w:t>
      </w:r>
    </w:p>
    <w:p>
      <w:pPr>
        <w:ind w:left="3620"/>
        <w:spacing w:after="0"/>
        <w:rPr>
          <w:sz w:val="20"/>
          <w:szCs w:val="20"/>
          <w:color w:val="auto"/>
        </w:rPr>
      </w:pPr>
      <w:r>
        <w:rPr>
          <w:rFonts w:ascii="Courier New" w:cs="Courier New" w:eastAsia="Courier New" w:hAnsi="Courier New"/>
          <w:sz w:val="16"/>
          <w:szCs w:val="16"/>
          <w:color w:val="auto"/>
        </w:rPr>
        <w:t>B-13</w:t>
      </w:r>
    </w:p>
    <w:p>
      <w:pPr>
        <w:sectPr>
          <w:pgSz w:w="11900" w:h="16838" w:orient="portrait"/>
          <w:cols w:equalWidth="0" w:num="1">
            <w:col w:w="10219"/>
          </w:cols>
          <w:pgMar w:left="240" w:top="650" w:right="1440" w:bottom="1440" w:gutter="0" w:footer="0" w:header="0"/>
        </w:sectPr>
      </w:pPr>
    </w:p>
    <w:bookmarkStart w:id="75" w:name="page76"/>
    <w:bookmarkEnd w:id="75"/>
    <w:p>
      <w:pPr>
        <w:ind w:left="200" w:hanging="200"/>
        <w:spacing w:after="0"/>
        <w:tabs>
          <w:tab w:leader="none" w:pos="2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PROXY</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THIS PROXY IS SOLICITED ON BEHALF OF THE BOARD OF TRUSTEES</w:t>
      </w:r>
    </w:p>
    <w:p>
      <w:pPr>
        <w:spacing w:after="0" w:line="195" w:lineRule="exact"/>
        <w:rPr>
          <w:sz w:val="20"/>
          <w:szCs w:val="20"/>
          <w:color w:val="auto"/>
        </w:rPr>
      </w:pPr>
    </w:p>
    <w:p>
      <w:pPr>
        <w:ind w:right="2399" w:firstLine="293"/>
        <w:spacing w:after="0" w:line="262" w:lineRule="auto"/>
        <w:rPr>
          <w:sz w:val="20"/>
          <w:szCs w:val="20"/>
          <w:color w:val="auto"/>
        </w:rPr>
      </w:pPr>
      <w:r>
        <w:rPr>
          <w:rFonts w:ascii="Courier New" w:cs="Courier New" w:eastAsia="Courier New" w:hAnsi="Courier New"/>
          <w:sz w:val="16"/>
          <w:szCs w:val="16"/>
          <w:color w:val="auto"/>
        </w:rPr>
        <w:t>The undersigned, a shareholder of Federal Realty Investment Trust (the "Trust") hereby constitutes and appoints THOMAS F. COONEY, ESQ., RON D. KAPLAN and CECILY A. WARD, or any of them, as the true and lawful attorneys and proxies of the undersigned, with full power of substitution, for and in the name of the undersigned, to vote and otherwise act at the Annual Meeting of Shareholders of the Trust to be held at The Doubletree Hotel, 1750 Rockville Pike, Rockville, Maryland on Wednesday, May 5, 1999 at 10:00 a.m., or at any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89" w:lineRule="exact"/>
        <w:rPr>
          <w:sz w:val="20"/>
          <w:szCs w:val="20"/>
          <w:color w:val="auto"/>
        </w:rPr>
      </w:pPr>
    </w:p>
    <w:p>
      <w:pPr>
        <w:ind w:right="2399" w:firstLine="293"/>
        <w:spacing w:after="0" w:line="373" w:lineRule="auto"/>
        <w:rPr>
          <w:sz w:val="20"/>
          <w:szCs w:val="20"/>
          <w:color w:val="auto"/>
        </w:rPr>
      </w:pPr>
      <w:r>
        <w:rPr>
          <w:rFonts w:ascii="Courier New" w:cs="Courier New" w:eastAsia="Courier New" w:hAnsi="Courier New"/>
          <w:sz w:val="16"/>
          <w:szCs w:val="16"/>
          <w:color w:val="auto"/>
        </w:rPr>
        <w:t>The undersigned hereby ratifies and confirms all that the aforesaid attorneys and proxies may do hereunder.</w:t>
      </w:r>
    </w:p>
    <w:p>
      <w:pPr>
        <w:ind w:left="6540"/>
        <w:spacing w:after="0"/>
        <w:rPr>
          <w:sz w:val="20"/>
          <w:szCs w:val="20"/>
          <w:color w:val="auto"/>
        </w:rPr>
      </w:pPr>
      <w:r>
        <w:rPr>
          <w:rFonts w:ascii="Courier New" w:cs="Courier New" w:eastAsia="Courier New" w:hAnsi="Courier New"/>
          <w:sz w:val="16"/>
          <w:szCs w:val="16"/>
          <w:color w:val="auto"/>
        </w:rPr>
        <w:t>-------------</w:t>
      </w:r>
    </w:p>
    <w:p>
      <w:pPr>
        <w:spacing w:after="0" w:line="37"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SEE REVERSE</w:t>
      </w:r>
    </w:p>
    <w:p>
      <w:pPr>
        <w:spacing w:after="0" w:line="7" w:lineRule="exact"/>
        <w:rPr>
          <w:sz w:val="20"/>
          <w:szCs w:val="20"/>
          <w:color w:val="auto"/>
        </w:rPr>
      </w:pPr>
    </w:p>
    <w:p>
      <w:pPr>
        <w:ind w:left="6940"/>
        <w:spacing w:after="0"/>
        <w:rPr>
          <w:sz w:val="20"/>
          <w:szCs w:val="20"/>
          <w:color w:val="auto"/>
        </w:rPr>
      </w:pPr>
      <w:r>
        <w:rPr>
          <w:rFonts w:ascii="Courier New" w:cs="Courier New" w:eastAsia="Courier New" w:hAnsi="Courier New"/>
          <w:sz w:val="16"/>
          <w:szCs w:val="16"/>
          <w:color w:val="auto"/>
        </w:rPr>
        <w:t>SIDE</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(To Be Signed on Reverse Side)</w:t>
      </w:r>
    </w:p>
    <w:p>
      <w:pPr>
        <w:sectPr>
          <w:pgSz w:w="11900" w:h="16838" w:orient="portrait"/>
          <w:cols w:equalWidth="0" w:num="1">
            <w:col w:w="10219"/>
          </w:cols>
          <w:pgMar w:left="240" w:top="650" w:right="1440" w:bottom="1440" w:gutter="0" w:footer="0" w:header="0"/>
        </w:sectPr>
      </w:pPr>
    </w:p>
    <w:bookmarkStart w:id="76" w:name="page77"/>
    <w:bookmarkEnd w:id="76"/>
    <w:p>
      <w:pPr>
        <w:ind w:left="2340"/>
        <w:spacing w:after="0"/>
        <w:rPr>
          <w:sz w:val="20"/>
          <w:szCs w:val="20"/>
          <w:color w:val="auto"/>
        </w:rPr>
      </w:pPr>
      <w:r>
        <w:rPr>
          <w:rFonts w:ascii="Courier New" w:cs="Courier New" w:eastAsia="Courier New" w:hAnsi="Courier New"/>
          <w:sz w:val="16"/>
          <w:szCs w:val="16"/>
          <w:color w:val="auto"/>
        </w:rPr>
        <w:t>Please date, sign and mail your</w:t>
      </w:r>
    </w:p>
    <w:p>
      <w:pPr>
        <w:spacing w:after="0" w:line="3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proxy card back as soon as possible!</w:t>
      </w:r>
    </w:p>
    <w:p>
      <w:pPr>
        <w:spacing w:after="0" w:line="16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Annual Meeting of Shareholders</w:t>
      </w:r>
    </w:p>
    <w:p>
      <w:pPr>
        <w:spacing w:after="0" w:line="3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6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May 5, 1999</w:t>
      </w:r>
    </w:p>
    <w:p>
      <w:pPr>
        <w:spacing w:after="0" w:line="195" w:lineRule="exact"/>
        <w:rPr>
          <w:sz w:val="20"/>
          <w:szCs w:val="20"/>
          <w:color w:val="auto"/>
        </w:rPr>
      </w:pPr>
    </w:p>
    <w:p>
      <w:pPr>
        <w:ind w:left="200"/>
        <w:spacing w:after="0"/>
        <w:tabs>
          <w:tab w:leader="none" w:pos="1540" w:val="left"/>
          <w:tab w:leader="none" w:pos="6340" w:val="left"/>
        </w:tabs>
        <w:rPr>
          <w:sz w:val="20"/>
          <w:szCs w:val="20"/>
          <w:color w:val="auto"/>
        </w:rPr>
      </w:pPr>
      <w:r>
        <w:rPr>
          <w:rFonts w:ascii="Courier New" w:cs="Courier New" w:eastAsia="Courier New" w:hAnsi="Courier New"/>
          <w:sz w:val="16"/>
          <w:szCs w:val="16"/>
          <w:color w:val="auto"/>
        </w:rPr>
        <w:t>[down arrow]</w:t>
        <w:tab/>
        <w:t>Please Detach and Mail in the Envelope Provided</w:t>
        <w:tab/>
        <w:t>[down arrow]</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Please mark your</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[X] votes as in this</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example</w:t>
      </w:r>
    </w:p>
    <w:p>
      <w:pPr>
        <w:spacing w:after="0" w:line="165" w:lineRule="exact"/>
        <w:rPr>
          <w:sz w:val="20"/>
          <w:szCs w:val="20"/>
          <w:color w:val="auto"/>
        </w:rPr>
      </w:pPr>
    </w:p>
    <w:p>
      <w:pPr>
        <w:ind w:right="3800"/>
        <w:spacing w:after="0" w:line="311" w:lineRule="auto"/>
        <w:rPr>
          <w:sz w:val="20"/>
          <w:szCs w:val="20"/>
          <w:color w:val="auto"/>
        </w:rPr>
      </w:pPr>
      <w:r>
        <w:rPr>
          <w:rFonts w:ascii="Courier New" w:cs="Courier New" w:eastAsia="Courier New" w:hAnsi="Courier New"/>
          <w:sz w:val="16"/>
          <w:szCs w:val="16"/>
          <w:color w:val="auto"/>
        </w:rPr>
        <w:t>This Proxy when properly executed will be voted as directed by the undersigned shareholder. IF NO DIRECTION IS GIVEN, THIS PROXY WILL BE VOTED "FOR" PROPOSALS 1,2 and 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1. To elect the following Trustees</w:t>
            </w:r>
          </w:p>
        </w:tc>
        <w:tc>
          <w:tcPr>
            <w:tcW w:w="1460" w:type="dxa"/>
            <w:vAlign w:val="bottom"/>
          </w:tcPr>
          <w:p>
            <w:pPr>
              <w:ind w:left="960"/>
              <w:spacing w:after="0"/>
              <w:rPr>
                <w:sz w:val="20"/>
                <w:szCs w:val="20"/>
                <w:color w:val="auto"/>
              </w:rPr>
            </w:pPr>
            <w:r>
              <w:rPr>
                <w:rFonts w:ascii="Courier New" w:cs="Courier New" w:eastAsia="Courier New" w:hAnsi="Courier New"/>
                <w:sz w:val="16"/>
                <w:szCs w:val="16"/>
                <w:color w:val="auto"/>
              </w:rPr>
              <w:t>FOR</w:t>
            </w:r>
          </w:p>
        </w:tc>
        <w:tc>
          <w:tcPr>
            <w:tcW w:w="21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WITHHELD</w:t>
            </w:r>
          </w:p>
        </w:tc>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Nominees:</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for terms expiring as set forth in</w:t>
            </w:r>
          </w:p>
        </w:tc>
        <w:tc>
          <w:tcPr>
            <w:tcW w:w="1460" w:type="dxa"/>
            <w:vAlign w:val="bottom"/>
            <w:vMerge w:val="restart"/>
          </w:tcPr>
          <w:p>
            <w:pPr>
              <w:ind w:left="960"/>
              <w:spacing w:after="0"/>
              <w:rPr>
                <w:sz w:val="20"/>
                <w:szCs w:val="20"/>
                <w:color w:val="auto"/>
              </w:rPr>
            </w:pPr>
            <w:r>
              <w:rPr>
                <w:rFonts w:ascii="Courier New" w:cs="Courier New" w:eastAsia="Courier New" w:hAnsi="Courier New"/>
                <w:sz w:val="16"/>
                <w:szCs w:val="16"/>
                <w:color w:val="auto"/>
              </w:rPr>
              <w:t>[ ]</w:t>
            </w:r>
          </w:p>
        </w:tc>
        <w:tc>
          <w:tcPr>
            <w:tcW w:w="11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spacing w:after="0"/>
              <w:rPr>
                <w:sz w:val="16"/>
                <w:szCs w:val="16"/>
                <w:color w:val="auto"/>
              </w:rPr>
            </w:pPr>
          </w:p>
        </w:tc>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Samuel J. Gorlitz</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the accompanying Proxy Statement.</w:t>
            </w:r>
          </w:p>
        </w:tc>
        <w:tc>
          <w:tcPr>
            <w:tcW w:w="14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Steven J. Guttman</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Mark S. Ordan</w:t>
            </w: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George L. Perry</w:t>
            </w:r>
          </w:p>
        </w:tc>
        <w:tc>
          <w:tcPr>
            <w:tcW w:w="0" w:type="dxa"/>
            <w:vAlign w:val="bottom"/>
          </w:tcPr>
          <w:p>
            <w:pPr>
              <w:spacing w:after="0"/>
              <w:rPr>
                <w:sz w:val="1"/>
                <w:szCs w:val="1"/>
                <w:color w:val="auto"/>
              </w:rPr>
            </w:pPr>
          </w:p>
        </w:tc>
      </w:tr>
      <w:tr>
        <w:trPr>
          <w:trHeight w:val="4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For all, except as otherwise indicated.</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The Board of Trustees unanimously</w:t>
            </w: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recommends a vote FOR the four nominees:</w:t>
            </w:r>
          </w:p>
        </w:tc>
        <w:tc>
          <w:tcPr>
            <w:tcW w:w="0" w:type="dxa"/>
            <w:vAlign w:val="bottom"/>
          </w:tcPr>
          <w:p>
            <w:pPr>
              <w:spacing w:after="0"/>
              <w:rPr>
                <w:sz w:val="1"/>
                <w:szCs w:val="1"/>
                <w:color w:val="auto"/>
              </w:rPr>
            </w:pPr>
          </w:p>
        </w:tc>
      </w:tr>
      <w:tr>
        <w:trPr>
          <w:trHeight w:val="2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(INSTRUCTION: To withhold authority to</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vote for any individual nominee, strike</w:t>
            </w: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a line through the nominee's name in the list.)</w:t>
            </w: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3820" w:type="dxa"/>
            <w:vAlign w:val="bottom"/>
          </w:tcPr>
          <w:p>
            <w:pPr>
              <w:spacing w:after="0"/>
              <w:rPr>
                <w:sz w:val="20"/>
                <w:szCs w:val="20"/>
                <w:color w:val="auto"/>
              </w:rPr>
            </w:pPr>
            <w:r>
              <w:rPr>
                <w:rFonts w:ascii="Courier New" w:cs="Courier New" w:eastAsia="Courier New" w:hAnsi="Courier New"/>
                <w:sz w:val="16"/>
                <w:szCs w:val="16"/>
                <w:color w:val="auto"/>
              </w:rPr>
              <w:t>2. To approve the amendment and</w:t>
            </w:r>
          </w:p>
        </w:tc>
        <w:tc>
          <w:tcPr>
            <w:tcW w:w="1460" w:type="dxa"/>
            <w:vAlign w:val="bottom"/>
          </w:tcPr>
          <w:p>
            <w:pPr>
              <w:ind w:left="960"/>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AGAINST</w:t>
            </w:r>
          </w:p>
        </w:tc>
        <w:tc>
          <w:tcPr>
            <w:tcW w:w="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ABSTAIN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restatement of the Trust's Declaration</w:t>
            </w:r>
          </w:p>
        </w:tc>
        <w:tc>
          <w:tcPr>
            <w:tcW w:w="1460" w:type="dxa"/>
            <w:vAlign w:val="bottom"/>
            <w:vMerge w:val="restart"/>
          </w:tcPr>
          <w:p>
            <w:pPr>
              <w:ind w:left="960"/>
              <w:spacing w:after="0"/>
              <w:rPr>
                <w:sz w:val="20"/>
                <w:szCs w:val="20"/>
                <w:color w:val="auto"/>
              </w:rPr>
            </w:pPr>
            <w:r>
              <w:rPr>
                <w:rFonts w:ascii="Courier New" w:cs="Courier New" w:eastAsia="Courier New" w:hAnsi="Courier New"/>
                <w:sz w:val="16"/>
                <w:szCs w:val="16"/>
                <w:color w:val="auto"/>
              </w:rPr>
              <w:t>[ ]</w:t>
            </w:r>
          </w:p>
        </w:tc>
        <w:tc>
          <w:tcPr>
            <w:tcW w:w="1180" w:type="dxa"/>
            <w:vAlign w:val="bottom"/>
            <w:vMerge w:val="restart"/>
          </w:tcPr>
          <w:p>
            <w:pPr>
              <w:jc w:val="center"/>
              <w:ind w:right="39"/>
              <w:spacing w:after="0"/>
              <w:rPr>
                <w:sz w:val="20"/>
                <w:szCs w:val="20"/>
                <w:color w:val="auto"/>
              </w:rPr>
            </w:pPr>
            <w:r>
              <w:rPr>
                <w:rFonts w:ascii="Courier New" w:cs="Courier New" w:eastAsia="Courier New" w:hAnsi="Courier New"/>
                <w:sz w:val="16"/>
                <w:szCs w:val="16"/>
                <w:color w:val="auto"/>
              </w:rPr>
              <w:t>[ ]</w:t>
            </w:r>
          </w:p>
        </w:tc>
        <w:tc>
          <w:tcPr>
            <w:tcW w:w="960" w:type="dxa"/>
            <w:vAlign w:val="bottom"/>
            <w:vMerge w:val="restart"/>
          </w:tcPr>
          <w:p>
            <w:pPr>
              <w:jc w:val="center"/>
              <w:ind w:right="19"/>
              <w:spacing w:after="0"/>
              <w:rPr>
                <w:sz w:val="20"/>
                <w:szCs w:val="20"/>
                <w:color w:val="auto"/>
              </w:rPr>
            </w:pPr>
            <w:r>
              <w:rPr>
                <w:rFonts w:ascii="Courier New" w:cs="Courier New" w:eastAsia="Courier New" w:hAnsi="Courier New"/>
                <w:sz w:val="16"/>
                <w:szCs w:val="16"/>
                <w:color w:val="auto"/>
              </w:rPr>
              <w:t>[ ]</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of Trust.</w:t>
            </w:r>
          </w:p>
        </w:tc>
        <w:tc>
          <w:tcPr>
            <w:tcW w:w="1460" w:type="dxa"/>
            <w:vAlign w:val="bottom"/>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The Board of Trustees unanimously</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recommends a vote FOR proposal 2.</w:t>
            </w: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3. To adjourn the meeting to solicit</w:t>
            </w:r>
          </w:p>
        </w:tc>
        <w:tc>
          <w:tcPr>
            <w:tcW w:w="1460" w:type="dxa"/>
            <w:vAlign w:val="bottom"/>
          </w:tcPr>
          <w:p>
            <w:pPr>
              <w:ind w:left="960"/>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AGAINST</w:t>
            </w:r>
          </w:p>
        </w:tc>
        <w:tc>
          <w:tcPr>
            <w:tcW w:w="9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ABSTAIN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additional proxies if Proposal 2 is</w:t>
            </w:r>
          </w:p>
        </w:tc>
        <w:tc>
          <w:tcPr>
            <w:tcW w:w="1460" w:type="dxa"/>
            <w:vAlign w:val="bottom"/>
            <w:vMerge w:val="restart"/>
          </w:tcPr>
          <w:p>
            <w:pPr>
              <w:ind w:left="960"/>
              <w:spacing w:after="0"/>
              <w:rPr>
                <w:sz w:val="20"/>
                <w:szCs w:val="20"/>
                <w:color w:val="auto"/>
              </w:rPr>
            </w:pPr>
            <w:r>
              <w:rPr>
                <w:rFonts w:ascii="Courier New" w:cs="Courier New" w:eastAsia="Courier New" w:hAnsi="Courier New"/>
                <w:sz w:val="16"/>
                <w:szCs w:val="16"/>
                <w:color w:val="auto"/>
              </w:rPr>
              <w:t>[ ]</w:t>
            </w:r>
          </w:p>
        </w:tc>
        <w:tc>
          <w:tcPr>
            <w:tcW w:w="1180" w:type="dxa"/>
            <w:vAlign w:val="bottom"/>
            <w:vMerge w:val="restart"/>
          </w:tcPr>
          <w:p>
            <w:pPr>
              <w:jc w:val="center"/>
              <w:ind w:right="39"/>
              <w:spacing w:after="0"/>
              <w:rPr>
                <w:sz w:val="20"/>
                <w:szCs w:val="20"/>
                <w:color w:val="auto"/>
              </w:rPr>
            </w:pPr>
            <w:r>
              <w:rPr>
                <w:rFonts w:ascii="Courier New" w:cs="Courier New" w:eastAsia="Courier New" w:hAnsi="Courier New"/>
                <w:sz w:val="16"/>
                <w:szCs w:val="16"/>
                <w:color w:val="auto"/>
              </w:rPr>
              <w:t>[ ]</w:t>
            </w:r>
          </w:p>
        </w:tc>
        <w:tc>
          <w:tcPr>
            <w:tcW w:w="960" w:type="dxa"/>
            <w:vAlign w:val="bottom"/>
            <w:vMerge w:val="restart"/>
          </w:tcPr>
          <w:p>
            <w:pPr>
              <w:jc w:val="center"/>
              <w:ind w:right="19"/>
              <w:spacing w:after="0"/>
              <w:rPr>
                <w:sz w:val="20"/>
                <w:szCs w:val="20"/>
                <w:color w:val="auto"/>
              </w:rPr>
            </w:pPr>
            <w:r>
              <w:rPr>
                <w:rFonts w:ascii="Courier New" w:cs="Courier New" w:eastAsia="Courier New" w:hAnsi="Courier New"/>
                <w:sz w:val="16"/>
                <w:szCs w:val="16"/>
                <w:color w:val="auto"/>
              </w:rPr>
              <w:t>[ ]</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not approved.</w:t>
            </w:r>
          </w:p>
        </w:tc>
        <w:tc>
          <w:tcPr>
            <w:tcW w:w="1460" w:type="dxa"/>
            <w:vAlign w:val="bottom"/>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4. In their discretion, on any other</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matters properly coming before the</w:t>
            </w: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meeting or any adjournment thereof.</w:t>
            </w: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1460" w:type="dxa"/>
            <w:vAlign w:val="bottom"/>
          </w:tcPr>
          <w:p>
            <w:pPr>
              <w:spacing w:after="0"/>
              <w:rPr>
                <w:sz w:val="24"/>
                <w:szCs w:val="24"/>
                <w:color w:val="auto"/>
              </w:rPr>
            </w:pPr>
          </w:p>
        </w:tc>
        <w:tc>
          <w:tcPr>
            <w:tcW w:w="21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DATE</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82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5060" w:type="dxa"/>
            <w:vAlign w:val="bottom"/>
            <w:gridSpan w:val="2"/>
          </w:tcPr>
          <w:p>
            <w:pPr>
              <w:jc w:val="right"/>
              <w:ind w:right="36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3700"/>
        <w:spacing w:after="0" w:line="273" w:lineRule="auto"/>
        <w:rPr>
          <w:sz w:val="20"/>
          <w:szCs w:val="20"/>
          <w:color w:val="auto"/>
        </w:rPr>
      </w:pPr>
      <w:r>
        <w:rPr>
          <w:rFonts w:ascii="Courier New" w:cs="Courier New" w:eastAsia="Courier New" w:hAnsi="Courier New"/>
          <w:sz w:val="16"/>
          <w:szCs w:val="16"/>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1520"/>
      </w:cols>
      <w:pgMar w:left="240" w:top="65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1)"/>
      <w:numFmt w:val="decimal"/>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
      <w:numFmt w:val="bullet"/>
      <w:start w:val="1"/>
    </w:lvl>
    <w:lvl w:ilvl="1">
      <w:lvlJc w:val="left"/>
      <w:lvlText w:val="(%2)"/>
      <w:numFmt w:val="decimal"/>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1)"/>
      <w:numFmt w:val="upperLetter"/>
      <w:start w:val="1"/>
    </w:lvl>
  </w:abstractNum>
  <w:abstractNum w:abstractNumId="7">
    <w:nsid w:val="39386575"/>
    <w:multiLevelType w:val="hybridMultilevel"/>
    <w:lvl w:ilvl="0">
      <w:lvlJc w:val="left"/>
      <w:lvlText w:val="(%1)"/>
      <w:numFmt w:val="upperLetter"/>
      <w:start w:val="2"/>
    </w:lvl>
    <w:lvl w:ilvl="1">
      <w:lvlJc w:val="left"/>
      <w:lvlText w:val="(%2)"/>
      <w:numFmt w:val="lowerRoman"/>
      <w:start w:val="3"/>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1)"/>
      <w:numFmt w:val="upperLetter"/>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3"/>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lvl w:ilvl="1">
      <w:lvlJc w:val="left"/>
      <w:lvlText w:val="--"/>
      <w:numFmt w:val="bullet"/>
      <w:start w:val="1"/>
    </w:lvl>
  </w:abstractNum>
  <w:abstractNum w:abstractNumId="41">
    <w:nsid w:val="661E3F1E"/>
    <w:multiLevelType w:val="hybridMultilevel"/>
    <w:lvl w:ilvl="0">
      <w:lvlJc w:val="left"/>
      <w:lvlText w:val="."/>
      <w:numFmt w:val="bullet"/>
      <w:start w:val="1"/>
    </w:lvl>
    <w:lvl w:ilvl="1">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1)"/>
      <w:numFmt w:val="lowerLetter"/>
      <w:start w:val="2"/>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5"/>
    </w:lvl>
  </w:abstractNum>
  <w:abstractNum w:abstractNumId="68">
    <w:nsid w:val="76272110"/>
    <w:multiLevelType w:val="hybridMultilevel"/>
    <w:lvl w:ilvl="0">
      <w:lvlJc w:val="left"/>
      <w:lvlText w:val="(%1)"/>
      <w:numFmt w:val="lowerLetter"/>
      <w:start w:val="6"/>
    </w:lvl>
  </w:abstractNum>
  <w:abstractNum w:abstractNumId="69">
    <w:nsid w:val="4C04A8AF"/>
    <w:multiLevelType w:val="hybridMultilevel"/>
    <w:lvl w:ilvl="0">
      <w:lvlJc w:val="left"/>
      <w:lvlText w:val="(%1)"/>
      <w:numFmt w:val="lowerLetter"/>
      <w:start w:val="9"/>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1)"/>
      <w:numFmt w:val="lowerLetter"/>
      <w:start w:val="2"/>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2"/>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3"/>
    </w:lvl>
  </w:abstractNum>
  <w:abstractNum w:abstractNumId="78">
    <w:nsid w:val="39EE015C"/>
    <w:multiLevelType w:val="hybridMultilevel"/>
    <w:lvl w:ilvl="0">
      <w:lvlJc w:val="left"/>
      <w:lvlText w:val="(%1)"/>
      <w:numFmt w:val="lowerLetter"/>
      <w:start w:val="1"/>
    </w:lvl>
  </w:abstractNum>
  <w:abstractNum w:abstractNumId="79">
    <w:nsid w:val="57FC4FBB"/>
    <w:multiLevelType w:val="hybridMultilevel"/>
    <w:lvl w:ilvl="0">
      <w:lvlJc w:val="left"/>
      <w:lvlText w:val="(%1)"/>
      <w:numFmt w:val="lowerRoman"/>
      <w:start w:val="1"/>
    </w:lvl>
  </w:abstractNum>
  <w:abstractNum w:abstractNumId="80">
    <w:nsid w:val="CC1016F"/>
    <w:multiLevelType w:val="hybridMultilevel"/>
    <w:lvl w:ilvl="0">
      <w:lvlJc w:val="left"/>
      <w:lvlText w:val="(%1)"/>
      <w:numFmt w:val="lowerRoman"/>
      <w:start w:val="3"/>
    </w:lvl>
  </w:abstractNum>
  <w:abstractNum w:abstractNumId="81">
    <w:nsid w:val="43F18422"/>
    <w:multiLevelType w:val="hybridMultilevel"/>
    <w:lvl w:ilvl="0">
      <w:lvlJc w:val="left"/>
      <w:lvlText w:val="(%1)"/>
      <w:numFmt w:val="lowerLetter"/>
      <w:start w:val="2"/>
    </w:lvl>
  </w:abstractNum>
  <w:abstractNum w:abstractNumId="82">
    <w:nsid w:val="60EF0119"/>
    <w:multiLevelType w:val="hybridMultilevel"/>
    <w:lvl w:ilvl="0">
      <w:lvlJc w:val="left"/>
      <w:lvlText w:val="(%1)"/>
      <w:numFmt w:val="lowerRoman"/>
      <w:start w:val="1"/>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Roman"/>
      <w:start w:val="1"/>
    </w:lvl>
  </w:abstractNum>
  <w:abstractNum w:abstractNumId="86">
    <w:nsid w:val="7055A5F5"/>
    <w:multiLevelType w:val="hybridMultilevel"/>
    <w:lvl w:ilvl="0">
      <w:lvlJc w:val="left"/>
      <w:lvlText w:val="(%1)"/>
      <w:numFmt w:val="lowerRoman"/>
      <w:start w:val="2"/>
    </w:lvl>
  </w:abstractNum>
  <w:abstractNum w:abstractNumId="87">
    <w:nsid w:val="5FB8370B"/>
    <w:multiLevelType w:val="hybridMultilevel"/>
    <w:lvl w:ilvl="0">
      <w:lvlJc w:val="left"/>
      <w:lvlText w:val="(%1)"/>
      <w:numFmt w:val="lowerLetter"/>
      <w:start w:val="2"/>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lowerRoman"/>
      <w:start w:val="1"/>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lowerLetter"/>
      <w:start w:val="7"/>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decimal"/>
      <w:start w:val="2"/>
    </w:lvl>
  </w:abstractNum>
  <w:abstractNum w:abstractNumId="98">
    <w:nsid w:val="7DE67713"/>
    <w:multiLevelType w:val="hybridMultilevel"/>
    <w:lvl w:ilvl="0">
      <w:lvlJc w:val="left"/>
      <w:lvlText w:val="(%1)"/>
      <w:numFmt w:val="decimal"/>
      <w:start w:val="3"/>
    </w:lvl>
  </w:abstractNum>
  <w:abstractNum w:abstractNumId="99">
    <w:nsid w:val="555C55B5"/>
    <w:multiLevelType w:val="hybridMultilevel"/>
    <w:lvl w:ilvl="0">
      <w:lvlJc w:val="left"/>
      <w:lvlText w:val="(%1)"/>
      <w:numFmt w:val="lowerLetter"/>
      <w:start w:val="2"/>
    </w:lvl>
  </w:abstractNum>
  <w:abstractNum w:abstractNumId="100">
    <w:nsid w:val="3FA62ACA"/>
    <w:multiLevelType w:val="hybridMultilevel"/>
    <w:lvl w:ilvl="0">
      <w:lvlJc w:val="left"/>
      <w:lvlText w:val="(%1)"/>
      <w:numFmt w:val="decimal"/>
      <w:start w:val="2"/>
    </w:lvl>
  </w:abstractNum>
  <w:abstractNum w:abstractNumId="101">
    <w:nsid w:val="14FCE74E"/>
    <w:multiLevelType w:val="hybridMultilevel"/>
    <w:lvl w:ilvl="0">
      <w:lvlJc w:val="left"/>
      <w:lvlText w:val="(%1)"/>
      <w:numFmt w:val="lowerLetter"/>
      <w:start w:val="1"/>
    </w:lvl>
    <w:lvl w:ilvl="1">
      <w:lvlJc w:val="left"/>
      <w:lvlText w:val="(%2)"/>
      <w:numFmt w:val="decimal"/>
      <w:start w:val="10"/>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lowerRoman"/>
      <w:start w:val="2"/>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2020-02-22T04:06:23Z</dcterms:created>
  <dcterms:modified xsi:type="dcterms:W3CDTF">2020-02-22T04:06:23Z</dcterms:modified>
</cp:coreProperties>
</file>