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27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33" w:lineRule="exact"/>
        <w:rPr>
          <w:sz w:val="24"/>
          <w:szCs w:val="24"/>
          <w:color w:val="auto"/>
        </w:rPr>
      </w:pPr>
    </w:p>
    <w:p>
      <w:pPr>
        <w:jc w:val="center"/>
        <w:ind w:right="3339"/>
        <w:spacing w:after="0"/>
        <w:tabs>
          <w:tab w:leader="none" w:pos="160" w:val="left"/>
        </w:tabs>
        <w:rPr>
          <w:sz w:val="20"/>
          <w:szCs w:val="20"/>
          <w:color w:val="auto"/>
        </w:rPr>
      </w:pPr>
      <w:r>
        <w:rPr>
          <w:rFonts w:ascii="Courier New" w:cs="Courier New" w:eastAsia="Courier New" w:hAnsi="Courier New"/>
          <w:sz w:val="14"/>
          <w:szCs w:val="14"/>
          <w:color w:val="auto"/>
        </w:rPr>
        <w:t>Date of Report (Date of earliest event reported)</w:t>
        <w:tab/>
        <w:t>September 30, 1999</w:t>
      </w:r>
    </w:p>
    <w:p>
      <w:pPr>
        <w:spacing w:after="0" w:line="200" w:lineRule="exact"/>
        <w:rPr>
          <w:sz w:val="24"/>
          <w:szCs w:val="24"/>
          <w:color w:val="auto"/>
        </w:rPr>
      </w:pPr>
    </w:p>
    <w:p>
      <w:pPr>
        <w:spacing w:after="0" w:line="278" w:lineRule="exact"/>
        <w:rPr>
          <w:sz w:val="24"/>
          <w:szCs w:val="24"/>
          <w:color w:val="auto"/>
        </w:rPr>
      </w:pPr>
    </w:p>
    <w:tbl>
      <w:tblPr>
        <w:tblLayout w:type="fixed"/>
        <w:tblInd w:w="520" w:type="dxa"/>
        <w:tblCellMar>
          <w:top w:w="0" w:type="dxa"/>
          <w:left w:w="0" w:type="dxa"/>
          <w:bottom w:w="0" w:type="dxa"/>
          <w:right w:w="0" w:type="dxa"/>
        </w:tblCellMar>
      </w:tblPr>
      <w:tr>
        <w:trPr>
          <w:trHeight w:val="166"/>
        </w:trPr>
        <w:tc>
          <w:tcPr>
            <w:tcW w:w="5700" w:type="dxa"/>
            <w:vAlign w:val="bottom"/>
            <w:gridSpan w:val="3"/>
          </w:tcPr>
          <w:p>
            <w:pPr>
              <w:jc w:val="right"/>
              <w:ind w:right="1228"/>
              <w:spacing w:after="0"/>
              <w:rPr>
                <w:sz w:val="20"/>
                <w:szCs w:val="20"/>
                <w:color w:val="auto"/>
              </w:rPr>
            </w:pPr>
            <w:r>
              <w:rPr>
                <w:rFonts w:ascii="Courier New" w:cs="Courier New" w:eastAsia="Courier New" w:hAnsi="Courier New"/>
                <w:sz w:val="14"/>
                <w:szCs w:val="14"/>
                <w:color w:val="auto"/>
              </w:rPr>
              <w:t>Federal Realty Investment Trust</w:t>
            </w:r>
          </w:p>
        </w:tc>
        <w:tc>
          <w:tcPr>
            <w:tcW w:w="0" w:type="dxa"/>
            <w:vAlign w:val="bottom"/>
          </w:tcPr>
          <w:p>
            <w:pPr>
              <w:spacing w:after="0"/>
              <w:rPr>
                <w:sz w:val="1"/>
                <w:szCs w:val="1"/>
                <w:color w:val="auto"/>
              </w:rPr>
            </w:pPr>
          </w:p>
        </w:tc>
      </w:tr>
      <w:tr>
        <w:trPr>
          <w:trHeight w:val="166"/>
        </w:trPr>
        <w:tc>
          <w:tcPr>
            <w:tcW w:w="5700" w:type="dxa"/>
            <w:vAlign w:val="bottom"/>
            <w:gridSpan w:val="3"/>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70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(Exact name of registrant as specified in its charter)</w:t>
            </w:r>
          </w:p>
        </w:tc>
        <w:tc>
          <w:tcPr>
            <w:tcW w:w="0" w:type="dxa"/>
            <w:vAlign w:val="bottom"/>
          </w:tcPr>
          <w:p>
            <w:pPr>
              <w:spacing w:after="0"/>
              <w:rPr>
                <w:sz w:val="1"/>
                <w:szCs w:val="1"/>
                <w:color w:val="auto"/>
              </w:rPr>
            </w:pPr>
          </w:p>
        </w:tc>
      </w:tr>
      <w:tr>
        <w:trPr>
          <w:trHeight w:val="752"/>
        </w:trPr>
        <w:tc>
          <w:tcPr>
            <w:tcW w:w="2580" w:type="dxa"/>
            <w:vAlign w:val="bottom"/>
          </w:tcPr>
          <w:p>
            <w:pPr>
              <w:ind w:left="600"/>
              <w:spacing w:after="0"/>
              <w:rPr>
                <w:sz w:val="20"/>
                <w:szCs w:val="20"/>
                <w:color w:val="auto"/>
              </w:rPr>
            </w:pPr>
            <w:r>
              <w:rPr>
                <w:rFonts w:ascii="Courier New" w:cs="Courier New" w:eastAsia="Courier New" w:hAnsi="Courier New"/>
                <w:sz w:val="14"/>
                <w:szCs w:val="14"/>
                <w:color w:val="auto"/>
              </w:rPr>
              <w:t>Maryland</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1-7533</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52-0782497</w:t>
            </w:r>
          </w:p>
        </w:tc>
        <w:tc>
          <w:tcPr>
            <w:tcW w:w="0" w:type="dxa"/>
            <w:vAlign w:val="bottom"/>
          </w:tcPr>
          <w:p>
            <w:pPr>
              <w:spacing w:after="0"/>
              <w:rPr>
                <w:sz w:val="1"/>
                <w:szCs w:val="1"/>
                <w:color w:val="auto"/>
              </w:rPr>
            </w:pPr>
          </w:p>
        </w:tc>
      </w:tr>
      <w:tr>
        <w:trPr>
          <w:trHeight w:val="166"/>
        </w:trPr>
        <w:tc>
          <w:tcPr>
            <w:tcW w:w="2580" w:type="dxa"/>
            <w:vAlign w:val="bottom"/>
            <w:vMerge w:val="restart"/>
          </w:tcPr>
          <w:p>
            <w:pPr>
              <w:spacing w:after="0"/>
              <w:rPr>
                <w:sz w:val="20"/>
                <w:szCs w:val="20"/>
                <w:color w:val="auto"/>
              </w:rPr>
            </w:pPr>
            <w:r>
              <w:rPr>
                <w:rFonts w:ascii="Courier New" w:cs="Courier New" w:eastAsia="Courier New" w:hAnsi="Courier New"/>
                <w:sz w:val="12"/>
                <w:szCs w:val="12"/>
                <w:color w:val="auto"/>
                <w:w w:val="71"/>
              </w:rPr>
              <w:t>(State</w:t>
            </w:r>
            <w:r>
              <w:rPr>
                <w:rFonts w:ascii="Courier New" w:cs="Courier New" w:eastAsia="Courier New" w:hAnsi="Courier New"/>
                <w:sz w:val="22"/>
                <w:szCs w:val="22"/>
                <w:color w:val="auto"/>
                <w:w w:val="71"/>
                <w:vertAlign w:val="superscript"/>
              </w:rPr>
              <w:t>--------------------</w:t>
            </w:r>
            <w:r>
              <w:rPr>
                <w:rFonts w:ascii="Courier New" w:cs="Courier New" w:eastAsia="Courier New" w:hAnsi="Courier New"/>
                <w:sz w:val="12"/>
                <w:szCs w:val="12"/>
                <w:color w:val="auto"/>
                <w:w w:val="71"/>
              </w:rPr>
              <w:t>orotherjurisdiction</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580" w:type="dxa"/>
            <w:vAlign w:val="bottom"/>
            <w:vMerge w:val="continue"/>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(Commission</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242"/>
        </w:trPr>
        <w:tc>
          <w:tcPr>
            <w:tcW w:w="2580" w:type="dxa"/>
            <w:vAlign w:val="bottom"/>
          </w:tcPr>
          <w:p>
            <w:pPr>
              <w:spacing w:after="0"/>
              <w:rPr>
                <w:sz w:val="20"/>
                <w:szCs w:val="20"/>
                <w:color w:val="auto"/>
              </w:rPr>
            </w:pPr>
            <w:r>
              <w:rPr>
                <w:rFonts w:ascii="Courier New" w:cs="Courier New" w:eastAsia="Courier New" w:hAnsi="Courier New"/>
                <w:sz w:val="14"/>
                <w:szCs w:val="14"/>
                <w:color w:val="auto"/>
              </w:rPr>
              <w:t>of incorporation)</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File Number)</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Identification No.)</w:t>
            </w:r>
          </w:p>
        </w:tc>
        <w:tc>
          <w:tcPr>
            <w:tcW w:w="0" w:type="dxa"/>
            <w:vAlign w:val="bottom"/>
          </w:tcPr>
          <w:p>
            <w:pPr>
              <w:spacing w:after="0"/>
              <w:rPr>
                <w:sz w:val="1"/>
                <w:szCs w:val="1"/>
                <w:color w:val="auto"/>
              </w:rPr>
            </w:pPr>
          </w:p>
        </w:tc>
      </w:tr>
    </w:tbl>
    <w:p>
      <w:pPr>
        <w:spacing w:after="0" w:line="255" w:lineRule="exact"/>
        <w:rPr>
          <w:sz w:val="24"/>
          <w:szCs w:val="24"/>
          <w:color w:val="auto"/>
        </w:rPr>
      </w:pPr>
    </w:p>
    <w:tbl>
      <w:tblPr>
        <w:tblLayout w:type="fixed"/>
        <w:tblInd w:w="520" w:type="dxa"/>
        <w:tblCellMar>
          <w:top w:w="0" w:type="dxa"/>
          <w:left w:w="0" w:type="dxa"/>
          <w:bottom w:w="0" w:type="dxa"/>
          <w:right w:w="0" w:type="dxa"/>
        </w:tblCellMar>
      </w:tblP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1626 East Jefferson Street, Rockville, Maryland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20852-4041</w:t>
            </w:r>
          </w:p>
        </w:tc>
      </w:tr>
      <w:tr>
        <w:trPr>
          <w:trHeight w:val="166"/>
        </w:trPr>
        <w:tc>
          <w:tcPr>
            <w:tcW w:w="5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242"/>
        </w:trPr>
        <w:tc>
          <w:tcPr>
            <w:tcW w:w="452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bl>
    <w:p>
      <w:pPr>
        <w:spacing w:after="0" w:line="255" w:lineRule="exact"/>
        <w:rPr>
          <w:sz w:val="24"/>
          <w:szCs w:val="24"/>
          <w:color w:val="auto"/>
        </w:rPr>
      </w:pPr>
    </w:p>
    <w:p>
      <w:pPr>
        <w:ind w:left="520"/>
        <w:spacing w:after="0"/>
        <w:tabs>
          <w:tab w:leader="none" w:pos="4980" w:val="left"/>
        </w:tabs>
        <w:rPr>
          <w:sz w:val="20"/>
          <w:szCs w:val="20"/>
          <w:color w:val="auto"/>
        </w:rPr>
      </w:pPr>
      <w:r>
        <w:rPr>
          <w:rFonts w:ascii="Courier New" w:cs="Courier New" w:eastAsia="Courier New" w:hAnsi="Courier New"/>
          <w:sz w:val="14"/>
          <w:szCs w:val="14"/>
          <w:color w:val="auto"/>
        </w:rPr>
        <w:t>Registrant's telephone number including area code:</w:t>
        <w:tab/>
        <w:t>301/998-8100</w:t>
      </w:r>
    </w:p>
    <w:p>
      <w:pPr>
        <w:spacing w:after="0" w:line="33" w:lineRule="exact"/>
        <w:rPr>
          <w:sz w:val="24"/>
          <w:szCs w:val="24"/>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35" w:right="1440" w:bottom="1440" w:gutter="0" w:footer="0" w:header="0"/>
        </w:sectPr>
      </w:pPr>
    </w:p>
    <w:bookmarkStart w:id="1" w:name="page2"/>
    <w:bookmarkEnd w:id="1"/>
    <w:p>
      <w:pPr>
        <w:spacing w:after="0"/>
        <w:tabs>
          <w:tab w:leader="none" w:pos="128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jc w:val="both"/>
        <w:ind w:right="4019" w:firstLine="861"/>
        <w:spacing w:after="0" w:line="313"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September 30, 1999.</w:t>
      </w:r>
    </w:p>
    <w:p>
      <w:pPr>
        <w:spacing w:after="0" w:line="208"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1300" w:hanging="947"/>
        <w:spacing w:after="0"/>
        <w:tabs>
          <w:tab w:leader="none" w:pos="13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September 30, 1999</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firstLine="1292"/>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59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3,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ectPr>
          <w:pgSz w:w="11900" w:h="16838" w:orient="portrait"/>
          <w:cols w:equalWidth="0" w:num="3">
            <w:col w:w="440" w:space="180"/>
            <w:col w:w="2200" w:space="720"/>
            <w:col w:w="6699"/>
          </w:cols>
          <w:pgMar w:left="220" w:top="590"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59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w:t>
      </w:r>
    </w:p>
    <w:p>
      <w:pPr>
        <w:spacing w:after="0" w:line="158" w:lineRule="exact"/>
        <w:rPr>
          <w:sz w:val="20"/>
          <w:szCs w:val="20"/>
          <w:color w:val="auto"/>
        </w:rPr>
      </w:pPr>
    </w:p>
    <w:p>
      <w:pPr>
        <w:sectPr>
          <w:pgSz w:w="11900" w:h="16838" w:orient="portrait"/>
          <w:cols w:equalWidth="0" w:num="3">
            <w:col w:w="780" w:space="80"/>
            <w:col w:w="4800" w:space="720"/>
            <w:col w:w="3859"/>
          </w:cols>
          <w:pgMar w:left="220" w:top="59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Supplemental portfolio information at September 30,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211" w:lineRule="exact"/>
        <w:rPr>
          <w:sz w:val="20"/>
          <w:szCs w:val="20"/>
          <w:color w:val="auto"/>
        </w:rPr>
      </w:pPr>
    </w:p>
    <w:p>
      <w:pPr>
        <w:sectPr>
          <w:pgSz w:w="11900" w:h="16838" w:orient="portrait"/>
          <w:cols w:equalWidth="0" w:num="3">
            <w:col w:w="360" w:space="500"/>
            <w:col w:w="5060" w:space="720"/>
            <w:col w:w="3599"/>
          </w:cols>
          <w:pgMar w:left="220" w:top="590"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0"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2"/>
        </w:trPr>
        <w:tc>
          <w:tcPr>
            <w:tcW w:w="300" w:type="dxa"/>
            <w:vAlign w:val="bottom"/>
          </w:tcPr>
          <w:p>
            <w:pPr>
              <w:spacing w:after="0"/>
              <w:rPr>
                <w:sz w:val="21"/>
                <w:szCs w:val="21"/>
                <w:color w:val="auto"/>
              </w:rPr>
            </w:pPr>
          </w:p>
        </w:tc>
        <w:tc>
          <w:tcPr>
            <w:tcW w:w="622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FEDERAL REALTY INVESTMENT TRUST</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300" w:type="dxa"/>
            <w:vAlign w:val="bottom"/>
          </w:tcPr>
          <w:p>
            <w:pPr>
              <w:spacing w:after="0"/>
              <w:rPr>
                <w:sz w:val="24"/>
                <w:szCs w:val="24"/>
                <w:color w:val="auto"/>
              </w:rPr>
            </w:pPr>
          </w:p>
        </w:tc>
        <w:tc>
          <w:tcPr>
            <w:tcW w:w="6220" w:type="dxa"/>
            <w:vAlign w:val="bottom"/>
          </w:tcPr>
          <w:p>
            <w:pPr>
              <w:jc w:val="right"/>
              <w:ind w:right="1968"/>
              <w:spacing w:after="0"/>
              <w:rPr>
                <w:sz w:val="20"/>
                <w:szCs w:val="20"/>
                <w:color w:val="auto"/>
              </w:rPr>
            </w:pPr>
            <w:r>
              <w:rPr>
                <w:rFonts w:ascii="Courier New" w:cs="Courier New" w:eastAsia="Courier New" w:hAnsi="Courier New"/>
                <w:sz w:val="14"/>
                <w:szCs w:val="14"/>
                <w:color w:val="auto"/>
              </w:rPr>
              <w:t>Supplemental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00" w:type="dxa"/>
            <w:vAlign w:val="bottom"/>
          </w:tcPr>
          <w:p>
            <w:pPr>
              <w:spacing w:after="0"/>
              <w:rPr>
                <w:sz w:val="21"/>
                <w:szCs w:val="21"/>
                <w:color w:val="auto"/>
              </w:rPr>
            </w:pPr>
          </w:p>
        </w:tc>
        <w:tc>
          <w:tcPr>
            <w:tcW w:w="6220" w:type="dxa"/>
            <w:vAlign w:val="bottom"/>
          </w:tcPr>
          <w:p>
            <w:pPr>
              <w:ind w:left="2380"/>
              <w:spacing w:after="0"/>
              <w:rPr>
                <w:sz w:val="20"/>
                <w:szCs w:val="20"/>
                <w:color w:val="auto"/>
              </w:rPr>
            </w:pPr>
            <w:r>
              <w:rPr>
                <w:rFonts w:ascii="Courier New" w:cs="Courier New" w:eastAsia="Courier New" w:hAnsi="Courier New"/>
                <w:sz w:val="14"/>
                <w:szCs w:val="14"/>
                <w:color w:val="auto"/>
              </w:rPr>
              <w:t>September 30, 1999</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300" w:type="dxa"/>
            <w:vAlign w:val="bottom"/>
          </w:tcPr>
          <w:p>
            <w:pPr>
              <w:spacing w:after="0"/>
              <w:rPr>
                <w:sz w:val="24"/>
                <w:szCs w:val="24"/>
                <w:color w:val="auto"/>
              </w:rPr>
            </w:pPr>
          </w:p>
        </w:tc>
        <w:tc>
          <w:tcPr>
            <w:tcW w:w="6220" w:type="dxa"/>
            <w:vAlign w:val="bottom"/>
          </w:tcPr>
          <w:p>
            <w:pPr>
              <w:ind w:left="2380"/>
              <w:spacing w:after="0"/>
              <w:rPr>
                <w:sz w:val="20"/>
                <w:szCs w:val="20"/>
                <w:color w:val="auto"/>
              </w:rPr>
            </w:pPr>
            <w:r>
              <w:rPr>
                <w:rFonts w:ascii="Courier New" w:cs="Courier New" w:eastAsia="Courier New" w:hAnsi="Courier New"/>
                <w:sz w:val="14"/>
                <w:szCs w:val="14"/>
                <w:color w:val="auto"/>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w:t>
            </w:r>
          </w:p>
        </w:tc>
        <w:tc>
          <w:tcPr>
            <w:tcW w:w="6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Debt Summary.........................................................</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E-2</w:t>
            </w:r>
          </w:p>
        </w:tc>
        <w:tc>
          <w:tcPr>
            <w:tcW w:w="0" w:type="dxa"/>
            <w:vAlign w:val="bottom"/>
          </w:tcPr>
          <w:p>
            <w:pPr>
              <w:spacing w:after="0"/>
              <w:rPr>
                <w:sz w:val="1"/>
                <w:szCs w:val="1"/>
                <w:color w:val="auto"/>
              </w:rPr>
            </w:pPr>
          </w:p>
        </w:tc>
      </w:tr>
      <w:tr>
        <w:trPr>
          <w:trHeight w:val="255"/>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w:t>
            </w:r>
          </w:p>
        </w:tc>
        <w:tc>
          <w:tcPr>
            <w:tcW w:w="6220" w:type="dxa"/>
            <w:vAlign w:val="bottom"/>
          </w:tcPr>
          <w:p>
            <w:pPr>
              <w:jc w:val="right"/>
              <w:ind w:right="5228"/>
              <w:spacing w:after="0"/>
              <w:rPr>
                <w:sz w:val="20"/>
                <w:szCs w:val="20"/>
                <w:color w:val="auto"/>
              </w:rPr>
            </w:pPr>
            <w:r>
              <w:rPr>
                <w:rFonts w:ascii="Courier New" w:cs="Courier New" w:eastAsia="Courier New" w:hAnsi="Courier New"/>
                <w:sz w:val="14"/>
                <w:szCs w:val="14"/>
                <w:color w:val="auto"/>
              </w:rPr>
              <w:t>Occupancy</w:t>
            </w: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95"/>
              </w:rPr>
              <w:t>E-3</w:t>
            </w: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6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Percentage Leased..............................................</w:t>
            </w: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0" w:type="dxa"/>
            <w:vAlign w:val="bottom"/>
          </w:tcPr>
          <w:p>
            <w:pPr>
              <w:spacing w:after="0"/>
              <w:rPr>
                <w:sz w:val="21"/>
                <w:szCs w:val="21"/>
                <w:color w:val="auto"/>
              </w:rPr>
            </w:pPr>
          </w:p>
        </w:tc>
        <w:tc>
          <w:tcPr>
            <w:tcW w:w="6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Regional Breakdown.............................................</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E-4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00" w:type="dxa"/>
            <w:vAlign w:val="bottom"/>
          </w:tcPr>
          <w:p>
            <w:pPr>
              <w:spacing w:after="0"/>
              <w:rPr>
                <w:sz w:val="21"/>
                <w:szCs w:val="21"/>
                <w:color w:val="auto"/>
              </w:rPr>
            </w:pPr>
          </w:p>
        </w:tc>
        <w:tc>
          <w:tcPr>
            <w:tcW w:w="1940" w:type="dxa"/>
            <w:vAlign w:val="bottom"/>
            <w:gridSpan w:val="2"/>
          </w:tcPr>
          <w:p>
            <w:pPr>
              <w:jc w:val="right"/>
              <w:ind w:right="24"/>
              <w:spacing w:after="0"/>
              <w:rPr>
                <w:sz w:val="20"/>
                <w:szCs w:val="20"/>
                <w:color w:val="auto"/>
              </w:rPr>
            </w:pPr>
            <w:r>
              <w:rPr>
                <w:rFonts w:ascii="Courier New" w:cs="Courier New" w:eastAsia="Courier New" w:hAnsi="Courier New"/>
                <w:sz w:val="14"/>
                <w:szCs w:val="14"/>
                <w:color w:val="auto"/>
              </w:rPr>
              <w:t>Comparable and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Non-Comparable</w:t>
            </w:r>
          </w:p>
        </w:tc>
        <w:tc>
          <w:tcPr>
            <w:tcW w:w="3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E-5</w:t>
            </w:r>
          </w:p>
        </w:tc>
      </w:tr>
      <w:tr>
        <w:trPr>
          <w:trHeight w:val="305"/>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616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Street Retail Operating &amp; Development Overview.......................</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3rd Quarter</w:t>
            </w:r>
          </w:p>
        </w:tc>
        <w:tc>
          <w:tcPr>
            <w:tcW w:w="820" w:type="dxa"/>
            <w:vAlign w:val="bottom"/>
          </w:tcPr>
          <w:p>
            <w:pPr>
              <w:jc w:val="right"/>
              <w:ind w:right="24"/>
              <w:spacing w:after="0"/>
              <w:rPr>
                <w:sz w:val="20"/>
                <w:szCs w:val="20"/>
                <w:color w:val="auto"/>
              </w:rPr>
            </w:pPr>
            <w:r>
              <w:rPr>
                <w:rFonts w:ascii="Courier New" w:cs="Courier New" w:eastAsia="Courier New" w:hAnsi="Courier New"/>
                <w:sz w:val="14"/>
                <w:szCs w:val="14"/>
                <w:color w:val="auto"/>
              </w:rPr>
              <w:t>Earnings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Press Release,</w:t>
            </w:r>
          </w:p>
        </w:tc>
        <w:tc>
          <w:tcPr>
            <w:tcW w:w="3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November 3, 1999.................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E-7</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6.</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Glossary of</w:t>
            </w:r>
          </w:p>
        </w:tc>
        <w:tc>
          <w:tcPr>
            <w:tcW w:w="20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Terms....................................................</w:t>
            </w:r>
          </w:p>
        </w:tc>
        <w:tc>
          <w:tcPr>
            <w:tcW w:w="3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E-10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1626 East Jefferson Street</w:t>
      </w:r>
    </w:p>
    <w:p>
      <w:pPr>
        <w:spacing w:after="0" w:line="33" w:lineRule="exact"/>
        <w:rPr>
          <w:sz w:val="20"/>
          <w:szCs w:val="20"/>
          <w:color w:val="auto"/>
        </w:rPr>
      </w:pPr>
    </w:p>
    <w:p>
      <w:pPr>
        <w:ind w:left="2080"/>
        <w:spacing w:after="0"/>
        <w:tabs>
          <w:tab w:leader="none" w:pos="386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4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DEBT ANALYSIS</w:t>
        <w:tab/>
        <w:t>(excluding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1999</w:t>
      </w:r>
    </w:p>
    <w:p>
      <w:pPr>
        <w:spacing w:after="0" w:line="200" w:lineRule="exact"/>
        <w:rPr>
          <w:sz w:val="20"/>
          <w:szCs w:val="20"/>
          <w:color w:val="auto"/>
        </w:rPr>
      </w:pPr>
    </w:p>
    <w:p>
      <w:pPr>
        <w:spacing w:after="0" w:line="278"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9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w:t>
      </w:r>
    </w:p>
    <w:tbl>
      <w:tblPr>
        <w:tblLayout w:type="fixed"/>
        <w:tblInd w:w="0" w:type="dxa"/>
        <w:tblCellMar>
          <w:top w:w="0" w:type="dxa"/>
          <w:left w:w="0" w:type="dxa"/>
          <w:bottom w:w="0" w:type="dxa"/>
          <w:right w:w="0" w:type="dxa"/>
        </w:tblCellMar>
      </w:tblPr>
      <w:tr>
        <w:trPr>
          <w:trHeight w:val="147"/>
        </w:trPr>
        <w:tc>
          <w:tcPr>
            <w:tcW w:w="5300" w:type="dxa"/>
            <w:vAlign w:val="bottom"/>
          </w:tcPr>
          <w:p>
            <w:pPr>
              <w:spacing w:after="0"/>
              <w:rPr>
                <w:sz w:val="12"/>
                <w:szCs w:val="12"/>
                <w:color w:val="auto"/>
              </w:rPr>
            </w:pPr>
          </w:p>
        </w:tc>
        <w:tc>
          <w:tcPr>
            <w:tcW w:w="1680" w:type="dxa"/>
            <w:vAlign w:val="bottom"/>
          </w:tcPr>
          <w:p>
            <w:pPr>
              <w:ind w:left="1000"/>
              <w:spacing w:after="0" w:line="147" w:lineRule="exact"/>
              <w:rPr>
                <w:sz w:val="20"/>
                <w:szCs w:val="20"/>
                <w:color w:val="auto"/>
              </w:rPr>
            </w:pPr>
            <w:r>
              <w:rPr>
                <w:rFonts w:ascii="Courier New" w:cs="Courier New" w:eastAsia="Courier New" w:hAnsi="Courier New"/>
                <w:sz w:val="14"/>
                <w:szCs w:val="14"/>
                <w:color w:val="auto"/>
                <w:w w:val="98"/>
              </w:rPr>
              <w:t>Maturity</w:t>
            </w:r>
          </w:p>
        </w:tc>
        <w:tc>
          <w:tcPr>
            <w:tcW w:w="2120" w:type="dxa"/>
            <w:vAlign w:val="bottom"/>
          </w:tcPr>
          <w:p>
            <w:pPr>
              <w:jc w:val="right"/>
              <w:ind w:right="488"/>
              <w:spacing w:after="0" w:line="147" w:lineRule="exact"/>
              <w:rPr>
                <w:sz w:val="20"/>
                <w:szCs w:val="20"/>
                <w:color w:val="auto"/>
              </w:rPr>
            </w:pPr>
            <w:r>
              <w:rPr>
                <w:rFonts w:ascii="Courier New" w:cs="Courier New" w:eastAsia="Courier New" w:hAnsi="Courier New"/>
                <w:sz w:val="14"/>
                <w:szCs w:val="14"/>
                <w:color w:val="auto"/>
              </w:rPr>
              <w:t>Rate</w:t>
            </w:r>
          </w:p>
        </w:tc>
        <w:tc>
          <w:tcPr>
            <w:tcW w:w="2280" w:type="dxa"/>
            <w:vAlign w:val="bottom"/>
            <w:gridSpan w:val="3"/>
          </w:tcPr>
          <w:p>
            <w:pPr>
              <w:jc w:val="right"/>
              <w:ind w:right="628"/>
              <w:spacing w:after="0" w:line="147" w:lineRule="exact"/>
              <w:rPr>
                <w:sz w:val="20"/>
                <w:szCs w:val="20"/>
                <w:color w:val="auto"/>
              </w:rPr>
            </w:pPr>
            <w:r>
              <w:rPr>
                <w:rFonts w:ascii="Courier New" w:cs="Courier New" w:eastAsia="Courier New" w:hAnsi="Courier New"/>
                <w:sz w:val="14"/>
                <w:szCs w:val="14"/>
                <w:color w:val="auto"/>
              </w:rPr>
              <w:t>(in thousands)</w:t>
            </w:r>
          </w:p>
        </w:tc>
        <w:tc>
          <w:tcPr>
            <w:tcW w:w="0" w:type="dxa"/>
            <w:vAlign w:val="bottom"/>
          </w:tcPr>
          <w:p>
            <w:pPr>
              <w:spacing w:after="0"/>
              <w:rPr>
                <w:sz w:val="1"/>
                <w:szCs w:val="1"/>
                <w:color w:val="auto"/>
              </w:rPr>
            </w:pPr>
          </w:p>
        </w:tc>
      </w:tr>
      <w:tr>
        <w:trPr>
          <w:trHeight w:val="242"/>
        </w:trPr>
        <w:tc>
          <w:tcPr>
            <w:tcW w:w="5300" w:type="dxa"/>
            <w:vAlign w:val="bottom"/>
          </w:tcPr>
          <w:p>
            <w:pPr>
              <w:spacing w:after="0"/>
              <w:rPr>
                <w:sz w:val="21"/>
                <w:szCs w:val="21"/>
                <w:color w:val="auto"/>
              </w:rPr>
            </w:pPr>
          </w:p>
        </w:tc>
        <w:tc>
          <w:tcPr>
            <w:tcW w:w="3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w:t>
            </w:r>
          </w:p>
        </w:tc>
        <w:tc>
          <w:tcPr>
            <w:tcW w:w="22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30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680" w:type="dxa"/>
            <w:vAlign w:val="bottom"/>
            <w:vMerge w:val="restart"/>
          </w:tcPr>
          <w:p>
            <w:pPr>
              <w:ind w:left="1000"/>
              <w:spacing w:after="0"/>
              <w:rPr>
                <w:sz w:val="20"/>
                <w:szCs w:val="20"/>
                <w:color w:val="auto"/>
              </w:rPr>
            </w:pPr>
            <w:r>
              <w:rPr>
                <w:rFonts w:ascii="Courier New" w:cs="Courier New" w:eastAsia="Courier New" w:hAnsi="Courier New"/>
                <w:sz w:val="14"/>
                <w:szCs w:val="14"/>
                <w:color w:val="auto"/>
                <w:w w:val="98"/>
              </w:rPr>
              <w:t>10/01/08</w:t>
            </w:r>
          </w:p>
        </w:tc>
        <w:tc>
          <w:tcPr>
            <w:tcW w:w="2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6.10%</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9,900</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Leesburg Plaza</w:t>
            </w:r>
          </w:p>
        </w:tc>
        <w:tc>
          <w:tcPr>
            <w:tcW w:w="168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Federal Plaza</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w w:val="98"/>
              </w:rPr>
              <w:t>03/10/01</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8.95%</w:t>
            </w:r>
          </w:p>
        </w:tc>
        <w:tc>
          <w:tcPr>
            <w:tcW w:w="6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27,297</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Tysons Station</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w w:val="98"/>
              </w:rPr>
              <w:t>09/01/01</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9.875%</w:t>
            </w:r>
          </w:p>
        </w:tc>
        <w:tc>
          <w:tcPr>
            <w:tcW w:w="6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4,087</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Escondido (Municipal bonds)</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w w:val="98"/>
              </w:rPr>
              <w:t>10/01/16</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Variable (a)</w:t>
            </w:r>
          </w:p>
        </w:tc>
        <w:tc>
          <w:tcPr>
            <w:tcW w:w="640" w:type="dxa"/>
            <w:vAlign w:val="bottom"/>
          </w:tcPr>
          <w:p>
            <w:pPr>
              <w:spacing w:after="0"/>
              <w:rPr>
                <w:sz w:val="21"/>
                <w:szCs w:val="21"/>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9,400</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$ 50,684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680" w:type="dxa"/>
            <w:vAlign w:val="bottom"/>
          </w:tcPr>
          <w:p>
            <w:pPr>
              <w:spacing w:after="0"/>
              <w:rPr>
                <w:sz w:val="24"/>
                <w:szCs w:val="24"/>
                <w:color w:val="auto"/>
              </w:rPr>
            </w:pPr>
          </w:p>
        </w:tc>
        <w:tc>
          <w:tcPr>
            <w:tcW w:w="2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libor +.65%</w:t>
            </w:r>
          </w:p>
        </w:tc>
        <w:tc>
          <w:tcPr>
            <w:tcW w:w="1420" w:type="dxa"/>
            <w:vAlign w:val="bottom"/>
            <w:gridSpan w:val="2"/>
            <w:vMerge w:val="restart"/>
          </w:tcPr>
          <w:p>
            <w:pPr>
              <w:jc w:val="right"/>
              <w:ind w:right="108"/>
              <w:spacing w:after="0"/>
              <w:rPr>
                <w:sz w:val="20"/>
                <w:szCs w:val="20"/>
                <w:color w:val="auto"/>
              </w:rPr>
            </w:pPr>
            <w:r>
              <w:rPr>
                <w:rFonts w:ascii="Courier New" w:cs="Courier New" w:eastAsia="Courier New" w:hAnsi="Courier New"/>
                <w:sz w:val="14"/>
                <w:szCs w:val="14"/>
                <w:color w:val="auto"/>
              </w:rPr>
              <w:t>$213,000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Revolving credit facilities</w:t>
            </w:r>
          </w:p>
        </w:tc>
        <w:tc>
          <w:tcPr>
            <w:tcW w:w="168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Term note with banks</w:t>
            </w:r>
          </w:p>
        </w:tc>
        <w:tc>
          <w:tcPr>
            <w:tcW w:w="1680" w:type="dxa"/>
            <w:vAlign w:val="bottom"/>
          </w:tcPr>
          <w:p>
            <w:pPr>
              <w:spacing w:after="0"/>
              <w:rPr>
                <w:sz w:val="14"/>
                <w:szCs w:val="14"/>
                <w:color w:val="auto"/>
              </w:rPr>
            </w:pP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libor +.75%</w:t>
            </w:r>
          </w:p>
        </w:tc>
        <w:tc>
          <w:tcPr>
            <w:tcW w:w="6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125,000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Note issued in connection with</w:t>
            </w:r>
          </w:p>
        </w:tc>
        <w:tc>
          <w:tcPr>
            <w:tcW w:w="1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01/15/06</w:t>
            </w:r>
          </w:p>
        </w:tc>
        <w:tc>
          <w:tcPr>
            <w:tcW w:w="2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8.875%</w:t>
            </w:r>
          </w:p>
        </w:tc>
        <w:tc>
          <w:tcPr>
            <w:tcW w:w="64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1,011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2080"/>
              <w:spacing w:after="0"/>
              <w:rPr>
                <w:sz w:val="20"/>
                <w:szCs w:val="20"/>
                <w:color w:val="auto"/>
              </w:rPr>
            </w:pPr>
            <w:r>
              <w:rPr>
                <w:rFonts w:ascii="Courier New" w:cs="Courier New" w:eastAsia="Courier New" w:hAnsi="Courier New"/>
                <w:sz w:val="14"/>
                <w:szCs w:val="14"/>
                <w:color w:val="auto"/>
              </w:rPr>
              <w:t>tenant buyout at Queen Anne Plaza</w:t>
            </w:r>
          </w:p>
        </w:tc>
        <w:tc>
          <w:tcPr>
            <w:tcW w:w="168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Note issued in connection with</w:t>
            </w:r>
          </w:p>
        </w:tc>
        <w:tc>
          <w:tcPr>
            <w:tcW w:w="1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01/31/13</w:t>
            </w:r>
          </w:p>
        </w:tc>
        <w:tc>
          <w:tcPr>
            <w:tcW w:w="2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64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2,628</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2080"/>
              <w:spacing w:after="0"/>
              <w:rPr>
                <w:sz w:val="20"/>
                <w:szCs w:val="20"/>
                <w:color w:val="auto"/>
              </w:rPr>
            </w:pPr>
            <w:r>
              <w:rPr>
                <w:rFonts w:ascii="Courier New" w:cs="Courier New" w:eastAsia="Courier New" w:hAnsi="Courier New"/>
                <w:sz w:val="14"/>
                <w:szCs w:val="14"/>
                <w:color w:val="auto"/>
              </w:rPr>
              <w:t>renovation of Perring Plaza</w:t>
            </w:r>
          </w:p>
        </w:tc>
        <w:tc>
          <w:tcPr>
            <w:tcW w:w="168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various</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various</w:t>
            </w:r>
          </w:p>
        </w:tc>
        <w:tc>
          <w:tcPr>
            <w:tcW w:w="640" w:type="dxa"/>
            <w:vAlign w:val="bottom"/>
          </w:tcPr>
          <w:p>
            <w:pPr>
              <w:spacing w:after="0"/>
              <w:rPr>
                <w:sz w:val="21"/>
                <w:szCs w:val="21"/>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$341,805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30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04/30/02</w:t>
            </w:r>
          </w:p>
        </w:tc>
        <w:tc>
          <w:tcPr>
            <w:tcW w:w="2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5.250%</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289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5 1/4% Convertible subordinated</w:t>
            </w:r>
          </w:p>
        </w:tc>
        <w:tc>
          <w:tcPr>
            <w:tcW w:w="168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2080"/>
              <w:spacing w:after="0"/>
              <w:rPr>
                <w:sz w:val="20"/>
                <w:szCs w:val="20"/>
                <w:color w:val="auto"/>
              </w:rPr>
            </w:pPr>
            <w:r>
              <w:rPr>
                <w:rFonts w:ascii="Courier New" w:cs="Courier New" w:eastAsia="Courier New" w:hAnsi="Courier New"/>
                <w:sz w:val="14"/>
                <w:szCs w:val="14"/>
                <w:color w:val="auto"/>
              </w:rPr>
              <w:t>debentures</w:t>
            </w:r>
          </w:p>
        </w:tc>
        <w:tc>
          <w:tcPr>
            <w:tcW w:w="1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10/28/03</w:t>
            </w:r>
          </w:p>
        </w:tc>
        <w:tc>
          <w:tcPr>
            <w:tcW w:w="2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5.250%</w:t>
            </w:r>
          </w:p>
        </w:tc>
        <w:tc>
          <w:tcPr>
            <w:tcW w:w="64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75,000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5 1/4% Convertible subordinated</w:t>
            </w:r>
          </w:p>
        </w:tc>
        <w:tc>
          <w:tcPr>
            <w:tcW w:w="168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2080"/>
              <w:spacing w:after="0"/>
              <w:rPr>
                <w:sz w:val="20"/>
                <w:szCs w:val="20"/>
                <w:color w:val="auto"/>
              </w:rPr>
            </w:pPr>
            <w:r>
              <w:rPr>
                <w:rFonts w:ascii="Courier New" w:cs="Courier New" w:eastAsia="Courier New" w:hAnsi="Courier New"/>
                <w:sz w:val="14"/>
                <w:szCs w:val="14"/>
                <w:color w:val="auto"/>
              </w:rPr>
              <w:t>debentures</w:t>
            </w:r>
          </w:p>
        </w:tc>
        <w:tc>
          <w:tcPr>
            <w:tcW w:w="16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01/15/00</w:t>
            </w:r>
          </w:p>
        </w:tc>
        <w:tc>
          <w:tcPr>
            <w:tcW w:w="2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8.875%</w:t>
            </w:r>
          </w:p>
        </w:tc>
        <w:tc>
          <w:tcPr>
            <w:tcW w:w="64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75,000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8 7/8% Notes (fixed)</w:t>
            </w:r>
          </w:p>
        </w:tc>
        <w:tc>
          <w:tcPr>
            <w:tcW w:w="168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8 7/8% Notes (fixed) (b)</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01/15/00</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7.530%</w:t>
            </w:r>
          </w:p>
        </w:tc>
        <w:tc>
          <w:tcPr>
            <w:tcW w:w="6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8% Notes (fixed)</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04/21/02</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8.000%</w:t>
            </w:r>
          </w:p>
        </w:tc>
        <w:tc>
          <w:tcPr>
            <w:tcW w:w="6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6 5/8% Notes (fixed)</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12/01/05</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6.625%</w:t>
            </w:r>
          </w:p>
        </w:tc>
        <w:tc>
          <w:tcPr>
            <w:tcW w:w="6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7.48% Debentures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08/15/26</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7.480%</w:t>
            </w:r>
          </w:p>
        </w:tc>
        <w:tc>
          <w:tcPr>
            <w:tcW w:w="6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6.82% Medium Term Notes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08/01/27</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6.820%</w:t>
            </w:r>
          </w:p>
        </w:tc>
        <w:tc>
          <w:tcPr>
            <w:tcW w:w="6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6.74% Medium Term Notes (b)</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03/10/04</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6.370%</w:t>
            </w:r>
          </w:p>
        </w:tc>
        <w:tc>
          <w:tcPr>
            <w:tcW w:w="6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39,500</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300" w:type="dxa"/>
            <w:vAlign w:val="bottom"/>
          </w:tcPr>
          <w:p>
            <w:pPr>
              <w:ind w:left="1900"/>
              <w:spacing w:after="0"/>
              <w:rPr>
                <w:sz w:val="20"/>
                <w:szCs w:val="20"/>
                <w:color w:val="auto"/>
              </w:rPr>
            </w:pPr>
            <w:r>
              <w:rPr>
                <w:rFonts w:ascii="Courier New" w:cs="Courier New" w:eastAsia="Courier New" w:hAnsi="Courier New"/>
                <w:sz w:val="14"/>
                <w:szCs w:val="14"/>
                <w:color w:val="auto"/>
              </w:rPr>
              <w:t>6.99% Medium Term Notes (b)</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03/10/06</w:t>
            </w:r>
          </w:p>
        </w:tc>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6.894%</w:t>
            </w:r>
          </w:p>
        </w:tc>
        <w:tc>
          <w:tcPr>
            <w:tcW w:w="640" w:type="dxa"/>
            <w:vAlign w:val="bottom"/>
          </w:tcPr>
          <w:p>
            <w:pPr>
              <w:spacing w:after="0"/>
              <w:rPr>
                <w:sz w:val="21"/>
                <w:szCs w:val="21"/>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40,500</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5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$410,289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300" w:type="dxa"/>
            <w:vAlign w:val="bottom"/>
          </w:tcPr>
          <w:p>
            <w:pPr>
              <w:spacing w:after="0"/>
              <w:rPr>
                <w:sz w:val="24"/>
                <w:szCs w:val="24"/>
                <w:color w:val="auto"/>
              </w:rPr>
            </w:pPr>
          </w:p>
        </w:tc>
        <w:tc>
          <w:tcPr>
            <w:tcW w:w="38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Total fixed rate debt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$455,378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56.73%</w:t>
            </w:r>
          </w:p>
        </w:tc>
        <w:tc>
          <w:tcPr>
            <w:tcW w:w="0" w:type="dxa"/>
            <w:vAlign w:val="bottom"/>
          </w:tcPr>
          <w:p>
            <w:pPr>
              <w:spacing w:after="0"/>
              <w:rPr>
                <w:sz w:val="1"/>
                <w:szCs w:val="1"/>
                <w:color w:val="auto"/>
              </w:rPr>
            </w:pPr>
          </w:p>
        </w:tc>
      </w:tr>
      <w:tr>
        <w:trPr>
          <w:trHeight w:val="255"/>
        </w:trPr>
        <w:tc>
          <w:tcPr>
            <w:tcW w:w="5300" w:type="dxa"/>
            <w:vAlign w:val="bottom"/>
          </w:tcPr>
          <w:p>
            <w:pPr>
              <w:spacing w:after="0"/>
              <w:rPr>
                <w:sz w:val="22"/>
                <w:szCs w:val="22"/>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4"/>
                <w:szCs w:val="14"/>
                <w:color w:val="auto"/>
              </w:rPr>
              <w:t>Total variable</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rate debt</w:t>
            </w:r>
          </w:p>
        </w:tc>
        <w:tc>
          <w:tcPr>
            <w:tcW w:w="640" w:type="dxa"/>
            <w:vAlign w:val="bottom"/>
          </w:tcPr>
          <w:p>
            <w:pPr>
              <w:spacing w:after="0"/>
              <w:rPr>
                <w:sz w:val="22"/>
                <w:szCs w:val="22"/>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347,400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43.27%</w:t>
            </w:r>
          </w:p>
        </w:tc>
        <w:tc>
          <w:tcPr>
            <w:tcW w:w="0" w:type="dxa"/>
            <w:vAlign w:val="bottom"/>
          </w:tcPr>
          <w:p>
            <w:pPr>
              <w:spacing w:after="0"/>
              <w:rPr>
                <w:sz w:val="1"/>
                <w:szCs w:val="1"/>
                <w:color w:val="auto"/>
              </w:rPr>
            </w:pPr>
          </w:p>
        </w:tc>
      </w:tr>
      <w:tr>
        <w:trPr>
          <w:trHeight w:val="242"/>
        </w:trPr>
        <w:tc>
          <w:tcPr>
            <w:tcW w:w="5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300" w:type="dxa"/>
            <w:vAlign w:val="bottom"/>
          </w:tcPr>
          <w:p>
            <w:pPr>
              <w:spacing w:after="0"/>
              <w:rPr>
                <w:sz w:val="22"/>
                <w:szCs w:val="22"/>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4"/>
                <w:szCs w:val="14"/>
                <w:color w:val="auto"/>
              </w:rPr>
              <w:t>Total debt</w:t>
            </w:r>
          </w:p>
        </w:tc>
        <w:tc>
          <w:tcPr>
            <w:tcW w:w="2120" w:type="dxa"/>
            <w:vAlign w:val="bottom"/>
          </w:tcPr>
          <w:p>
            <w:pPr>
              <w:spacing w:after="0"/>
              <w:rPr>
                <w:sz w:val="22"/>
                <w:szCs w:val="22"/>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$802,778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0" w:type="dxa"/>
            <w:vAlign w:val="bottom"/>
          </w:tcPr>
          <w:p>
            <w:pPr>
              <w:spacing w:after="0"/>
              <w:rPr>
                <w:sz w:val="1"/>
                <w:szCs w:val="1"/>
                <w:color w:val="auto"/>
              </w:rPr>
            </w:pPr>
          </w:p>
        </w:tc>
      </w:tr>
      <w:tr>
        <w:trPr>
          <w:trHeight w:val="242"/>
        </w:trPr>
        <w:tc>
          <w:tcPr>
            <w:tcW w:w="5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5300" w:type="dxa"/>
            <w:vAlign w:val="bottom"/>
          </w:tcPr>
          <w:p>
            <w:pPr>
              <w:spacing w:after="0"/>
              <w:rPr>
                <w:sz w:val="24"/>
                <w:szCs w:val="24"/>
                <w:color w:val="auto"/>
              </w:rPr>
            </w:pPr>
          </w:p>
        </w:tc>
        <w:tc>
          <w:tcPr>
            <w:tcW w:w="38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Weighted average interest rate:</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38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7.19%</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3800" w:type="dxa"/>
            <w:vAlign w:val="bottom"/>
            <w:gridSpan w:val="2"/>
          </w:tcPr>
          <w:p>
            <w:pPr>
              <w:jc w:val="right"/>
              <w:ind w:right="1788"/>
              <w:spacing w:after="0"/>
              <w:rPr>
                <w:sz w:val="20"/>
                <w:szCs w:val="20"/>
                <w:color w:val="auto"/>
              </w:rPr>
            </w:pPr>
            <w:r>
              <w:rPr>
                <w:rFonts w:ascii="Courier New" w:cs="Courier New" w:eastAsia="Courier New" w:hAnsi="Courier New"/>
                <w:sz w:val="14"/>
                <w:szCs w:val="14"/>
                <w:color w:val="auto"/>
              </w:rPr>
              <w:t>Fixed rate debt</w:t>
            </w:r>
          </w:p>
        </w:tc>
        <w:tc>
          <w:tcPr>
            <w:tcW w:w="6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Variable on</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revolving facilities</w:t>
            </w:r>
          </w:p>
        </w:tc>
        <w:tc>
          <w:tcPr>
            <w:tcW w:w="64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5.80% (c)</w:t>
            </w:r>
          </w:p>
        </w:tc>
        <w:tc>
          <w:tcPr>
            <w:tcW w:w="0" w:type="dxa"/>
            <w:vAlign w:val="bottom"/>
          </w:tcPr>
          <w:p>
            <w:pPr>
              <w:spacing w:after="0"/>
              <w:rPr>
                <w:sz w:val="1"/>
                <w:szCs w:val="1"/>
                <w:color w:val="auto"/>
              </w:rPr>
            </w:pPr>
          </w:p>
        </w:tc>
      </w:tr>
      <w:tr>
        <w:trPr>
          <w:trHeight w:val="242"/>
        </w:trPr>
        <w:tc>
          <w:tcPr>
            <w:tcW w:w="5300" w:type="dxa"/>
            <w:vAlign w:val="bottom"/>
          </w:tcPr>
          <w:p>
            <w:pPr>
              <w:spacing w:after="0"/>
              <w:rPr>
                <w:sz w:val="21"/>
                <w:szCs w:val="21"/>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Variable on</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muncipal bonds</w:t>
            </w:r>
          </w:p>
        </w:tc>
        <w:tc>
          <w:tcPr>
            <w:tcW w:w="640" w:type="dxa"/>
            <w:vAlign w:val="bottom"/>
          </w:tcPr>
          <w:p>
            <w:pPr>
              <w:spacing w:after="0"/>
              <w:rPr>
                <w:sz w:val="21"/>
                <w:szCs w:val="21"/>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(a)</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both"/>
        <w:ind w:left="440" w:right="4920" w:hanging="346"/>
        <w:spacing w:after="0" w:line="263"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pacing w:after="0" w:line="1" w:lineRule="exact"/>
        <w:rPr>
          <w:rFonts w:ascii="Courier New" w:cs="Courier New" w:eastAsia="Courier New" w:hAnsi="Courier New"/>
          <w:sz w:val="14"/>
          <w:szCs w:val="14"/>
          <w:color w:val="auto"/>
        </w:rPr>
      </w:pPr>
    </w:p>
    <w:p>
      <w:pPr>
        <w:ind w:left="440" w:right="4660" w:hanging="346"/>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or hedges on these notes, thereby decreasing the effective interest.</w:t>
      </w:r>
    </w:p>
    <w:p>
      <w:pPr>
        <w:ind w:left="440" w:right="4920" w:hanging="346"/>
        <w:spacing w:after="0" w:line="336"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nine months ended September 30, 1999.</w:t>
      </w:r>
    </w:p>
    <w:p>
      <w:pPr>
        <w:sectPr>
          <w:pgSz w:w="11900" w:h="16838" w:orient="portrait"/>
          <w:cols w:equalWidth="0" w:num="1">
            <w:col w:w="11380"/>
          </w:cols>
          <w:pgMar w:left="220" w:top="590" w:right="2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1999</w:t>
      </w:r>
    </w:p>
    <w:p>
      <w:pPr>
        <w:spacing w:after="0" w:line="200" w:lineRule="exact"/>
        <w:rPr>
          <w:sz w:val="20"/>
          <w:szCs w:val="20"/>
          <w:color w:val="auto"/>
        </w:rPr>
      </w:pPr>
    </w:p>
    <w:p>
      <w:pPr>
        <w:spacing w:after="0" w:line="278"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Operating Occupancy</w:t>
      </w:r>
    </w:p>
    <w:tbl>
      <w:tblPr>
        <w:tblLayout w:type="fixed"/>
        <w:tblInd w:w="0" w:type="dxa"/>
        <w:tblCellMar>
          <w:top w:w="0" w:type="dxa"/>
          <w:left w:w="0" w:type="dxa"/>
          <w:bottom w:w="0" w:type="dxa"/>
          <w:right w:w="0" w:type="dxa"/>
        </w:tblCellMar>
      </w:tblPr>
      <w:tr>
        <w:trPr>
          <w:trHeight w:val="147"/>
        </w:trPr>
        <w:tc>
          <w:tcPr>
            <w:tcW w:w="3620" w:type="dxa"/>
            <w:vAlign w:val="bottom"/>
          </w:tcPr>
          <w:p>
            <w:pPr>
              <w:spacing w:after="0" w:line="147" w:lineRule="exact"/>
              <w:rPr>
                <w:sz w:val="20"/>
                <w:szCs w:val="20"/>
                <w:color w:val="auto"/>
              </w:rPr>
            </w:pPr>
            <w:r>
              <w:rPr>
                <w:rFonts w:ascii="Courier New" w:cs="Courier New" w:eastAsia="Courier New" w:hAnsi="Courier New"/>
                <w:sz w:val="14"/>
                <w:szCs w:val="14"/>
                <w:color w:val="auto"/>
              </w:rPr>
              <w:t>(Quarter to Quarter Analysis)</w:t>
            </w:r>
          </w:p>
        </w:tc>
        <w:tc>
          <w:tcPr>
            <w:tcW w:w="1480" w:type="dxa"/>
            <w:vAlign w:val="bottom"/>
          </w:tcPr>
          <w:p>
            <w:pPr>
              <w:spacing w:after="0"/>
              <w:rPr>
                <w:sz w:val="12"/>
                <w:szCs w:val="12"/>
                <w:color w:val="auto"/>
              </w:rPr>
            </w:pPr>
          </w:p>
        </w:tc>
        <w:tc>
          <w:tcPr>
            <w:tcW w:w="2660" w:type="dxa"/>
            <w:vAlign w:val="bottom"/>
            <w:gridSpan w:val="2"/>
          </w:tcPr>
          <w:p>
            <w:pPr>
              <w:ind w:left="80"/>
              <w:spacing w:after="0" w:line="147" w:lineRule="exact"/>
              <w:rPr>
                <w:sz w:val="20"/>
                <w:szCs w:val="20"/>
                <w:color w:val="auto"/>
              </w:rPr>
            </w:pPr>
            <w:r>
              <w:rPr>
                <w:rFonts w:ascii="Courier New" w:cs="Courier New" w:eastAsia="Courier New" w:hAnsi="Courier New"/>
                <w:sz w:val="14"/>
                <w:szCs w:val="14"/>
                <w:color w:val="auto"/>
              </w:rPr>
              <w:t>September 30, 1999</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80" w:type="dxa"/>
            <w:vAlign w:val="bottom"/>
            <w:gridSpan w:val="4"/>
          </w:tcPr>
          <w:p>
            <w:pPr>
              <w:jc w:val="center"/>
              <w:ind w:right="608"/>
              <w:spacing w:after="0" w:line="147" w:lineRule="exact"/>
              <w:rPr>
                <w:sz w:val="20"/>
                <w:szCs w:val="20"/>
                <w:color w:val="auto"/>
              </w:rPr>
            </w:pPr>
            <w:r>
              <w:rPr>
                <w:rFonts w:ascii="Courier New" w:cs="Courier New" w:eastAsia="Courier New" w:hAnsi="Courier New"/>
                <w:sz w:val="14"/>
                <w:szCs w:val="14"/>
                <w:color w:val="auto"/>
              </w:rPr>
              <w:t>September 30, 1998</w:t>
            </w:r>
          </w:p>
        </w:tc>
        <w:tc>
          <w:tcPr>
            <w:tcW w:w="0" w:type="dxa"/>
            <w:vAlign w:val="bottom"/>
          </w:tcPr>
          <w:p>
            <w:pPr>
              <w:spacing w:after="0"/>
              <w:rPr>
                <w:sz w:val="1"/>
                <w:szCs w:val="1"/>
                <w:color w:val="auto"/>
              </w:rPr>
            </w:pPr>
          </w:p>
        </w:tc>
      </w:tr>
      <w:tr>
        <w:trPr>
          <w:trHeight w:val="166"/>
        </w:trPr>
        <w:tc>
          <w:tcPr>
            <w:tcW w:w="3620" w:type="dxa"/>
            <w:vAlign w:val="bottom"/>
            <w:vMerge w:val="restart"/>
          </w:tcPr>
          <w:p>
            <w:pPr>
              <w:ind w:left="1380"/>
              <w:spacing w:after="0"/>
              <w:rPr>
                <w:sz w:val="20"/>
                <w:szCs w:val="20"/>
                <w:color w:val="auto"/>
              </w:rPr>
            </w:pPr>
            <w:r>
              <w:rPr>
                <w:rFonts w:ascii="Courier New" w:cs="Courier New" w:eastAsia="Courier New" w:hAnsi="Courier New"/>
                <w:sz w:val="14"/>
                <w:szCs w:val="14"/>
                <w:color w:val="auto"/>
              </w:rPr>
              <w:t>Type</w:t>
            </w:r>
          </w:p>
        </w:tc>
        <w:tc>
          <w:tcPr>
            <w:tcW w:w="1480" w:type="dxa"/>
            <w:vAlign w:val="bottom"/>
            <w:vMerge w:val="restart"/>
          </w:tcPr>
          <w:p>
            <w:pPr>
              <w:ind w:left="520"/>
              <w:spacing w:after="0"/>
              <w:rPr>
                <w:sz w:val="20"/>
                <w:szCs w:val="20"/>
                <w:color w:val="auto"/>
              </w:rPr>
            </w:pPr>
            <w:r>
              <w:rPr>
                <w:rFonts w:ascii="Courier New" w:cs="Courier New" w:eastAsia="Courier New" w:hAnsi="Courier New"/>
                <w:sz w:val="4"/>
                <w:szCs w:val="4"/>
                <w:color w:val="auto"/>
                <w:w w:val="77"/>
              </w:rPr>
              <w:t>----------------------------------------------</w:t>
            </w:r>
            <w:r>
              <w:rPr>
                <w:rFonts w:ascii="Courier New" w:cs="Courier New" w:eastAsia="Courier New" w:hAnsi="Courier New"/>
                <w:sz w:val="7"/>
                <w:szCs w:val="7"/>
                <w:color w:val="auto"/>
                <w:w w:val="77"/>
                <w:vertAlign w:val="subscript"/>
              </w:rPr>
              <w:t>Size</w:t>
            </w:r>
          </w:p>
        </w:tc>
        <w:tc>
          <w:tcPr>
            <w:tcW w:w="1360" w:type="dxa"/>
            <w:vAlign w:val="bottom"/>
            <w:vMerge w:val="restart"/>
          </w:tcPr>
          <w:p>
            <w:pPr>
              <w:ind w:left="680"/>
              <w:spacing w:after="0"/>
              <w:rPr>
                <w:sz w:val="20"/>
                <w:szCs w:val="20"/>
                <w:color w:val="auto"/>
              </w:rPr>
            </w:pPr>
            <w:r>
              <w:rPr>
                <w:rFonts w:ascii="Courier New" w:cs="Courier New" w:eastAsia="Courier New" w:hAnsi="Courier New"/>
                <w:sz w:val="14"/>
                <w:szCs w:val="14"/>
                <w:color w:val="auto"/>
              </w:rPr>
              <w:t>Leased</w:t>
            </w:r>
          </w:p>
        </w:tc>
        <w:tc>
          <w:tcPr>
            <w:tcW w:w="1900" w:type="dxa"/>
            <w:vAlign w:val="bottom"/>
            <w:gridSpan w:val="2"/>
            <w:vMerge w:val="restart"/>
          </w:tcPr>
          <w:p>
            <w:pPr>
              <w:jc w:val="right"/>
              <w:ind w:right="348"/>
              <w:spacing w:after="0"/>
              <w:rPr>
                <w:sz w:val="20"/>
                <w:szCs w:val="20"/>
                <w:color w:val="auto"/>
              </w:rPr>
            </w:pPr>
            <w:r>
              <w:rPr>
                <w:rFonts w:ascii="Courier New" w:cs="Courier New" w:eastAsia="Courier New" w:hAnsi="Courier New"/>
                <w:sz w:val="14"/>
                <w:szCs w:val="14"/>
                <w:color w:val="auto"/>
              </w:rPr>
              <w:t>Occupancy</w:t>
            </w:r>
          </w:p>
        </w:tc>
        <w:tc>
          <w:tcPr>
            <w:tcW w:w="318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Size</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Leased</w:t>
            </w:r>
          </w:p>
        </w:tc>
        <w:tc>
          <w:tcPr>
            <w:tcW w:w="320" w:type="dxa"/>
            <w:vAlign w:val="bottom"/>
          </w:tcPr>
          <w:p>
            <w:pPr>
              <w:spacing w:after="0"/>
              <w:rPr>
                <w:sz w:val="14"/>
                <w:szCs w:val="14"/>
                <w:color w:val="auto"/>
              </w:rPr>
            </w:pP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7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   --------------</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14,348,626</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13,658,207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95.2%</w:t>
            </w:r>
          </w:p>
        </w:tc>
        <w:tc>
          <w:tcPr>
            <w:tcW w:w="600" w:type="dxa"/>
            <w:vAlign w:val="bottom"/>
          </w:tcPr>
          <w:p>
            <w:pPr>
              <w:spacing w:after="0"/>
              <w:rPr>
                <w:sz w:val="22"/>
                <w:szCs w:val="22"/>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14,419,458</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13,739,610</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95.3%</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480" w:type="dxa"/>
            <w:vAlign w:val="bottom"/>
          </w:tcPr>
          <w:p>
            <w:pPr>
              <w:ind w:left="860"/>
              <w:spacing w:after="0"/>
              <w:rPr>
                <w:sz w:val="20"/>
                <w:szCs w:val="20"/>
                <w:color w:val="auto"/>
              </w:rPr>
            </w:pPr>
            <w:r>
              <w:rPr>
                <w:rFonts w:ascii="Courier New" w:cs="Courier New" w:eastAsia="Courier New" w:hAnsi="Courier New"/>
                <w:sz w:val="14"/>
                <w:szCs w:val="14"/>
                <w:color w:val="auto"/>
              </w:rPr>
              <w:t>282</w:t>
            </w:r>
          </w:p>
        </w:tc>
        <w:tc>
          <w:tcPr>
            <w:tcW w:w="1360" w:type="dxa"/>
            <w:vAlign w:val="bottom"/>
          </w:tcPr>
          <w:p>
            <w:pPr>
              <w:ind w:left="760"/>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0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w:t>
            </w:r>
          </w:p>
        </w:tc>
        <w:tc>
          <w:tcPr>
            <w:tcW w:w="3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w:t>
            </w:r>
          </w:p>
        </w:tc>
        <w:tc>
          <w:tcPr>
            <w:tcW w:w="320" w:type="dxa"/>
            <w:vAlign w:val="bottom"/>
          </w:tcPr>
          <w:p>
            <w:pPr>
              <w:spacing w:after="0"/>
              <w:rPr>
                <w:sz w:val="21"/>
                <w:szCs w:val="21"/>
                <w:color w:val="auto"/>
              </w:rPr>
            </w:pP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421"/>
        </w:trPr>
        <w:tc>
          <w:tcPr>
            <w:tcW w:w="3620" w:type="dxa"/>
            <w:vAlign w:val="bottom"/>
          </w:tcPr>
          <w:p>
            <w:pPr>
              <w:spacing w:after="0"/>
              <w:rPr>
                <w:sz w:val="20"/>
                <w:szCs w:val="20"/>
                <w:color w:val="auto"/>
              </w:rPr>
            </w:pPr>
            <w:r>
              <w:rPr>
                <w:rFonts w:ascii="Courier New" w:cs="Courier New" w:eastAsia="Courier New" w:hAnsi="Courier New"/>
                <w:sz w:val="14"/>
                <w:szCs w:val="14"/>
                <w:color w:val="auto"/>
              </w:rPr>
              <w:t>Overall Operating Occupancy</w:t>
            </w:r>
          </w:p>
        </w:tc>
        <w:tc>
          <w:tcPr>
            <w:tcW w:w="1480" w:type="dxa"/>
            <w:vAlign w:val="bottom"/>
          </w:tcPr>
          <w:p>
            <w:pPr>
              <w:spacing w:after="0"/>
              <w:rPr>
                <w:sz w:val="24"/>
                <w:szCs w:val="24"/>
                <w:color w:val="auto"/>
              </w:rPr>
            </w:pPr>
          </w:p>
        </w:tc>
        <w:tc>
          <w:tcPr>
            <w:tcW w:w="2660" w:type="dxa"/>
            <w:vAlign w:val="bottom"/>
            <w:gridSpan w:val="2"/>
            <w:vMerge w:val="restart"/>
          </w:tcPr>
          <w:p>
            <w:pPr>
              <w:ind w:left="80"/>
              <w:spacing w:after="0"/>
              <w:rPr>
                <w:sz w:val="20"/>
                <w:szCs w:val="20"/>
                <w:color w:val="auto"/>
              </w:rPr>
            </w:pPr>
            <w:r>
              <w:rPr>
                <w:rFonts w:ascii="Courier New" w:cs="Courier New" w:eastAsia="Courier New" w:hAnsi="Courier New"/>
                <w:sz w:val="14"/>
                <w:szCs w:val="14"/>
                <w:color w:val="auto"/>
              </w:rPr>
              <w:t>September 30, 1999</w:t>
            </w:r>
          </w:p>
        </w:tc>
        <w:tc>
          <w:tcPr>
            <w:tcW w:w="600" w:type="dxa"/>
            <w:vAlign w:val="bottom"/>
          </w:tcPr>
          <w:p>
            <w:pPr>
              <w:spacing w:after="0"/>
              <w:rPr>
                <w:sz w:val="24"/>
                <w:szCs w:val="24"/>
                <w:color w:val="auto"/>
              </w:rPr>
            </w:pPr>
          </w:p>
        </w:tc>
        <w:tc>
          <w:tcPr>
            <w:tcW w:w="1760" w:type="dxa"/>
            <w:vAlign w:val="bottom"/>
            <w:gridSpan w:val="3"/>
            <w:vMerge w:val="restart"/>
          </w:tcPr>
          <w:p>
            <w:pPr>
              <w:jc w:val="right"/>
              <w:ind w:right="128"/>
              <w:spacing w:after="0"/>
              <w:rPr>
                <w:sz w:val="20"/>
                <w:szCs w:val="20"/>
                <w:color w:val="auto"/>
              </w:rPr>
            </w:pPr>
            <w:r>
              <w:rPr>
                <w:rFonts w:ascii="Courier New" w:cs="Courier New" w:eastAsia="Courier New" w:hAnsi="Courier New"/>
                <w:sz w:val="14"/>
                <w:szCs w:val="14"/>
                <w:color w:val="auto"/>
              </w:rPr>
              <w:t>June 30, 1999</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 12 Months)</w:t>
            </w:r>
          </w:p>
        </w:tc>
        <w:tc>
          <w:tcPr>
            <w:tcW w:w="1480" w:type="dxa"/>
            <w:vAlign w:val="bottom"/>
          </w:tcPr>
          <w:p>
            <w:pPr>
              <w:spacing w:after="0"/>
              <w:rPr>
                <w:sz w:val="14"/>
                <w:szCs w:val="14"/>
                <w:color w:val="auto"/>
              </w:rPr>
            </w:pPr>
          </w:p>
        </w:tc>
        <w:tc>
          <w:tcPr>
            <w:tcW w:w="26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1"/>
                <w:szCs w:val="21"/>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5080" w:type="dxa"/>
            <w:vAlign w:val="bottom"/>
            <w:gridSpan w:val="7"/>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62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360" w:type="dxa"/>
            <w:vAlign w:val="bottom"/>
          </w:tcPr>
          <w:p>
            <w:pPr>
              <w:ind w:left="240"/>
              <w:spacing w:after="0"/>
              <w:rPr>
                <w:sz w:val="20"/>
                <w:szCs w:val="20"/>
                <w:color w:val="auto"/>
              </w:rPr>
            </w:pPr>
            <w:r>
              <w:rPr>
                <w:rFonts w:ascii="Courier New" w:cs="Courier New" w:eastAsia="Courier New" w:hAnsi="Courier New"/>
                <w:sz w:val="14"/>
                <w:szCs w:val="14"/>
                <w:color w:val="auto"/>
              </w:rPr>
              <w:t>Leased</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Occupancy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Size</w:t>
            </w:r>
          </w:p>
        </w:tc>
        <w:tc>
          <w:tcPr>
            <w:tcW w:w="600" w:type="dxa"/>
            <w:vAlign w:val="bottom"/>
          </w:tcPr>
          <w:p>
            <w:pPr>
              <w:spacing w:after="0"/>
              <w:rPr>
                <w:sz w:val="22"/>
                <w:szCs w:val="22"/>
                <w:color w:val="auto"/>
              </w:rPr>
            </w:pPr>
          </w:p>
        </w:tc>
        <w:tc>
          <w:tcPr>
            <w:tcW w:w="1160" w:type="dxa"/>
            <w:vAlign w:val="bottom"/>
            <w:gridSpan w:val="2"/>
          </w:tcPr>
          <w:p>
            <w:pPr>
              <w:jc w:val="center"/>
              <w:ind w:right="208"/>
              <w:spacing w:after="0"/>
              <w:rPr>
                <w:sz w:val="20"/>
                <w:szCs w:val="20"/>
                <w:color w:val="auto"/>
              </w:rPr>
            </w:pPr>
            <w:r>
              <w:rPr>
                <w:rFonts w:ascii="Courier New" w:cs="Courier New" w:eastAsia="Courier New" w:hAnsi="Courier New"/>
                <w:sz w:val="14"/>
                <w:szCs w:val="14"/>
                <w:color w:val="auto"/>
              </w:rPr>
              <w:t>Leased</w:t>
            </w:r>
          </w:p>
        </w:tc>
        <w:tc>
          <w:tcPr>
            <w:tcW w:w="1420" w:type="dxa"/>
            <w:vAlign w:val="bottom"/>
            <w:gridSpan w:val="2"/>
          </w:tcPr>
          <w:p>
            <w:pPr>
              <w:jc w:val="center"/>
              <w:ind w:right="468"/>
              <w:spacing w:after="0"/>
              <w:rPr>
                <w:sz w:val="20"/>
                <w:szCs w:val="20"/>
                <w:color w:val="auto"/>
              </w:rPr>
            </w:pPr>
            <w:r>
              <w:rPr>
                <w:rFonts w:ascii="Courier New" w:cs="Courier New" w:eastAsia="Courier New" w:hAnsi="Courier New"/>
                <w:sz w:val="14"/>
                <w:szCs w:val="14"/>
                <w:color w:val="auto"/>
              </w:rPr>
              <w:t>Occupancy</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14,348,626</w:t>
            </w:r>
          </w:p>
        </w:tc>
        <w:tc>
          <w:tcPr>
            <w:tcW w:w="1360" w:type="dxa"/>
            <w:vAlign w:val="bottom"/>
          </w:tcPr>
          <w:p>
            <w:pPr>
              <w:ind w:left="80"/>
              <w:spacing w:after="0"/>
              <w:rPr>
                <w:sz w:val="20"/>
                <w:szCs w:val="20"/>
                <w:color w:val="auto"/>
              </w:rPr>
            </w:pPr>
            <w:r>
              <w:rPr>
                <w:rFonts w:ascii="Courier New" w:cs="Courier New" w:eastAsia="Courier New" w:hAnsi="Courier New"/>
                <w:sz w:val="14"/>
                <w:szCs w:val="14"/>
                <w:color w:val="auto"/>
              </w:rPr>
              <w:t>13,658,207</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95.2%</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14,541,750</w:t>
            </w:r>
          </w:p>
        </w:tc>
        <w:tc>
          <w:tcPr>
            <w:tcW w:w="116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13,797,209</w:t>
            </w:r>
          </w:p>
        </w:tc>
        <w:tc>
          <w:tcPr>
            <w:tcW w:w="1420" w:type="dxa"/>
            <w:vAlign w:val="bottom"/>
            <w:gridSpan w:val="2"/>
          </w:tcPr>
          <w:p>
            <w:pPr>
              <w:jc w:val="center"/>
              <w:ind w:right="468"/>
              <w:spacing w:after="0"/>
              <w:rPr>
                <w:sz w:val="20"/>
                <w:szCs w:val="20"/>
                <w:color w:val="auto"/>
              </w:rPr>
            </w:pPr>
            <w:r>
              <w:rPr>
                <w:rFonts w:ascii="Courier New" w:cs="Courier New" w:eastAsia="Courier New" w:hAnsi="Courier New"/>
                <w:sz w:val="14"/>
                <w:szCs w:val="14"/>
                <w:color w:val="auto"/>
              </w:rPr>
              <w:t>94.9%</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282</w:t>
            </w:r>
          </w:p>
        </w:tc>
        <w:tc>
          <w:tcPr>
            <w:tcW w:w="13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100%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w:t>
            </w: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87"/>
              </w:rPr>
              <w:t>280</w:t>
            </w:r>
          </w:p>
        </w:tc>
        <w:tc>
          <w:tcPr>
            <w:tcW w:w="320" w:type="dxa"/>
            <w:vAlign w:val="bottom"/>
          </w:tcPr>
          <w:p>
            <w:pPr>
              <w:spacing w:after="0"/>
              <w:rPr>
                <w:sz w:val="21"/>
                <w:szCs w:val="21"/>
                <w:color w:val="auto"/>
              </w:rPr>
            </w:pPr>
          </w:p>
        </w:tc>
        <w:tc>
          <w:tcPr>
            <w:tcW w:w="1100" w:type="dxa"/>
            <w:vAlign w:val="bottom"/>
          </w:tcPr>
          <w:p>
            <w:pPr>
              <w:jc w:val="center"/>
              <w:ind w:right="788"/>
              <w:spacing w:after="0"/>
              <w:rPr>
                <w:sz w:val="20"/>
                <w:szCs w:val="20"/>
                <w:color w:val="auto"/>
              </w:rPr>
            </w:pPr>
            <w:r>
              <w:rPr>
                <w:rFonts w:ascii="Courier New" w:cs="Courier New" w:eastAsia="Courier New" w:hAnsi="Courier New"/>
                <w:sz w:val="14"/>
                <w:szCs w:val="14"/>
                <w:color w:val="auto"/>
                <w:w w:val="95"/>
              </w:rPr>
              <w:t>99%</w:t>
            </w:r>
          </w:p>
        </w:tc>
        <w:tc>
          <w:tcPr>
            <w:tcW w:w="0" w:type="dxa"/>
            <w:vAlign w:val="bottom"/>
          </w:tcPr>
          <w:p>
            <w:pPr>
              <w:spacing w:after="0"/>
              <w:rPr>
                <w:sz w:val="1"/>
                <w:szCs w:val="1"/>
                <w:color w:val="auto"/>
              </w:rPr>
            </w:pPr>
          </w:p>
        </w:tc>
      </w:tr>
      <w:tr>
        <w:trPr>
          <w:trHeight w:val="587"/>
        </w:trPr>
        <w:tc>
          <w:tcPr>
            <w:tcW w:w="3620" w:type="dxa"/>
            <w:vAlign w:val="bottom"/>
          </w:tcPr>
          <w:p>
            <w:pPr>
              <w:spacing w:after="0"/>
              <w:rPr>
                <w:sz w:val="20"/>
                <w:szCs w:val="20"/>
                <w:color w:val="auto"/>
              </w:rPr>
            </w:pPr>
            <w:r>
              <w:rPr>
                <w:rFonts w:ascii="Courier New" w:cs="Courier New" w:eastAsia="Courier New" w:hAnsi="Courier New"/>
                <w:sz w:val="14"/>
                <w:szCs w:val="14"/>
                <w:color w:val="auto"/>
              </w:rPr>
              <w:t>Overall Operating Occupancy</w:t>
            </w:r>
          </w:p>
        </w:tc>
        <w:tc>
          <w:tcPr>
            <w:tcW w:w="1480" w:type="dxa"/>
            <w:vAlign w:val="bottom"/>
          </w:tcPr>
          <w:p>
            <w:pPr>
              <w:spacing w:after="0"/>
              <w:rPr>
                <w:sz w:val="24"/>
                <w:szCs w:val="24"/>
                <w:color w:val="auto"/>
              </w:rPr>
            </w:pPr>
          </w:p>
        </w:tc>
        <w:tc>
          <w:tcPr>
            <w:tcW w:w="13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March 31, 1999</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December 31, 1998</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 12 Months)</w:t>
            </w:r>
          </w:p>
        </w:tc>
        <w:tc>
          <w:tcPr>
            <w:tcW w:w="14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1"/>
                <w:szCs w:val="21"/>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5080" w:type="dxa"/>
            <w:vAlign w:val="bottom"/>
            <w:gridSpan w:val="7"/>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62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360" w:type="dxa"/>
            <w:vAlign w:val="bottom"/>
          </w:tcPr>
          <w:p>
            <w:pPr>
              <w:ind w:left="240"/>
              <w:spacing w:after="0"/>
              <w:rPr>
                <w:sz w:val="20"/>
                <w:szCs w:val="20"/>
                <w:color w:val="auto"/>
              </w:rPr>
            </w:pPr>
            <w:r>
              <w:rPr>
                <w:rFonts w:ascii="Courier New" w:cs="Courier New" w:eastAsia="Courier New" w:hAnsi="Courier New"/>
                <w:sz w:val="14"/>
                <w:szCs w:val="14"/>
                <w:color w:val="auto"/>
              </w:rPr>
              <w:t>Leased</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Occupancy</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Size</w:t>
            </w:r>
          </w:p>
        </w:tc>
        <w:tc>
          <w:tcPr>
            <w:tcW w:w="600" w:type="dxa"/>
            <w:vAlign w:val="bottom"/>
          </w:tcPr>
          <w:p>
            <w:pPr>
              <w:spacing w:after="0"/>
              <w:rPr>
                <w:sz w:val="22"/>
                <w:szCs w:val="22"/>
                <w:color w:val="auto"/>
              </w:rPr>
            </w:pPr>
          </w:p>
        </w:tc>
        <w:tc>
          <w:tcPr>
            <w:tcW w:w="1160" w:type="dxa"/>
            <w:vAlign w:val="bottom"/>
            <w:gridSpan w:val="2"/>
          </w:tcPr>
          <w:p>
            <w:pPr>
              <w:jc w:val="center"/>
              <w:ind w:right="208"/>
              <w:spacing w:after="0"/>
              <w:rPr>
                <w:sz w:val="20"/>
                <w:szCs w:val="20"/>
                <w:color w:val="auto"/>
              </w:rPr>
            </w:pPr>
            <w:r>
              <w:rPr>
                <w:rFonts w:ascii="Courier New" w:cs="Courier New" w:eastAsia="Courier New" w:hAnsi="Courier New"/>
                <w:sz w:val="14"/>
                <w:szCs w:val="14"/>
                <w:color w:val="auto"/>
              </w:rPr>
              <w:t>Leased</w:t>
            </w:r>
          </w:p>
        </w:tc>
        <w:tc>
          <w:tcPr>
            <w:tcW w:w="1420" w:type="dxa"/>
            <w:vAlign w:val="bottom"/>
            <w:gridSpan w:val="2"/>
          </w:tcPr>
          <w:p>
            <w:pPr>
              <w:jc w:val="center"/>
              <w:ind w:right="468"/>
              <w:spacing w:after="0"/>
              <w:rPr>
                <w:sz w:val="20"/>
                <w:szCs w:val="20"/>
                <w:color w:val="auto"/>
              </w:rPr>
            </w:pPr>
            <w:r>
              <w:rPr>
                <w:rFonts w:ascii="Courier New" w:cs="Courier New" w:eastAsia="Courier New" w:hAnsi="Courier New"/>
                <w:sz w:val="14"/>
                <w:szCs w:val="14"/>
                <w:color w:val="auto"/>
              </w:rPr>
              <w:t>Occupancy</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14,563,620</w:t>
            </w:r>
          </w:p>
        </w:tc>
        <w:tc>
          <w:tcPr>
            <w:tcW w:w="1360" w:type="dxa"/>
            <w:vAlign w:val="bottom"/>
          </w:tcPr>
          <w:p>
            <w:pPr>
              <w:spacing w:after="0"/>
              <w:rPr>
                <w:sz w:val="20"/>
                <w:szCs w:val="20"/>
                <w:color w:val="auto"/>
              </w:rPr>
            </w:pPr>
            <w:r>
              <w:rPr>
                <w:rFonts w:ascii="Courier New" w:cs="Courier New" w:eastAsia="Courier New" w:hAnsi="Courier New"/>
                <w:sz w:val="14"/>
                <w:szCs w:val="14"/>
                <w:color w:val="auto"/>
              </w:rPr>
              <w:t>13,839,142</w:t>
            </w: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95%</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14,497,898</w:t>
            </w:r>
          </w:p>
        </w:tc>
        <w:tc>
          <w:tcPr>
            <w:tcW w:w="1160" w:type="dxa"/>
            <w:vAlign w:val="bottom"/>
            <w:gridSpan w:val="2"/>
          </w:tcPr>
          <w:p>
            <w:pPr>
              <w:jc w:val="center"/>
              <w:ind w:right="228"/>
              <w:spacing w:after="0"/>
              <w:rPr>
                <w:sz w:val="20"/>
                <w:szCs w:val="20"/>
                <w:color w:val="auto"/>
              </w:rPr>
            </w:pPr>
            <w:r>
              <w:rPr>
                <w:rFonts w:ascii="Courier New" w:cs="Courier New" w:eastAsia="Courier New" w:hAnsi="Courier New"/>
                <w:sz w:val="14"/>
                <w:szCs w:val="14"/>
                <w:color w:val="auto"/>
              </w:rPr>
              <w:t>13,803,336</w:t>
            </w:r>
          </w:p>
        </w:tc>
        <w:tc>
          <w:tcPr>
            <w:tcW w:w="320" w:type="dxa"/>
            <w:vAlign w:val="bottom"/>
          </w:tcPr>
          <w:p>
            <w:pPr>
              <w:spacing w:after="0"/>
              <w:rPr>
                <w:sz w:val="22"/>
                <w:szCs w:val="22"/>
                <w:color w:val="auto"/>
              </w:rPr>
            </w:pPr>
          </w:p>
        </w:tc>
        <w:tc>
          <w:tcPr>
            <w:tcW w:w="1100" w:type="dxa"/>
            <w:vAlign w:val="bottom"/>
          </w:tcPr>
          <w:p>
            <w:pPr>
              <w:jc w:val="center"/>
              <w:ind w:right="788"/>
              <w:spacing w:after="0"/>
              <w:rPr>
                <w:sz w:val="20"/>
                <w:szCs w:val="20"/>
                <w:color w:val="auto"/>
              </w:rPr>
            </w:pPr>
            <w:r>
              <w:rPr>
                <w:rFonts w:ascii="Courier New" w:cs="Courier New" w:eastAsia="Courier New" w:hAnsi="Courier New"/>
                <w:sz w:val="14"/>
                <w:szCs w:val="14"/>
                <w:color w:val="auto"/>
                <w:w w:val="95"/>
              </w:rPr>
              <w:t>95%</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480" w:type="dxa"/>
            <w:vAlign w:val="bottom"/>
          </w:tcPr>
          <w:p>
            <w:pPr>
              <w:ind w:left="600"/>
              <w:spacing w:after="0"/>
              <w:rPr>
                <w:sz w:val="20"/>
                <w:szCs w:val="20"/>
                <w:color w:val="auto"/>
              </w:rPr>
            </w:pPr>
            <w:r>
              <w:rPr>
                <w:rFonts w:ascii="Courier New" w:cs="Courier New" w:eastAsia="Courier New" w:hAnsi="Courier New"/>
                <w:sz w:val="14"/>
                <w:szCs w:val="14"/>
                <w:color w:val="auto"/>
              </w:rPr>
              <w:t>282</w:t>
            </w:r>
          </w:p>
        </w:tc>
        <w:tc>
          <w:tcPr>
            <w:tcW w:w="13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278</w:t>
            </w: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w:t>
            </w: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87"/>
              </w:rPr>
              <w:t>281</w:t>
            </w:r>
          </w:p>
        </w:tc>
        <w:tc>
          <w:tcPr>
            <w:tcW w:w="320" w:type="dxa"/>
            <w:vAlign w:val="bottom"/>
          </w:tcPr>
          <w:p>
            <w:pPr>
              <w:spacing w:after="0"/>
              <w:rPr>
                <w:sz w:val="21"/>
                <w:szCs w:val="21"/>
                <w:color w:val="auto"/>
              </w:rPr>
            </w:pPr>
          </w:p>
        </w:tc>
        <w:tc>
          <w:tcPr>
            <w:tcW w:w="1100" w:type="dxa"/>
            <w:vAlign w:val="bottom"/>
          </w:tcPr>
          <w:p>
            <w:pPr>
              <w:jc w:val="center"/>
              <w:ind w:right="788"/>
              <w:spacing w:after="0"/>
              <w:rPr>
                <w:sz w:val="20"/>
                <w:szCs w:val="20"/>
                <w:color w:val="auto"/>
              </w:rPr>
            </w:pPr>
            <w:r>
              <w:rPr>
                <w:rFonts w:ascii="Courier New" w:cs="Courier New" w:eastAsia="Courier New" w:hAnsi="Courier New"/>
                <w:sz w:val="14"/>
                <w:szCs w:val="14"/>
                <w:color w:val="auto"/>
                <w:w w:val="95"/>
              </w:rPr>
              <w:t>99%</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Same Center</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560" w:type="dxa"/>
            <w:vAlign w:val="bottom"/>
          </w:tcPr>
          <w:p>
            <w:pPr>
              <w:spacing w:after="0"/>
              <w:rPr>
                <w:sz w:val="14"/>
                <w:szCs w:val="14"/>
                <w:color w:val="auto"/>
              </w:rPr>
            </w:pPr>
          </w:p>
        </w:tc>
        <w:tc>
          <w:tcPr>
            <w:tcW w:w="2660" w:type="dxa"/>
            <w:vAlign w:val="bottom"/>
            <w:gridSpan w:val="3"/>
            <w:vMerge w:val="restart"/>
          </w:tcPr>
          <w:p>
            <w:pPr>
              <w:jc w:val="right"/>
              <w:ind w:right="1048"/>
              <w:spacing w:after="0"/>
              <w:rPr>
                <w:sz w:val="20"/>
                <w:szCs w:val="20"/>
                <w:color w:val="auto"/>
              </w:rPr>
            </w:pPr>
            <w:r>
              <w:rPr>
                <w:rFonts w:ascii="Courier New" w:cs="Courier New" w:eastAsia="Courier New" w:hAnsi="Courier New"/>
                <w:sz w:val="14"/>
                <w:szCs w:val="14"/>
                <w:color w:val="auto"/>
              </w:rPr>
              <w:t>September 30, 1999</w:t>
            </w:r>
          </w:p>
        </w:tc>
        <w:tc>
          <w:tcPr>
            <w:tcW w:w="3620" w:type="dxa"/>
            <w:vAlign w:val="bottom"/>
            <w:gridSpan w:val="3"/>
            <w:vMerge w:val="restart"/>
          </w:tcPr>
          <w:p>
            <w:pPr>
              <w:jc w:val="center"/>
              <w:ind w:right="88"/>
              <w:spacing w:after="0"/>
              <w:rPr>
                <w:sz w:val="20"/>
                <w:szCs w:val="20"/>
                <w:color w:val="auto"/>
              </w:rPr>
            </w:pPr>
            <w:r>
              <w:rPr>
                <w:rFonts w:ascii="Courier New" w:cs="Courier New" w:eastAsia="Courier New" w:hAnsi="Courier New"/>
                <w:sz w:val="14"/>
                <w:szCs w:val="14"/>
                <w:color w:val="auto"/>
              </w:rPr>
              <w:t>September 30, 1998</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(Quarter to</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Quarter Comparison)</w:t>
            </w:r>
          </w:p>
        </w:tc>
        <w:tc>
          <w:tcPr>
            <w:tcW w:w="1560" w:type="dxa"/>
            <w:vAlign w:val="bottom"/>
            <w:vMerge w:val="restart"/>
          </w:tcPr>
          <w:p>
            <w:pPr>
              <w:jc w:val="center"/>
              <w:ind w:left="268"/>
              <w:spacing w:after="0"/>
              <w:rPr>
                <w:sz w:val="20"/>
                <w:szCs w:val="20"/>
                <w:color w:val="auto"/>
              </w:rPr>
            </w:pPr>
            <w:r>
              <w:rPr>
                <w:rFonts w:ascii="Courier New" w:cs="Courier New" w:eastAsia="Courier New" w:hAnsi="Courier New"/>
                <w:sz w:val="14"/>
                <w:szCs w:val="14"/>
                <w:color w:val="auto"/>
              </w:rPr>
              <w:t>Size</w:t>
            </w:r>
          </w:p>
        </w:tc>
        <w:tc>
          <w:tcPr>
            <w:tcW w:w="2660" w:type="dxa"/>
            <w:vAlign w:val="bottom"/>
            <w:gridSpan w:val="3"/>
            <w:vMerge w:val="continue"/>
          </w:tcPr>
          <w:p>
            <w:pPr>
              <w:spacing w:after="0"/>
              <w:rPr>
                <w:sz w:val="14"/>
                <w:szCs w:val="14"/>
                <w:color w:val="auto"/>
              </w:rPr>
            </w:pPr>
          </w:p>
        </w:tc>
        <w:tc>
          <w:tcPr>
            <w:tcW w:w="3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2580" w:type="dxa"/>
            <w:vAlign w:val="bottom"/>
          </w:tcPr>
          <w:p>
            <w:pPr>
              <w:ind w:left="340"/>
              <w:spacing w:after="0"/>
              <w:rPr>
                <w:sz w:val="20"/>
                <w:szCs w:val="20"/>
                <w:color w:val="auto"/>
              </w:rPr>
            </w:pPr>
            <w:r>
              <w:rPr>
                <w:rFonts w:ascii="Courier New" w:cs="Courier New" w:eastAsia="Courier New" w:hAnsi="Courier New"/>
                <w:sz w:val="14"/>
                <w:szCs w:val="14"/>
                <w:color w:val="auto"/>
              </w:rPr>
              <w:t>Type</w:t>
            </w:r>
          </w:p>
        </w:tc>
        <w:tc>
          <w:tcPr>
            <w:tcW w:w="1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9"/>
              </w:rPr>
              <w:t>Leased</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c>
          <w:tcPr>
            <w:tcW w:w="0" w:type="dxa"/>
            <w:vAlign w:val="bottom"/>
          </w:tcPr>
          <w:p>
            <w:pPr>
              <w:spacing w:after="0"/>
              <w:rPr>
                <w:sz w:val="1"/>
                <w:szCs w:val="1"/>
                <w:color w:val="auto"/>
              </w:rPr>
            </w:pPr>
          </w:p>
        </w:tc>
      </w:tr>
      <w:tr>
        <w:trPr>
          <w:trHeight w:val="242"/>
        </w:trPr>
        <w:tc>
          <w:tcPr>
            <w:tcW w:w="3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1"/>
                <w:szCs w:val="21"/>
                <w:color w:val="auto"/>
              </w:rPr>
            </w:pPr>
          </w:p>
        </w:tc>
        <w:tc>
          <w:tcPr>
            <w:tcW w:w="38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14,304,720</w:t>
            </w:r>
          </w:p>
        </w:tc>
        <w:tc>
          <w:tcPr>
            <w:tcW w:w="80" w:type="dxa"/>
            <w:vAlign w:val="bottom"/>
          </w:tcPr>
          <w:p>
            <w:pPr>
              <w:spacing w:after="0"/>
              <w:rPr>
                <w:sz w:val="22"/>
                <w:szCs w:val="22"/>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13,613,931</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95.2%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14,078,641</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13,412,232</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95.3%</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Apartments (# of units)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80" w:type="dxa"/>
            <w:vAlign w:val="bottom"/>
          </w:tcPr>
          <w:p>
            <w:pPr>
              <w:spacing w:after="0"/>
              <w:rPr>
                <w:sz w:val="21"/>
                <w:szCs w:val="21"/>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752"/>
        </w:trPr>
        <w:tc>
          <w:tcPr>
            <w:tcW w:w="1040" w:type="dxa"/>
            <w:vAlign w:val="bottom"/>
          </w:tcPr>
          <w:p>
            <w:pPr>
              <w:spacing w:after="0"/>
              <w:rPr>
                <w:sz w:val="20"/>
                <w:szCs w:val="20"/>
                <w:color w:val="auto"/>
              </w:rPr>
            </w:pPr>
            <w:r>
              <w:rPr>
                <w:rFonts w:ascii="Courier New" w:cs="Courier New" w:eastAsia="Courier New" w:hAnsi="Courier New"/>
                <w:sz w:val="14"/>
                <w:szCs w:val="14"/>
                <w:color w:val="auto"/>
              </w:rPr>
              <w:t>Same Center</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560" w:type="dxa"/>
            <w:vAlign w:val="bottom"/>
          </w:tcPr>
          <w:p>
            <w:pPr>
              <w:spacing w:after="0"/>
              <w:rPr>
                <w:sz w:val="24"/>
                <w:szCs w:val="24"/>
                <w:color w:val="auto"/>
              </w:rPr>
            </w:pPr>
          </w:p>
        </w:tc>
        <w:tc>
          <w:tcPr>
            <w:tcW w:w="2660" w:type="dxa"/>
            <w:vAlign w:val="bottom"/>
            <w:gridSpan w:val="3"/>
            <w:vMerge w:val="restart"/>
          </w:tcPr>
          <w:p>
            <w:pPr>
              <w:jc w:val="right"/>
              <w:ind w:right="1048"/>
              <w:spacing w:after="0"/>
              <w:rPr>
                <w:sz w:val="20"/>
                <w:szCs w:val="20"/>
                <w:color w:val="auto"/>
              </w:rPr>
            </w:pPr>
            <w:r>
              <w:rPr>
                <w:rFonts w:ascii="Courier New" w:cs="Courier New" w:eastAsia="Courier New" w:hAnsi="Courier New"/>
                <w:sz w:val="14"/>
                <w:szCs w:val="14"/>
                <w:color w:val="auto"/>
              </w:rPr>
              <w:t>September 30, 1999</w:t>
            </w:r>
          </w:p>
        </w:tc>
        <w:tc>
          <w:tcPr>
            <w:tcW w:w="1300" w:type="dxa"/>
            <w:vAlign w:val="bottom"/>
          </w:tcPr>
          <w:p>
            <w:pPr>
              <w:spacing w:after="0"/>
              <w:rPr>
                <w:sz w:val="24"/>
                <w:szCs w:val="24"/>
                <w:color w:val="auto"/>
              </w:rPr>
            </w:pPr>
          </w:p>
        </w:tc>
        <w:tc>
          <w:tcPr>
            <w:tcW w:w="112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June 30, 1999</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(Rolling 12</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156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784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040" w:type="dxa"/>
            <w:vAlign w:val="bottom"/>
          </w:tcPr>
          <w:p>
            <w:pPr>
              <w:spacing w:after="0"/>
              <w:rPr>
                <w:sz w:val="22"/>
                <w:szCs w:val="22"/>
                <w:color w:val="auto"/>
              </w:rPr>
            </w:pPr>
          </w:p>
        </w:tc>
        <w:tc>
          <w:tcPr>
            <w:tcW w:w="2580" w:type="dxa"/>
            <w:vAlign w:val="bottom"/>
          </w:tcPr>
          <w:p>
            <w:pPr>
              <w:ind w:left="340"/>
              <w:spacing w:after="0"/>
              <w:rPr>
                <w:sz w:val="20"/>
                <w:szCs w:val="20"/>
                <w:color w:val="auto"/>
              </w:rPr>
            </w:pPr>
            <w:r>
              <w:rPr>
                <w:rFonts w:ascii="Courier New" w:cs="Courier New" w:eastAsia="Courier New" w:hAnsi="Courier New"/>
                <w:sz w:val="14"/>
                <w:szCs w:val="14"/>
                <w:color w:val="auto"/>
              </w:rPr>
              <w:t>Type</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Size</w:t>
            </w:r>
          </w:p>
        </w:tc>
        <w:tc>
          <w:tcPr>
            <w:tcW w:w="80" w:type="dxa"/>
            <w:vAlign w:val="bottom"/>
          </w:tcPr>
          <w:p>
            <w:pPr>
              <w:spacing w:after="0"/>
              <w:rPr>
                <w:sz w:val="22"/>
                <w:szCs w:val="22"/>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Leased</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Occupancy</w:t>
            </w:r>
          </w:p>
        </w:tc>
        <w:tc>
          <w:tcPr>
            <w:tcW w:w="0" w:type="dxa"/>
            <w:vAlign w:val="bottom"/>
          </w:tcPr>
          <w:p>
            <w:pPr>
              <w:spacing w:after="0"/>
              <w:rPr>
                <w:sz w:val="1"/>
                <w:szCs w:val="1"/>
                <w:color w:val="auto"/>
              </w:rPr>
            </w:pPr>
          </w:p>
        </w:tc>
      </w:tr>
      <w:tr>
        <w:trPr>
          <w:trHeight w:val="242"/>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0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r>
        <w:trPr>
          <w:trHeight w:val="255"/>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5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14,304,720</w:t>
            </w:r>
          </w:p>
        </w:tc>
        <w:tc>
          <w:tcPr>
            <w:tcW w:w="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13,613,931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13,622,710</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12,891,283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94.6%</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Apartments (# of units)</w:t>
            </w:r>
          </w:p>
        </w:tc>
        <w:tc>
          <w:tcPr>
            <w:tcW w:w="156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282</w:t>
            </w:r>
          </w:p>
        </w:tc>
        <w:tc>
          <w:tcPr>
            <w:tcW w:w="80" w:type="dxa"/>
            <w:vAlign w:val="bottom"/>
          </w:tcPr>
          <w:p>
            <w:pPr>
              <w:spacing w:after="0"/>
              <w:rPr>
                <w:sz w:val="21"/>
                <w:szCs w:val="21"/>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0" w:type="dxa"/>
            <w:vAlign w:val="bottom"/>
          </w:tcPr>
          <w:p>
            <w:pPr>
              <w:spacing w:after="0"/>
              <w:rPr>
                <w:sz w:val="1"/>
                <w:szCs w:val="1"/>
                <w:color w:val="auto"/>
              </w:rPr>
            </w:pPr>
          </w:p>
        </w:tc>
      </w:tr>
      <w:tr>
        <w:trPr>
          <w:trHeight w:val="587"/>
        </w:trPr>
        <w:tc>
          <w:tcPr>
            <w:tcW w:w="1040" w:type="dxa"/>
            <w:vAlign w:val="bottom"/>
          </w:tcPr>
          <w:p>
            <w:pPr>
              <w:spacing w:after="0"/>
              <w:rPr>
                <w:sz w:val="20"/>
                <w:szCs w:val="20"/>
                <w:color w:val="auto"/>
              </w:rPr>
            </w:pPr>
            <w:r>
              <w:rPr>
                <w:rFonts w:ascii="Courier New" w:cs="Courier New" w:eastAsia="Courier New" w:hAnsi="Courier New"/>
                <w:sz w:val="14"/>
                <w:szCs w:val="14"/>
                <w:color w:val="auto"/>
              </w:rPr>
              <w:t>Same Center</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March 31, 1999</w:t>
            </w:r>
          </w:p>
        </w:tc>
        <w:tc>
          <w:tcPr>
            <w:tcW w:w="1380" w:type="dxa"/>
            <w:vAlign w:val="bottom"/>
          </w:tcPr>
          <w:p>
            <w:pPr>
              <w:spacing w:after="0"/>
              <w:rPr>
                <w:sz w:val="24"/>
                <w:szCs w:val="24"/>
                <w:color w:val="auto"/>
              </w:rPr>
            </w:pPr>
          </w:p>
        </w:tc>
        <w:tc>
          <w:tcPr>
            <w:tcW w:w="3620" w:type="dxa"/>
            <w:vAlign w:val="bottom"/>
            <w:gridSpan w:val="3"/>
            <w:vMerge w:val="restart"/>
          </w:tcPr>
          <w:p>
            <w:pPr>
              <w:jc w:val="center"/>
              <w:ind w:left="28"/>
              <w:spacing w:after="0"/>
              <w:rPr>
                <w:sz w:val="20"/>
                <w:szCs w:val="20"/>
                <w:color w:val="auto"/>
              </w:rPr>
            </w:pPr>
            <w:r>
              <w:rPr>
                <w:rFonts w:ascii="Courier New" w:cs="Courier New" w:eastAsia="Courier New" w:hAnsi="Courier New"/>
                <w:sz w:val="14"/>
                <w:szCs w:val="14"/>
                <w:color w:val="auto"/>
              </w:rPr>
              <w:t>December 31, 1998</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(Rolling 12</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3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7840" w:type="dxa"/>
            <w:vAlign w:val="bottom"/>
            <w:gridSpan w:val="7"/>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040" w:type="dxa"/>
            <w:vAlign w:val="bottom"/>
          </w:tcPr>
          <w:p>
            <w:pPr>
              <w:spacing w:after="0"/>
              <w:rPr>
                <w:sz w:val="22"/>
                <w:szCs w:val="22"/>
                <w:color w:val="auto"/>
              </w:rPr>
            </w:pPr>
          </w:p>
        </w:tc>
        <w:tc>
          <w:tcPr>
            <w:tcW w:w="2580" w:type="dxa"/>
            <w:vAlign w:val="bottom"/>
          </w:tcPr>
          <w:p>
            <w:pPr>
              <w:ind w:left="340"/>
              <w:spacing w:after="0"/>
              <w:rPr>
                <w:sz w:val="20"/>
                <w:szCs w:val="20"/>
                <w:color w:val="auto"/>
              </w:rPr>
            </w:pPr>
            <w:r>
              <w:rPr>
                <w:rFonts w:ascii="Courier New" w:cs="Courier New" w:eastAsia="Courier New" w:hAnsi="Courier New"/>
                <w:sz w:val="14"/>
                <w:szCs w:val="14"/>
                <w:color w:val="auto"/>
              </w:rPr>
              <w:t>Type</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Size</w:t>
            </w:r>
          </w:p>
        </w:tc>
        <w:tc>
          <w:tcPr>
            <w:tcW w:w="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Leased</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c>
          <w:tcPr>
            <w:tcW w:w="0" w:type="dxa"/>
            <w:vAlign w:val="bottom"/>
          </w:tcPr>
          <w:p>
            <w:pPr>
              <w:spacing w:after="0"/>
              <w:rPr>
                <w:sz w:val="1"/>
                <w:szCs w:val="1"/>
                <w:color w:val="auto"/>
              </w:rPr>
            </w:pPr>
          </w:p>
        </w:tc>
      </w:tr>
      <w:tr>
        <w:trPr>
          <w:trHeight w:val="242"/>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13,091,729</w:t>
            </w:r>
          </w:p>
        </w:tc>
        <w:tc>
          <w:tcPr>
            <w:tcW w:w="8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12,404,610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13,102,582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12,451,743</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95%</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Apartments (# of units)</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282</w:t>
            </w:r>
          </w:p>
        </w:tc>
        <w:tc>
          <w:tcPr>
            <w:tcW w:w="80" w:type="dxa"/>
            <w:vAlign w:val="bottom"/>
          </w:tcPr>
          <w:p>
            <w:pPr>
              <w:spacing w:after="0"/>
              <w:rPr>
                <w:sz w:val="21"/>
                <w:szCs w:val="21"/>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278</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281</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99%</w:t>
            </w:r>
          </w:p>
        </w:tc>
        <w:tc>
          <w:tcPr>
            <w:tcW w:w="0" w:type="dxa"/>
            <w:vAlign w:val="bottom"/>
          </w:tcPr>
          <w:p>
            <w:pPr>
              <w:spacing w:after="0"/>
              <w:rPr>
                <w:sz w:val="1"/>
                <w:szCs w:val="1"/>
                <w:color w:val="auto"/>
              </w:rPr>
            </w:pPr>
          </w:p>
        </w:tc>
      </w:tr>
    </w:tbl>
    <w:p>
      <w:pPr>
        <w:sectPr>
          <w:pgSz w:w="11900" w:h="16838" w:orient="portrait"/>
          <w:cols w:equalWidth="0" w:num="1">
            <w:col w:w="11540"/>
          </w:cols>
          <w:pgMar w:left="220" w:top="590"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060" w:type="dxa"/>
            <w:vAlign w:val="bottom"/>
          </w:tcPr>
          <w:p>
            <w:pPr>
              <w:spacing w:after="0"/>
              <w:rPr>
                <w:sz w:val="21"/>
                <w:szCs w:val="21"/>
                <w:color w:val="auto"/>
              </w:rPr>
            </w:pPr>
          </w:p>
        </w:tc>
        <w:tc>
          <w:tcPr>
            <w:tcW w:w="2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Total Square</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Occupancy</w:t>
            </w:r>
          </w:p>
        </w:tc>
      </w:tr>
      <w:tr>
        <w:trPr>
          <w:trHeight w:val="255"/>
        </w:trPr>
        <w:tc>
          <w:tcPr>
            <w:tcW w:w="3060" w:type="dxa"/>
            <w:vAlign w:val="bottom"/>
          </w:tcPr>
          <w:p>
            <w:pPr>
              <w:ind w:left="1040"/>
              <w:spacing w:after="0"/>
              <w:rPr>
                <w:sz w:val="20"/>
                <w:szCs w:val="20"/>
                <w:color w:val="auto"/>
              </w:rPr>
            </w:pPr>
            <w:r>
              <w:rPr>
                <w:rFonts w:ascii="Courier New" w:cs="Courier New" w:eastAsia="Courier New" w:hAnsi="Courier New"/>
                <w:sz w:val="14"/>
                <w:szCs w:val="14"/>
                <w:color w:val="auto"/>
              </w:rPr>
              <w:t>Region</w:t>
            </w:r>
          </w:p>
        </w:tc>
        <w:tc>
          <w:tcPr>
            <w:tcW w:w="22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Footage</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09/30/99</w:t>
            </w:r>
          </w:p>
        </w:tc>
      </w:tr>
      <w:tr>
        <w:trPr>
          <w:trHeight w:val="242"/>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6,052,089</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96.0%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5,688,578</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96.6%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988,206</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94.2%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635,890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74.6%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944,331</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96.2%</w:t>
            </w:r>
          </w:p>
        </w:tc>
      </w:tr>
      <w:tr>
        <w:trPr>
          <w:trHeight w:val="242"/>
        </w:trPr>
        <w:tc>
          <w:tcPr>
            <w:tcW w:w="3060" w:type="dxa"/>
            <w:vAlign w:val="bottom"/>
          </w:tcPr>
          <w:p>
            <w:pPr>
              <w:spacing w:after="0"/>
              <w:rPr>
                <w:sz w:val="20"/>
                <w:szCs w:val="20"/>
                <w:color w:val="auto"/>
              </w:rPr>
            </w:pPr>
            <w:r>
              <w:rPr>
                <w:rFonts w:ascii="Courier New" w:cs="Courier New" w:eastAsia="Courier New" w:hAnsi="Courier New"/>
                <w:sz w:val="14"/>
                <w:szCs w:val="14"/>
                <w:color w:val="auto"/>
              </w:rPr>
              <w:t>Southwest</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39,532</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100.0%</w:t>
            </w: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60" w:type="dxa"/>
            <w:vAlign w:val="bottom"/>
            <w:vMerge w:val="restart"/>
          </w:tcPr>
          <w:p>
            <w:pPr>
              <w:ind w:left="1040"/>
              <w:spacing w:after="0"/>
              <w:rPr>
                <w:sz w:val="20"/>
                <w:szCs w:val="20"/>
                <w:color w:val="auto"/>
              </w:rPr>
            </w:pPr>
            <w:r>
              <w:rPr>
                <w:rFonts w:ascii="Courier New" w:cs="Courier New" w:eastAsia="Courier New" w:hAnsi="Courier New"/>
                <w:sz w:val="14"/>
                <w:szCs w:val="14"/>
                <w:color w:val="auto"/>
              </w:rPr>
              <w:t>Region</w:t>
            </w:r>
          </w:p>
        </w:tc>
        <w:tc>
          <w:tcPr>
            <w:tcW w:w="2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Total Square</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Occupancy</w:t>
            </w:r>
          </w:p>
        </w:tc>
        <w:tc>
          <w:tcPr>
            <w:tcW w:w="0" w:type="dxa"/>
            <w:vAlign w:val="bottom"/>
          </w:tcPr>
          <w:p>
            <w:pPr>
              <w:spacing w:after="0"/>
              <w:rPr>
                <w:sz w:val="1"/>
                <w:szCs w:val="1"/>
                <w:color w:val="auto"/>
              </w:rPr>
            </w:pPr>
          </w:p>
        </w:tc>
      </w:tr>
      <w:tr>
        <w:trPr>
          <w:trHeight w:val="166"/>
        </w:trPr>
        <w:tc>
          <w:tcPr>
            <w:tcW w:w="3060" w:type="dxa"/>
            <w:vAlign w:val="bottom"/>
            <w:vMerge w:val="continue"/>
          </w:tcPr>
          <w:p>
            <w:pPr>
              <w:spacing w:after="0"/>
              <w:rPr>
                <w:sz w:val="14"/>
                <w:szCs w:val="14"/>
                <w:color w:val="auto"/>
              </w:rPr>
            </w:pPr>
          </w:p>
        </w:tc>
        <w:tc>
          <w:tcPr>
            <w:tcW w:w="22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Footage</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09/30/99</w:t>
            </w:r>
          </w:p>
        </w:tc>
        <w:tc>
          <w:tcPr>
            <w:tcW w:w="0" w:type="dxa"/>
            <w:vAlign w:val="bottom"/>
          </w:tcPr>
          <w:p>
            <w:pPr>
              <w:spacing w:after="0"/>
              <w:rPr>
                <w:sz w:val="1"/>
                <w:szCs w:val="1"/>
                <w:color w:val="auto"/>
              </w:rPr>
            </w:pPr>
          </w:p>
        </w:tc>
      </w:tr>
      <w:tr>
        <w:trPr>
          <w:trHeight w:val="242"/>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6,052,089</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96.0%</w:t>
            </w:r>
          </w:p>
        </w:tc>
        <w:tc>
          <w:tcPr>
            <w:tcW w:w="0" w:type="dxa"/>
            <w:vAlign w:val="bottom"/>
          </w:tcPr>
          <w:p>
            <w:pPr>
              <w:spacing w:after="0"/>
              <w:rPr>
                <w:sz w:val="1"/>
                <w:szCs w:val="1"/>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3,450,429</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98.3%</w:t>
            </w:r>
          </w:p>
        </w:tc>
        <w:tc>
          <w:tcPr>
            <w:tcW w:w="0" w:type="dxa"/>
            <w:vAlign w:val="bottom"/>
          </w:tcPr>
          <w:p>
            <w:pPr>
              <w:spacing w:after="0"/>
              <w:rPr>
                <w:sz w:val="1"/>
                <w:szCs w:val="1"/>
                <w:color w:val="auto"/>
              </w:rPr>
            </w:pPr>
          </w:p>
        </w:tc>
      </w:tr>
      <w:tr>
        <w:trPr>
          <w:trHeight w:val="242"/>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2,601,660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92.9%</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5,688,578</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96.6%</w:t>
            </w:r>
          </w:p>
        </w:tc>
        <w:tc>
          <w:tcPr>
            <w:tcW w:w="0" w:type="dxa"/>
            <w:vAlign w:val="bottom"/>
          </w:tcPr>
          <w:p>
            <w:pPr>
              <w:spacing w:after="0"/>
              <w:rPr>
                <w:sz w:val="1"/>
                <w:szCs w:val="1"/>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2,772,082</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242"/>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2,916,496</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93.4%</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988,206</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94.2%</w:t>
            </w:r>
          </w:p>
        </w:tc>
        <w:tc>
          <w:tcPr>
            <w:tcW w:w="0" w:type="dxa"/>
            <w:vAlign w:val="bottom"/>
          </w:tcPr>
          <w:p>
            <w:pPr>
              <w:spacing w:after="0"/>
              <w:rPr>
                <w:sz w:val="1"/>
                <w:szCs w:val="1"/>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585,978</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97.7%</w:t>
            </w:r>
          </w:p>
        </w:tc>
        <w:tc>
          <w:tcPr>
            <w:tcW w:w="0" w:type="dxa"/>
            <w:vAlign w:val="bottom"/>
          </w:tcPr>
          <w:p>
            <w:pPr>
              <w:spacing w:after="0"/>
              <w:rPr>
                <w:sz w:val="1"/>
                <w:szCs w:val="1"/>
                <w:color w:val="auto"/>
              </w:rPr>
            </w:pPr>
          </w:p>
        </w:tc>
      </w:tr>
      <w:tr>
        <w:trPr>
          <w:trHeight w:val="242"/>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402,228</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89.0%</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635,890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74.6%</w:t>
            </w:r>
          </w:p>
        </w:tc>
        <w:tc>
          <w:tcPr>
            <w:tcW w:w="0" w:type="dxa"/>
            <w:vAlign w:val="bottom"/>
          </w:tcPr>
          <w:p>
            <w:pPr>
              <w:spacing w:after="0"/>
              <w:rPr>
                <w:sz w:val="1"/>
                <w:szCs w:val="1"/>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304,894</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67.6%</w:t>
            </w:r>
          </w:p>
        </w:tc>
        <w:tc>
          <w:tcPr>
            <w:tcW w:w="0" w:type="dxa"/>
            <w:vAlign w:val="bottom"/>
          </w:tcPr>
          <w:p>
            <w:pPr>
              <w:spacing w:after="0"/>
              <w:rPr>
                <w:sz w:val="1"/>
                <w:szCs w:val="1"/>
                <w:color w:val="auto"/>
              </w:rPr>
            </w:pPr>
          </w:p>
        </w:tc>
      </w:tr>
      <w:tr>
        <w:trPr>
          <w:trHeight w:val="242"/>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330,996</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81.1%</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944,331</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96.2%</w:t>
            </w:r>
          </w:p>
        </w:tc>
        <w:tc>
          <w:tcPr>
            <w:tcW w:w="0" w:type="dxa"/>
            <w:vAlign w:val="bottom"/>
          </w:tcPr>
          <w:p>
            <w:pPr>
              <w:spacing w:after="0"/>
              <w:rPr>
                <w:sz w:val="1"/>
                <w:szCs w:val="1"/>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192,292</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242"/>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752,039</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95.2%</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Courier New" w:cs="Courier New" w:eastAsia="Courier New" w:hAnsi="Courier New"/>
                <w:sz w:val="14"/>
                <w:szCs w:val="14"/>
                <w:color w:val="auto"/>
              </w:rPr>
              <w:t>Southwest</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39,532</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166"/>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42"/>
        </w:trPr>
        <w:tc>
          <w:tcPr>
            <w:tcW w:w="30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39,532</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bl>
    <w:p>
      <w:pPr>
        <w:sectPr>
          <w:pgSz w:w="11900" w:h="16838" w:orient="portrait"/>
          <w:cols w:equalWidth="0" w:num="1">
            <w:col w:w="10239"/>
          </w:cols>
          <w:pgMar w:left="220" w:top="92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1999</w:t>
      </w:r>
    </w:p>
    <w:p>
      <w:pPr>
        <w:spacing w:after="0" w:line="200" w:lineRule="exact"/>
        <w:rPr>
          <w:sz w:val="20"/>
          <w:szCs w:val="20"/>
          <w:color w:val="auto"/>
        </w:rPr>
      </w:pPr>
    </w:p>
    <w:p>
      <w:pPr>
        <w:spacing w:after="0" w:line="278"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w:t>
      </w:r>
    </w:p>
    <w:tbl>
      <w:tblPr>
        <w:tblLayout w:type="fixed"/>
        <w:tblInd w:w="100" w:type="dxa"/>
        <w:tblCellMar>
          <w:top w:w="0" w:type="dxa"/>
          <w:left w:w="0" w:type="dxa"/>
          <w:bottom w:w="0" w:type="dxa"/>
          <w:right w:w="0" w:type="dxa"/>
        </w:tblCellMar>
      </w:tblPr>
      <w:tr>
        <w:trPr>
          <w:trHeight w:val="147"/>
        </w:trPr>
        <w:tc>
          <w:tcPr>
            <w:tcW w:w="1940" w:type="dxa"/>
            <w:vAlign w:val="bottom"/>
          </w:tcPr>
          <w:p>
            <w:pPr>
              <w:spacing w:after="0"/>
              <w:rPr>
                <w:sz w:val="12"/>
                <w:szCs w:val="12"/>
                <w:color w:val="auto"/>
              </w:rPr>
            </w:pPr>
          </w:p>
        </w:tc>
        <w:tc>
          <w:tcPr>
            <w:tcW w:w="1800" w:type="dxa"/>
            <w:vAlign w:val="bottom"/>
            <w:vMerge w:val="restart"/>
          </w:tcPr>
          <w:p>
            <w:pPr>
              <w:jc w:val="center"/>
              <w:ind w:left="188"/>
              <w:spacing w:after="0"/>
              <w:rPr>
                <w:sz w:val="20"/>
                <w:szCs w:val="20"/>
                <w:color w:val="auto"/>
              </w:rPr>
            </w:pPr>
            <w:r>
              <w:rPr>
                <w:rFonts w:ascii="Courier New" w:cs="Courier New" w:eastAsia="Courier New" w:hAnsi="Courier New"/>
                <w:sz w:val="14"/>
                <w:szCs w:val="14"/>
                <w:color w:val="auto"/>
              </w:rPr>
              <w:t>Number of</w:t>
            </w:r>
          </w:p>
        </w:tc>
        <w:tc>
          <w:tcPr>
            <w:tcW w:w="10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Square</w:t>
            </w:r>
          </w:p>
        </w:tc>
        <w:tc>
          <w:tcPr>
            <w:tcW w:w="1620" w:type="dxa"/>
            <w:vAlign w:val="bottom"/>
          </w:tcPr>
          <w:p>
            <w:pPr>
              <w:jc w:val="right"/>
              <w:ind w:right="348"/>
              <w:spacing w:after="0" w:line="147" w:lineRule="exact"/>
              <w:rPr>
                <w:sz w:val="20"/>
                <w:szCs w:val="20"/>
                <w:color w:val="auto"/>
              </w:rPr>
            </w:pPr>
            <w:r>
              <w:rPr>
                <w:rFonts w:ascii="Courier New" w:cs="Courier New" w:eastAsia="Courier New" w:hAnsi="Courier New"/>
                <w:sz w:val="14"/>
                <w:szCs w:val="14"/>
                <w:color w:val="auto"/>
              </w:rPr>
              <w:t>Weighted</w:t>
            </w:r>
          </w:p>
        </w:tc>
        <w:tc>
          <w:tcPr>
            <w:tcW w:w="92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Average</w:t>
            </w:r>
          </w:p>
        </w:tc>
        <w:tc>
          <w:tcPr>
            <w:tcW w:w="68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Prior</w:t>
            </w:r>
          </w:p>
        </w:tc>
        <w:tc>
          <w:tcPr>
            <w:tcW w:w="86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Average</w:t>
            </w:r>
          </w:p>
        </w:tc>
        <w:tc>
          <w:tcPr>
            <w:tcW w:w="82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Current</w:t>
            </w:r>
          </w:p>
        </w:tc>
        <w:tc>
          <w:tcPr>
            <w:tcW w:w="1560" w:type="dxa"/>
            <w:vAlign w:val="bottom"/>
            <w:vMerge w:val="restart"/>
          </w:tcPr>
          <w:p>
            <w:pPr>
              <w:jc w:val="center"/>
              <w:ind w:left="108"/>
              <w:spacing w:after="0"/>
              <w:rPr>
                <w:sz w:val="20"/>
                <w:szCs w:val="20"/>
                <w:color w:val="auto"/>
              </w:rPr>
            </w:pPr>
            <w:r>
              <w:rPr>
                <w:rFonts w:ascii="Courier New" w:cs="Courier New" w:eastAsia="Courier New" w:hAnsi="Courier New"/>
                <w:sz w:val="14"/>
                <w:szCs w:val="14"/>
                <w:color w:val="auto"/>
              </w:rPr>
              <w:t>Annualized</w:t>
            </w:r>
          </w:p>
        </w:tc>
        <w:tc>
          <w:tcPr>
            <w:tcW w:w="0" w:type="dxa"/>
            <w:vAlign w:val="bottom"/>
          </w:tcPr>
          <w:p>
            <w:pPr>
              <w:spacing w:after="0"/>
              <w:rPr>
                <w:sz w:val="1"/>
                <w:szCs w:val="1"/>
                <w:color w:val="auto"/>
              </w:rPr>
            </w:pPr>
          </w:p>
        </w:tc>
      </w:tr>
      <w:tr>
        <w:trPr>
          <w:trHeight w:val="166"/>
        </w:trPr>
        <w:tc>
          <w:tcPr>
            <w:tcW w:w="1940" w:type="dxa"/>
            <w:vAlign w:val="bottom"/>
            <w:vMerge w:val="restart"/>
          </w:tcPr>
          <w:p>
            <w:pPr>
              <w:spacing w:after="0"/>
              <w:rPr>
                <w:sz w:val="20"/>
                <w:szCs w:val="20"/>
                <w:color w:val="auto"/>
              </w:rPr>
            </w:pPr>
            <w:r>
              <w:rPr>
                <w:rFonts w:ascii="Courier New" w:cs="Courier New" w:eastAsia="Courier New" w:hAnsi="Courier New"/>
                <w:sz w:val="14"/>
                <w:szCs w:val="14"/>
                <w:color w:val="auto"/>
              </w:rPr>
              <w:t>Rolling 12 Months</w:t>
            </w:r>
          </w:p>
        </w:tc>
        <w:tc>
          <w:tcPr>
            <w:tcW w:w="1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Average Lease</w:t>
            </w:r>
          </w:p>
        </w:tc>
        <w:tc>
          <w:tcPr>
            <w:tcW w:w="1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Rent Per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Rent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40" w:type="dxa"/>
            <w:vAlign w:val="bottom"/>
            <w:vMerge w:val="continue"/>
          </w:tcPr>
          <w:p>
            <w:pPr>
              <w:spacing w:after="0"/>
              <w:rPr>
                <w:sz w:val="16"/>
                <w:szCs w:val="16"/>
                <w:color w:val="auto"/>
              </w:rPr>
            </w:pPr>
          </w:p>
        </w:tc>
        <w:tc>
          <w:tcPr>
            <w:tcW w:w="180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Leases Signed</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Feet</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Term (Years)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Square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Foot</w:t>
            </w:r>
          </w:p>
        </w:tc>
        <w:tc>
          <w:tcPr>
            <w:tcW w:w="16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Square Foot</w:t>
            </w:r>
          </w:p>
        </w:tc>
        <w:tc>
          <w:tcPr>
            <w:tcW w:w="15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Increase in Rent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3rd Quarter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324,332</w:t>
            </w:r>
          </w:p>
        </w:tc>
        <w:tc>
          <w:tcPr>
            <w:tcW w:w="40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7.3</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$16.02</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20.34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1,401,643</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2nd Quarter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237,065</w:t>
            </w:r>
          </w:p>
        </w:tc>
        <w:tc>
          <w:tcPr>
            <w:tcW w:w="40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5.9</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$18.03</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21.70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871,258</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1st Quarter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199,197</w:t>
            </w:r>
          </w:p>
        </w:tc>
        <w:tc>
          <w:tcPr>
            <w:tcW w:w="40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6.0</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$16.88</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20.27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675,482</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4th Quarter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314,603</w:t>
            </w:r>
          </w:p>
        </w:tc>
        <w:tc>
          <w:tcPr>
            <w:tcW w:w="40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7.2</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$15.52</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607,238</w:t>
            </w: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1,075,197</w:t>
            </w:r>
          </w:p>
        </w:tc>
        <w:tc>
          <w:tcPr>
            <w:tcW w:w="400" w:type="dxa"/>
            <w:vAlign w:val="bottom"/>
          </w:tcPr>
          <w:p>
            <w:pPr>
              <w:spacing w:after="0"/>
              <w:rPr>
                <w:sz w:val="21"/>
                <w:szCs w:val="21"/>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6.4</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$16.47</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3,555,621</w:t>
            </w:r>
          </w:p>
        </w:tc>
        <w:tc>
          <w:tcPr>
            <w:tcW w:w="0" w:type="dxa"/>
            <w:vAlign w:val="bottom"/>
          </w:tcPr>
          <w:p>
            <w:pPr>
              <w:spacing w:after="0"/>
              <w:rPr>
                <w:sz w:val="1"/>
                <w:szCs w:val="1"/>
                <w:color w:val="auto"/>
              </w:rPr>
            </w:pPr>
          </w:p>
        </w:tc>
      </w:tr>
      <w:tr>
        <w:trPr>
          <w:trHeight w:val="587"/>
        </w:trPr>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vMerge w:val="restart"/>
          </w:tcPr>
          <w:p>
            <w:pPr>
              <w:jc w:val="right"/>
              <w:ind w:right="728"/>
              <w:spacing w:after="0"/>
              <w:rPr>
                <w:sz w:val="20"/>
                <w:szCs w:val="20"/>
                <w:color w:val="auto"/>
              </w:rPr>
            </w:pPr>
            <w:r>
              <w:rPr>
                <w:rFonts w:ascii="Courier New" w:cs="Courier New" w:eastAsia="Courier New" w:hAnsi="Courier New"/>
                <w:sz w:val="14"/>
                <w:szCs w:val="14"/>
                <w:color w:val="auto"/>
              </w:rPr>
              <w:t>Percentage</w:t>
            </w:r>
          </w:p>
        </w:tc>
        <w:tc>
          <w:tcPr>
            <w:tcW w:w="17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Estimated</w:t>
            </w: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78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Tenant</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Rolling 12</w:t>
            </w:r>
          </w:p>
        </w:tc>
        <w:tc>
          <w:tcPr>
            <w:tcW w:w="12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Months</w:t>
            </w:r>
          </w:p>
        </w:tc>
        <w:tc>
          <w:tcPr>
            <w:tcW w:w="900" w:type="dxa"/>
            <w:vAlign w:val="bottom"/>
          </w:tcPr>
          <w:p>
            <w:pPr>
              <w:spacing w:after="0"/>
              <w:rPr>
                <w:sz w:val="14"/>
                <w:szCs w:val="14"/>
                <w:color w:val="auto"/>
              </w:rPr>
            </w:pPr>
          </w:p>
        </w:tc>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Increase</w:t>
            </w:r>
          </w:p>
        </w:tc>
        <w:tc>
          <w:tcPr>
            <w:tcW w:w="1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Improvement</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25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over Prior Rent</w:t>
            </w:r>
          </w:p>
        </w:tc>
        <w:tc>
          <w:tcPr>
            <w:tcW w:w="4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Costs</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56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000" w:type="dxa"/>
            <w:vAlign w:val="bottom"/>
          </w:tcPr>
          <w:p>
            <w:pPr>
              <w:spacing w:after="0"/>
              <w:rPr>
                <w:sz w:val="20"/>
                <w:szCs w:val="20"/>
                <w:color w:val="auto"/>
              </w:rPr>
            </w:pPr>
            <w:r>
              <w:rPr>
                <w:rFonts w:ascii="Courier New" w:cs="Courier New" w:eastAsia="Courier New" w:hAnsi="Courier New"/>
                <w:sz w:val="14"/>
                <w:szCs w:val="14"/>
                <w:color w:val="auto"/>
              </w:rPr>
              <w:t>3rd Quarter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spacing w:after="0"/>
              <w:rPr>
                <w:sz w:val="22"/>
                <w:szCs w:val="22"/>
                <w:color w:val="auto"/>
              </w:rPr>
            </w:pPr>
          </w:p>
        </w:tc>
        <w:tc>
          <w:tcPr>
            <w:tcW w:w="16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27%</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3,799,000</w:t>
            </w:r>
          </w:p>
        </w:tc>
        <w:tc>
          <w:tcPr>
            <w:tcW w:w="1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2nd Quarter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spacing w:after="0"/>
              <w:rPr>
                <w:sz w:val="14"/>
                <w:szCs w:val="14"/>
                <w:color w:val="auto"/>
              </w:rPr>
            </w:pPr>
          </w:p>
        </w:tc>
        <w:tc>
          <w:tcPr>
            <w:tcW w:w="16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20%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1,799,000</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1st Quarter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spacing w:after="0"/>
              <w:rPr>
                <w:sz w:val="14"/>
                <w:szCs w:val="14"/>
                <w:color w:val="auto"/>
              </w:rPr>
            </w:pPr>
          </w:p>
        </w:tc>
        <w:tc>
          <w:tcPr>
            <w:tcW w:w="16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20%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935,000</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4th Quarter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spacing w:after="0"/>
              <w:rPr>
                <w:sz w:val="14"/>
                <w:szCs w:val="14"/>
                <w:color w:val="auto"/>
              </w:rPr>
            </w:pPr>
          </w:p>
        </w:tc>
        <w:tc>
          <w:tcPr>
            <w:tcW w:w="16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588,000</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0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8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20%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7,121,000</w:t>
            </w:r>
          </w:p>
        </w:tc>
        <w:tc>
          <w:tcPr>
            <w:tcW w:w="1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Weighted</w:t>
            </w:r>
          </w:p>
        </w:tc>
        <w:tc>
          <w:tcPr>
            <w:tcW w:w="1800" w:type="dxa"/>
            <w:vAlign w:val="bottom"/>
          </w:tcPr>
          <w:p>
            <w:pPr>
              <w:spacing w:after="0"/>
              <w:rPr>
                <w:sz w:val="14"/>
                <w:szCs w:val="14"/>
                <w:color w:val="auto"/>
              </w:rPr>
            </w:pPr>
          </w:p>
        </w:tc>
        <w:tc>
          <w:tcPr>
            <w:tcW w:w="1480" w:type="dxa"/>
            <w:vAlign w:val="bottom"/>
            <w:vMerge w:val="restart"/>
          </w:tcPr>
          <w:p>
            <w:pPr>
              <w:jc w:val="center"/>
              <w:ind w:right="28"/>
              <w:spacing w:after="0"/>
              <w:rPr>
                <w:sz w:val="20"/>
                <w:szCs w:val="20"/>
                <w:color w:val="auto"/>
              </w:rPr>
            </w:pPr>
            <w:r>
              <w:rPr>
                <w:rFonts w:ascii="Courier New" w:cs="Courier New" w:eastAsia="Courier New" w:hAnsi="Courier New"/>
                <w:sz w:val="14"/>
                <w:szCs w:val="14"/>
                <w:color w:val="auto"/>
              </w:rPr>
              <w:t>Annualized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Estimated</w:t>
            </w:r>
          </w:p>
        </w:tc>
        <w:tc>
          <w:tcPr>
            <w:tcW w:w="0" w:type="dxa"/>
            <w:vAlign w:val="bottom"/>
          </w:tcPr>
          <w:p>
            <w:pPr>
              <w:spacing w:after="0"/>
              <w:rPr>
                <w:sz w:val="1"/>
                <w:szCs w:val="1"/>
                <w:color w:val="auto"/>
              </w:rPr>
            </w:pPr>
          </w:p>
        </w:tc>
      </w:tr>
      <w:tr>
        <w:trPr>
          <w:trHeight w:val="166"/>
        </w:trPr>
        <w:tc>
          <w:tcPr>
            <w:tcW w:w="1820" w:type="dxa"/>
            <w:vAlign w:val="bottom"/>
          </w:tcPr>
          <w:p>
            <w:pPr>
              <w:spacing w:after="0"/>
              <w:rPr>
                <w:sz w:val="14"/>
                <w:szCs w:val="14"/>
                <w:color w:val="auto"/>
              </w:rPr>
            </w:pPr>
          </w:p>
        </w:tc>
        <w:tc>
          <w:tcPr>
            <w:tcW w:w="1680" w:type="dxa"/>
            <w:vAlign w:val="bottom"/>
            <w:vMerge w:val="restart"/>
          </w:tcPr>
          <w:p>
            <w:pPr>
              <w:jc w:val="center"/>
              <w:ind w:left="48"/>
              <w:spacing w:after="0"/>
              <w:rPr>
                <w:sz w:val="20"/>
                <w:szCs w:val="20"/>
                <w:color w:val="auto"/>
              </w:rPr>
            </w:pPr>
            <w:r>
              <w:rPr>
                <w:rFonts w:ascii="Courier New" w:cs="Courier New" w:eastAsia="Courier New" w:hAnsi="Courier New"/>
                <w:sz w:val="14"/>
                <w:szCs w:val="14"/>
                <w:color w:val="auto"/>
              </w:rPr>
              <w:t>Number of</w:t>
            </w:r>
          </w:p>
        </w:tc>
        <w:tc>
          <w:tcPr>
            <w:tcW w:w="9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9"/>
              </w:rPr>
              <w:t>Square</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Average</w:t>
            </w:r>
          </w:p>
        </w:tc>
        <w:tc>
          <w:tcPr>
            <w:tcW w:w="18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Average Rent</w:t>
            </w:r>
          </w:p>
        </w:tc>
        <w:tc>
          <w:tcPr>
            <w:tcW w:w="1480" w:type="dxa"/>
            <w:vAlign w:val="bottom"/>
            <w:vMerge w:val="continue"/>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Tenant</w:t>
            </w:r>
          </w:p>
        </w:tc>
        <w:tc>
          <w:tcPr>
            <w:tcW w:w="0" w:type="dxa"/>
            <w:vAlign w:val="bottom"/>
          </w:tcPr>
          <w:p>
            <w:pPr>
              <w:spacing w:after="0"/>
              <w:rPr>
                <w:sz w:val="1"/>
                <w:szCs w:val="1"/>
                <w:color w:val="auto"/>
              </w:rPr>
            </w:pPr>
          </w:p>
        </w:tc>
      </w:tr>
      <w:tr>
        <w:trPr>
          <w:trHeight w:val="166"/>
        </w:trPr>
        <w:tc>
          <w:tcPr>
            <w:tcW w:w="1820" w:type="dxa"/>
            <w:vAlign w:val="bottom"/>
            <w:vMerge w:val="restart"/>
          </w:tcPr>
          <w:p>
            <w:pPr>
              <w:spacing w:after="0"/>
              <w:rPr>
                <w:sz w:val="20"/>
                <w:szCs w:val="20"/>
                <w:color w:val="auto"/>
              </w:rPr>
            </w:pPr>
            <w:r>
              <w:rPr>
                <w:rFonts w:ascii="Courier New" w:cs="Courier New" w:eastAsia="Courier New" w:hAnsi="Courier New"/>
                <w:sz w:val="14"/>
                <w:szCs w:val="14"/>
                <w:color w:val="auto"/>
              </w:rPr>
              <w:t>Rolling 12 Months</w:t>
            </w:r>
          </w:p>
        </w:tc>
        <w:tc>
          <w:tcPr>
            <w:tcW w:w="16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Lease</w:t>
            </w:r>
          </w:p>
        </w:tc>
        <w:tc>
          <w:tcPr>
            <w:tcW w:w="1800" w:type="dxa"/>
            <w:vAlign w:val="bottom"/>
            <w:vMerge w:val="continue"/>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Current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Improvement</w:t>
            </w:r>
          </w:p>
        </w:tc>
        <w:tc>
          <w:tcPr>
            <w:tcW w:w="0" w:type="dxa"/>
            <w:vAlign w:val="bottom"/>
          </w:tcPr>
          <w:p>
            <w:pPr>
              <w:spacing w:after="0"/>
              <w:rPr>
                <w:sz w:val="1"/>
                <w:szCs w:val="1"/>
                <w:color w:val="auto"/>
              </w:rPr>
            </w:pPr>
          </w:p>
        </w:tc>
      </w:tr>
      <w:tr>
        <w:trPr>
          <w:trHeight w:val="192"/>
        </w:trPr>
        <w:tc>
          <w:tcPr>
            <w:tcW w:w="1820" w:type="dxa"/>
            <w:vAlign w:val="bottom"/>
            <w:vMerge w:val="continue"/>
          </w:tcPr>
          <w:p>
            <w:pPr>
              <w:spacing w:after="0"/>
              <w:rPr>
                <w:sz w:val="16"/>
                <w:szCs w:val="16"/>
                <w:color w:val="auto"/>
              </w:rPr>
            </w:pP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Leases Signed</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Feet</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Term (Years)</w:t>
            </w:r>
          </w:p>
        </w:tc>
        <w:tc>
          <w:tcPr>
            <w:tcW w:w="1800" w:type="dxa"/>
            <w:vAlign w:val="bottom"/>
          </w:tcPr>
          <w:p>
            <w:pPr>
              <w:ind w:left="260"/>
              <w:spacing w:after="0"/>
              <w:rPr>
                <w:sz w:val="20"/>
                <w:szCs w:val="20"/>
                <w:color w:val="auto"/>
              </w:rPr>
            </w:pPr>
            <w:r>
              <w:rPr>
                <w:rFonts w:ascii="Courier New" w:cs="Courier New" w:eastAsia="Courier New" w:hAnsi="Courier New"/>
                <w:sz w:val="14"/>
                <w:szCs w:val="14"/>
                <w:color w:val="auto"/>
              </w:rPr>
              <w:t>Per Square Foot</w:t>
            </w: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Rent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Costs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3rd Quarter 1999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105,948</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10.2</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$20.32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2,153,331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521,000</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2nd Quarter 1999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11,592</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$43.30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501,908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91,000</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1st Quarter 1999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120,121</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14.7</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$20.91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2,511,594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494,000</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4th Quarter 1998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130,798</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10.6</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2,808,414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280,000</w:t>
            </w:r>
          </w:p>
        </w:tc>
      </w:tr>
      <w:tr>
        <w:trPr>
          <w:trHeight w:val="242"/>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368,459</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12.3</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7,975,247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1,386,000</w:t>
            </w:r>
          </w:p>
        </w:tc>
      </w:tr>
    </w:tbl>
    <w:p>
      <w:pPr>
        <w:sectPr>
          <w:pgSz w:w="11900" w:h="16838" w:orient="portrait"/>
          <w:cols w:equalWidth="0" w:num="1">
            <w:col w:w="11460"/>
          </w:cols>
          <w:pgMar w:left="220" w:top="590" w:right="21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Retail Operating &amp; Development Overview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1999</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December 31,</w:t>
            </w:r>
          </w:p>
        </w:tc>
        <w:tc>
          <w:tcPr>
            <w:tcW w:w="1420" w:type="dxa"/>
            <w:vAlign w:val="bottom"/>
          </w:tcPr>
          <w:p>
            <w:pPr>
              <w:spacing w:after="0"/>
              <w:rPr>
                <w:sz w:val="14"/>
                <w:szCs w:val="14"/>
                <w:color w:val="auto"/>
              </w:rPr>
            </w:pP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6"/>
        </w:trPr>
        <w:tc>
          <w:tcPr>
            <w:tcW w:w="2160" w:type="dxa"/>
            <w:vAlign w:val="bottom"/>
            <w:vMerge w:val="restart"/>
          </w:tcPr>
          <w:p>
            <w:pPr>
              <w:spacing w:after="0"/>
              <w:rPr>
                <w:sz w:val="20"/>
                <w:szCs w:val="20"/>
                <w:color w:val="auto"/>
              </w:rPr>
            </w:pPr>
            <w:r>
              <w:rPr>
                <w:rFonts w:ascii="Courier New" w:cs="Courier New" w:eastAsia="Courier New" w:hAnsi="Courier New"/>
                <w:sz w:val="14"/>
                <w:szCs w:val="14"/>
                <w:color w:val="auto"/>
              </w:rPr>
              <w:t>(in thousands)</w:t>
            </w:r>
          </w:p>
        </w:tc>
        <w:tc>
          <w:tcPr>
            <w:tcW w:w="1820" w:type="dxa"/>
            <w:vAlign w:val="bottom"/>
            <w:vMerge w:val="restart"/>
          </w:tcPr>
          <w:p>
            <w:pPr>
              <w:jc w:val="right"/>
              <w:ind w:right="812"/>
              <w:spacing w:after="0"/>
              <w:rPr>
                <w:sz w:val="20"/>
                <w:szCs w:val="20"/>
                <w:color w:val="auto"/>
              </w:rPr>
            </w:pPr>
            <w:r>
              <w:rPr>
                <w:rFonts w:ascii="Courier New" w:cs="Courier New" w:eastAsia="Courier New" w:hAnsi="Courier New"/>
                <w:sz w:val="14"/>
                <w:szCs w:val="14"/>
                <w:color w:val="auto"/>
              </w:rPr>
              <w:t>1995</w:t>
            </w:r>
          </w:p>
        </w:tc>
        <w:tc>
          <w:tcPr>
            <w:tcW w:w="98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680" w:type="dxa"/>
            <w:vAlign w:val="bottom"/>
            <w:vMerge w:val="continue"/>
          </w:tcPr>
          <w:p>
            <w:pPr>
              <w:spacing w:after="0"/>
              <w:rPr>
                <w:sz w:val="14"/>
                <w:szCs w:val="14"/>
                <w:color w:val="auto"/>
              </w:rPr>
            </w:pPr>
          </w:p>
        </w:tc>
        <w:tc>
          <w:tcPr>
            <w:tcW w:w="1420" w:type="dxa"/>
            <w:vAlign w:val="bottom"/>
            <w:vMerge w:val="restart"/>
          </w:tcPr>
          <w:p>
            <w:pPr>
              <w:jc w:val="right"/>
              <w:ind w:right="668"/>
              <w:spacing w:after="0"/>
              <w:rPr>
                <w:sz w:val="20"/>
                <w:szCs w:val="20"/>
                <w:color w:val="auto"/>
              </w:rPr>
            </w:pPr>
            <w:r>
              <w:rPr>
                <w:rFonts w:ascii="Courier New" w:cs="Courier New" w:eastAsia="Courier New" w:hAnsi="Courier New"/>
                <w:sz w:val="14"/>
                <w:szCs w:val="14"/>
                <w:color w:val="auto"/>
              </w:rPr>
              <w:t>1998</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September 30,</w:t>
            </w:r>
          </w:p>
        </w:tc>
        <w:tc>
          <w:tcPr>
            <w:tcW w:w="0" w:type="dxa"/>
            <w:vAlign w:val="bottom"/>
          </w:tcPr>
          <w:p>
            <w:pPr>
              <w:spacing w:after="0"/>
              <w:rPr>
                <w:sz w:val="1"/>
                <w:szCs w:val="1"/>
                <w:color w:val="auto"/>
              </w:rPr>
            </w:pPr>
          </w:p>
        </w:tc>
      </w:tr>
      <w:tr>
        <w:trPr>
          <w:trHeight w:val="166"/>
        </w:trPr>
        <w:tc>
          <w:tcPr>
            <w:tcW w:w="216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420" w:type="dxa"/>
            <w:vAlign w:val="bottom"/>
            <w:vMerge w:val="continue"/>
          </w:tcPr>
          <w:p>
            <w:pPr>
              <w:spacing w:after="0"/>
              <w:rPr>
                <w:sz w:val="14"/>
                <w:szCs w:val="14"/>
                <w:color w:val="auto"/>
              </w:rPr>
            </w:pPr>
          </w:p>
        </w:tc>
        <w:tc>
          <w:tcPr>
            <w:tcW w:w="22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1999</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1"/>
                <w:szCs w:val="21"/>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w:t>
            </w:r>
          </w:p>
        </w:tc>
        <w:tc>
          <w:tcPr>
            <w:tcW w:w="1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Real Estate Assets (1)</w:t>
            </w:r>
          </w:p>
        </w:tc>
        <w:tc>
          <w:tcPr>
            <w:tcW w:w="1820" w:type="dxa"/>
            <w:vAlign w:val="bottom"/>
          </w:tcPr>
          <w:p>
            <w:pPr>
              <w:jc w:val="right"/>
              <w:ind w:right="552"/>
              <w:spacing w:after="0"/>
              <w:rPr>
                <w:sz w:val="20"/>
                <w:szCs w:val="20"/>
                <w:color w:val="auto"/>
              </w:rPr>
            </w:pPr>
            <w:r>
              <w:rPr>
                <w:rFonts w:ascii="Courier New" w:cs="Courier New" w:eastAsia="Courier New" w:hAnsi="Courier New"/>
                <w:sz w:val="14"/>
                <w:szCs w:val="14"/>
                <w:color w:val="auto"/>
              </w:rPr>
              <w:t>$107,910</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$164,931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$288,020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$365,874</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$432,580</w:t>
            </w:r>
          </w:p>
        </w:tc>
        <w:tc>
          <w:tcPr>
            <w:tcW w:w="0" w:type="dxa"/>
            <w:vAlign w:val="bottom"/>
          </w:tcPr>
          <w:p>
            <w:pPr>
              <w:spacing w:after="0"/>
              <w:rPr>
                <w:sz w:val="1"/>
                <w:szCs w:val="1"/>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20" w:type="dxa"/>
            <w:vAlign w:val="bottom"/>
          </w:tcPr>
          <w:p>
            <w:pPr>
              <w:jc w:val="right"/>
              <w:ind w:right="552"/>
              <w:spacing w:after="0"/>
              <w:rPr>
                <w:sz w:val="20"/>
                <w:szCs w:val="20"/>
                <w:color w:val="auto"/>
              </w:rPr>
            </w:pPr>
            <w:r>
              <w:rPr>
                <w:rFonts w:ascii="Courier New" w:cs="Courier New" w:eastAsia="Courier New" w:hAnsi="Courier New"/>
                <w:sz w:val="14"/>
                <w:szCs w:val="14"/>
                <w:color w:val="auto"/>
              </w:rPr>
              <w:t>$9,310</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$20,555</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$31,998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$42,643</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$37,000</w:t>
            </w:r>
          </w:p>
        </w:tc>
        <w:tc>
          <w:tcPr>
            <w:tcW w:w="0" w:type="dxa"/>
            <w:vAlign w:val="bottom"/>
          </w:tcPr>
          <w:p>
            <w:pPr>
              <w:spacing w:after="0"/>
              <w:rPr>
                <w:sz w:val="1"/>
                <w:szCs w:val="1"/>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1820" w:type="dxa"/>
            <w:vAlign w:val="bottom"/>
          </w:tcPr>
          <w:p>
            <w:pPr>
              <w:jc w:val="right"/>
              <w:ind w:right="552"/>
              <w:spacing w:after="0"/>
              <w:rPr>
                <w:sz w:val="20"/>
                <w:szCs w:val="20"/>
                <w:color w:val="auto"/>
              </w:rPr>
            </w:pPr>
            <w:r>
              <w:rPr>
                <w:rFonts w:ascii="Courier New" w:cs="Courier New" w:eastAsia="Courier New" w:hAnsi="Courier New"/>
                <w:sz w:val="14"/>
                <w:szCs w:val="14"/>
                <w:color w:val="auto"/>
              </w:rPr>
              <w:t>$3,994</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$12,538</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$20,345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$28,660</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$25,341</w:t>
            </w:r>
          </w:p>
        </w:tc>
        <w:tc>
          <w:tcPr>
            <w:tcW w:w="0" w:type="dxa"/>
            <w:vAlign w:val="bottom"/>
          </w:tcPr>
          <w:p>
            <w:pPr>
              <w:spacing w:after="0"/>
              <w:rPr>
                <w:sz w:val="1"/>
                <w:szCs w:val="1"/>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Square Feet (2)</w:t>
            </w:r>
          </w:p>
        </w:tc>
        <w:tc>
          <w:tcPr>
            <w:tcW w:w="1820" w:type="dxa"/>
            <w:vAlign w:val="bottom"/>
          </w:tcPr>
          <w:p>
            <w:pPr>
              <w:jc w:val="right"/>
              <w:ind w:right="552"/>
              <w:spacing w:after="0"/>
              <w:rPr>
                <w:sz w:val="20"/>
                <w:szCs w:val="20"/>
                <w:color w:val="auto"/>
              </w:rPr>
            </w:pPr>
            <w:r>
              <w:rPr>
                <w:rFonts w:ascii="Courier New" w:cs="Courier New" w:eastAsia="Courier New" w:hAnsi="Courier New"/>
                <w:sz w:val="14"/>
                <w:szCs w:val="14"/>
                <w:color w:val="auto"/>
              </w:rPr>
              <w:t>532,944</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1,122,737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1,502,807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1,601,849</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1,798,181</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60" w:right="3440" w:hanging="352"/>
        <w:spacing w:after="0" w:line="263"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September 30, 1999, includes $98 million related to new development in process. The balance is comprised of both stabilized assets and assets which are in various stages of redevelopment.</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2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Square Feet</w:t>
            </w:r>
          </w:p>
        </w:tc>
        <w:tc>
          <w:tcPr>
            <w:tcW w:w="1160" w:type="dxa"/>
            <w:vAlign w:val="bottom"/>
          </w:tcPr>
          <w:p>
            <w:pPr>
              <w:spacing w:after="0"/>
              <w:rPr>
                <w:sz w:val="21"/>
                <w:szCs w:val="21"/>
                <w:color w:val="auto"/>
              </w:rPr>
            </w:pPr>
          </w:p>
        </w:tc>
        <w:tc>
          <w:tcPr>
            <w:tcW w:w="3500" w:type="dxa"/>
            <w:vAlign w:val="bottom"/>
          </w:tcPr>
          <w:p>
            <w:pPr>
              <w:ind w:left="860"/>
              <w:spacing w:after="0"/>
              <w:rPr>
                <w:sz w:val="20"/>
                <w:szCs w:val="20"/>
                <w:color w:val="auto"/>
              </w:rPr>
            </w:pPr>
            <w:r>
              <w:rPr>
                <w:rFonts w:ascii="Courier New" w:cs="Courier New" w:eastAsia="Courier New" w:hAnsi="Courier New"/>
                <w:sz w:val="14"/>
                <w:szCs w:val="14"/>
                <w:color w:val="auto"/>
              </w:rPr>
              <w:t>MID-ATLANTIC</w:t>
            </w:r>
          </w:p>
        </w:tc>
        <w:tc>
          <w:tcPr>
            <w:tcW w:w="2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Square Feet</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80,791</w:t>
            </w:r>
          </w:p>
        </w:tc>
        <w:tc>
          <w:tcPr>
            <w:tcW w:w="1160" w:type="dxa"/>
            <w:vAlign w:val="bottom"/>
          </w:tcPr>
          <w:p>
            <w:pPr>
              <w:spacing w:after="0"/>
              <w:rPr>
                <w:sz w:val="22"/>
                <w:szCs w:val="22"/>
                <w:color w:val="auto"/>
              </w:rPr>
            </w:pPr>
          </w:p>
        </w:tc>
        <w:tc>
          <w:tcPr>
            <w:tcW w:w="3500" w:type="dxa"/>
            <w:vAlign w:val="bottom"/>
          </w:tcPr>
          <w:p>
            <w:pPr>
              <w:ind w:left="860"/>
              <w:spacing w:after="0"/>
              <w:rPr>
                <w:sz w:val="20"/>
                <w:szCs w:val="20"/>
                <w:color w:val="auto"/>
              </w:rPr>
            </w:pPr>
            <w:r>
              <w:rPr>
                <w:rFonts w:ascii="Courier New" w:cs="Courier New" w:eastAsia="Courier New" w:hAnsi="Courier New"/>
                <w:sz w:val="14"/>
                <w:szCs w:val="14"/>
                <w:color w:val="auto"/>
              </w:rPr>
              <w:t>Virginia</w:t>
            </w:r>
          </w:p>
        </w:tc>
        <w:tc>
          <w:tcPr>
            <w:tcW w:w="20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N/A (2)</w:t>
            </w:r>
          </w:p>
        </w:tc>
        <w:tc>
          <w:tcPr>
            <w:tcW w:w="0" w:type="dxa"/>
            <w:vAlign w:val="bottom"/>
          </w:tcPr>
          <w:p>
            <w:pPr>
              <w:spacing w:after="0"/>
              <w:rPr>
                <w:sz w:val="1"/>
                <w:szCs w:val="1"/>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Greenwich Avenue/4</w:t>
            </w:r>
          </w:p>
        </w:tc>
        <w:tc>
          <w:tcPr>
            <w:tcW w:w="1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3500" w:type="dxa"/>
            <w:vAlign w:val="bottom"/>
          </w:tcPr>
          <w:p>
            <w:pPr>
              <w:ind w:left="1120"/>
              <w:spacing w:after="0"/>
              <w:rPr>
                <w:sz w:val="20"/>
                <w:szCs w:val="20"/>
                <w:color w:val="auto"/>
              </w:rPr>
            </w:pPr>
            <w:r>
              <w:rPr>
                <w:rFonts w:ascii="Courier New" w:cs="Courier New" w:eastAsia="Courier New" w:hAnsi="Courier New"/>
                <w:sz w:val="14"/>
                <w:szCs w:val="14"/>
                <w:color w:val="auto"/>
              </w:rPr>
              <w:t>Pentagon Row</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440"/>
              <w:spacing w:after="0"/>
              <w:rPr>
                <w:sz w:val="20"/>
                <w:szCs w:val="20"/>
                <w:color w:val="auto"/>
              </w:rPr>
            </w:pPr>
            <w:r>
              <w:rPr>
                <w:rFonts w:ascii="Courier New" w:cs="Courier New" w:eastAsia="Courier New" w:hAnsi="Courier New"/>
                <w:sz w:val="14"/>
                <w:szCs w:val="14"/>
                <w:color w:val="auto"/>
              </w:rPr>
              <w:t>West Hartford/7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103,426</w:t>
            </w:r>
          </w:p>
        </w:tc>
        <w:tc>
          <w:tcPr>
            <w:tcW w:w="1160" w:type="dxa"/>
            <w:vAlign w:val="bottom"/>
          </w:tcPr>
          <w:p>
            <w:pPr>
              <w:spacing w:after="0"/>
              <w:rPr>
                <w:sz w:val="14"/>
                <w:szCs w:val="14"/>
                <w:color w:val="auto"/>
              </w:rPr>
            </w:pPr>
          </w:p>
        </w:tc>
        <w:tc>
          <w:tcPr>
            <w:tcW w:w="3500" w:type="dxa"/>
            <w:vAlign w:val="bottom"/>
          </w:tcPr>
          <w:p>
            <w:pPr>
              <w:ind w:left="1120"/>
              <w:spacing w:after="0"/>
              <w:rPr>
                <w:sz w:val="20"/>
                <w:szCs w:val="20"/>
                <w:color w:val="auto"/>
              </w:rPr>
            </w:pPr>
            <w:r>
              <w:rPr>
                <w:rFonts w:ascii="Courier New" w:cs="Courier New" w:eastAsia="Courier New" w:hAnsi="Courier New"/>
                <w:sz w:val="14"/>
                <w:szCs w:val="14"/>
                <w:color w:val="auto"/>
              </w:rPr>
              <w:t>Village at Shirlington</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362,141</w:t>
            </w:r>
          </w:p>
        </w:tc>
        <w:tc>
          <w:tcPr>
            <w:tcW w:w="0" w:type="dxa"/>
            <w:vAlign w:val="bottom"/>
          </w:tcPr>
          <w:p>
            <w:pPr>
              <w:spacing w:after="0"/>
              <w:rPr>
                <w:sz w:val="1"/>
                <w:szCs w:val="1"/>
                <w:color w:val="auto"/>
              </w:rPr>
            </w:pPr>
          </w:p>
        </w:tc>
      </w:tr>
      <w:tr>
        <w:trPr>
          <w:trHeight w:val="242"/>
        </w:trPr>
        <w:tc>
          <w:tcPr>
            <w:tcW w:w="2240" w:type="dxa"/>
            <w:vAlign w:val="bottom"/>
          </w:tcPr>
          <w:p>
            <w:pPr>
              <w:ind w:left="440"/>
              <w:spacing w:after="0"/>
              <w:rPr>
                <w:sz w:val="20"/>
                <w:szCs w:val="20"/>
                <w:color w:val="auto"/>
              </w:rPr>
            </w:pPr>
            <w:r>
              <w:rPr>
                <w:rFonts w:ascii="Courier New" w:cs="Courier New" w:eastAsia="Courier New" w:hAnsi="Courier New"/>
                <w:sz w:val="14"/>
                <w:szCs w:val="14"/>
                <w:color w:val="auto"/>
              </w:rPr>
              <w:t>Westport/2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26,408</w:t>
            </w:r>
          </w:p>
        </w:tc>
        <w:tc>
          <w:tcPr>
            <w:tcW w:w="1160" w:type="dxa"/>
            <w:vAlign w:val="bottom"/>
          </w:tcPr>
          <w:p>
            <w:pPr>
              <w:spacing w:after="0"/>
              <w:rPr>
                <w:sz w:val="21"/>
                <w:szCs w:val="21"/>
                <w:color w:val="auto"/>
              </w:rPr>
            </w:pPr>
          </w:p>
        </w:tc>
        <w:tc>
          <w:tcPr>
            <w:tcW w:w="350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WESTERN</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Massachusetts</w:t>
            </w:r>
          </w:p>
        </w:tc>
        <w:tc>
          <w:tcPr>
            <w:tcW w:w="1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13,101</w:t>
            </w:r>
          </w:p>
        </w:tc>
        <w:tc>
          <w:tcPr>
            <w:tcW w:w="1160" w:type="dxa"/>
            <w:vAlign w:val="bottom"/>
          </w:tcPr>
          <w:p>
            <w:pPr>
              <w:spacing w:after="0"/>
              <w:rPr>
                <w:sz w:val="14"/>
                <w:szCs w:val="14"/>
                <w:color w:val="auto"/>
              </w:rPr>
            </w:pPr>
          </w:p>
        </w:tc>
        <w:tc>
          <w:tcPr>
            <w:tcW w:w="3500" w:type="dxa"/>
            <w:vAlign w:val="bottom"/>
          </w:tcPr>
          <w:p>
            <w:pPr>
              <w:ind w:left="860"/>
              <w:spacing w:after="0"/>
              <w:rPr>
                <w:sz w:val="20"/>
                <w:szCs w:val="20"/>
                <w:color w:val="auto"/>
              </w:rPr>
            </w:pPr>
            <w:r>
              <w:rPr>
                <w:rFonts w:ascii="Courier New" w:cs="Courier New" w:eastAsia="Courier New" w:hAnsi="Courier New"/>
                <w:sz w:val="14"/>
                <w:szCs w:val="14"/>
                <w:color w:val="auto"/>
              </w:rPr>
              <w:t>Arizona</w:t>
            </w:r>
          </w:p>
        </w:tc>
        <w:tc>
          <w:tcPr>
            <w:tcW w:w="20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39,532</w:t>
            </w:r>
          </w:p>
        </w:tc>
        <w:tc>
          <w:tcPr>
            <w:tcW w:w="0" w:type="dxa"/>
            <w:vAlign w:val="bottom"/>
          </w:tcPr>
          <w:p>
            <w:pPr>
              <w:spacing w:after="0"/>
              <w:rPr>
                <w:sz w:val="1"/>
                <w:szCs w:val="1"/>
                <w:color w:val="auto"/>
              </w:rPr>
            </w:pPr>
          </w:p>
        </w:tc>
      </w:tr>
      <w:tr>
        <w:trPr>
          <w:trHeight w:val="242"/>
        </w:trPr>
        <w:tc>
          <w:tcPr>
            <w:tcW w:w="2240" w:type="dxa"/>
            <w:vAlign w:val="bottom"/>
          </w:tcPr>
          <w:p>
            <w:pPr>
              <w:ind w:left="440"/>
              <w:spacing w:after="0"/>
              <w:rPr>
                <w:sz w:val="20"/>
                <w:szCs w:val="20"/>
                <w:color w:val="auto"/>
              </w:rPr>
            </w:pPr>
            <w:r>
              <w:rPr>
                <w:rFonts w:ascii="Courier New" w:cs="Courier New" w:eastAsia="Courier New" w:hAnsi="Courier New"/>
                <w:sz w:val="14"/>
                <w:szCs w:val="14"/>
                <w:color w:val="auto"/>
              </w:rPr>
              <w:t>Coolidge Corner/1</w:t>
            </w:r>
          </w:p>
        </w:tc>
        <w:tc>
          <w:tcPr>
            <w:tcW w:w="134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Mill Avenue/2</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11,208</w:t>
            </w:r>
          </w:p>
        </w:tc>
        <w:tc>
          <w:tcPr>
            <w:tcW w:w="1160" w:type="dxa"/>
            <w:vAlign w:val="bottom"/>
          </w:tcPr>
          <w:p>
            <w:pPr>
              <w:spacing w:after="0"/>
              <w:rPr>
                <w:sz w:val="22"/>
                <w:szCs w:val="22"/>
                <w:color w:val="auto"/>
              </w:rPr>
            </w:pPr>
          </w:p>
        </w:tc>
        <w:tc>
          <w:tcPr>
            <w:tcW w:w="3500" w:type="dxa"/>
            <w:vAlign w:val="bottom"/>
          </w:tcPr>
          <w:p>
            <w:pPr>
              <w:ind w:left="860"/>
              <w:spacing w:after="0"/>
              <w:rPr>
                <w:sz w:val="20"/>
                <w:szCs w:val="20"/>
                <w:color w:val="auto"/>
              </w:rPr>
            </w:pPr>
            <w:r>
              <w:rPr>
                <w:rFonts w:ascii="Courier New" w:cs="Courier New" w:eastAsia="Courier New" w:hAnsi="Courier New"/>
                <w:sz w:val="14"/>
                <w:szCs w:val="14"/>
                <w:color w:val="auto"/>
              </w:rPr>
              <w:t>California</w:t>
            </w:r>
          </w:p>
        </w:tc>
        <w:tc>
          <w:tcPr>
            <w:tcW w:w="20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67,382</w:t>
            </w:r>
          </w:p>
        </w:tc>
        <w:tc>
          <w:tcPr>
            <w:tcW w:w="0" w:type="dxa"/>
            <w:vAlign w:val="bottom"/>
          </w:tcPr>
          <w:p>
            <w:pPr>
              <w:spacing w:after="0"/>
              <w:rPr>
                <w:sz w:val="1"/>
                <w:szCs w:val="1"/>
                <w:color w:val="auto"/>
              </w:rPr>
            </w:pPr>
          </w:p>
        </w:tc>
      </w:tr>
      <w:tr>
        <w:trPr>
          <w:trHeight w:val="166"/>
        </w:trPr>
        <w:tc>
          <w:tcPr>
            <w:tcW w:w="2240" w:type="dxa"/>
            <w:vAlign w:val="bottom"/>
          </w:tcPr>
          <w:p>
            <w:pPr>
              <w:ind w:left="440"/>
              <w:spacing w:after="0"/>
              <w:rPr>
                <w:sz w:val="20"/>
                <w:szCs w:val="20"/>
                <w:color w:val="auto"/>
              </w:rPr>
            </w:pPr>
            <w:r>
              <w:rPr>
                <w:rFonts w:ascii="Courier New" w:cs="Courier New" w:eastAsia="Courier New" w:hAnsi="Courier New"/>
                <w:sz w:val="14"/>
                <w:szCs w:val="14"/>
                <w:color w:val="auto"/>
              </w:rPr>
              <w:t>Central Avenue/1</w:t>
            </w:r>
          </w:p>
        </w:tc>
        <w:tc>
          <w:tcPr>
            <w:tcW w:w="1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Colorado Boulevard/2</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New York</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Fifth Avenue/5</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64,269</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91,593</w:t>
            </w:r>
          </w:p>
        </w:tc>
        <w:tc>
          <w:tcPr>
            <w:tcW w:w="1160" w:type="dxa"/>
            <w:vAlign w:val="bottom"/>
          </w:tcPr>
          <w:p>
            <w:pPr>
              <w:spacing w:after="0"/>
              <w:rPr>
                <w:sz w:val="14"/>
                <w:szCs w:val="14"/>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Hermosa Beach/1</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5,930</w:t>
            </w:r>
          </w:p>
        </w:tc>
        <w:tc>
          <w:tcPr>
            <w:tcW w:w="0" w:type="dxa"/>
            <w:vAlign w:val="bottom"/>
          </w:tcPr>
          <w:p>
            <w:pPr>
              <w:spacing w:after="0"/>
              <w:rPr>
                <w:sz w:val="1"/>
                <w:szCs w:val="1"/>
                <w:color w:val="auto"/>
              </w:rPr>
            </w:pPr>
          </w:p>
        </w:tc>
      </w:tr>
      <w:tr>
        <w:trPr>
          <w:trHeight w:val="166"/>
        </w:trPr>
        <w:tc>
          <w:tcPr>
            <w:tcW w:w="2240" w:type="dxa"/>
            <w:vAlign w:val="bottom"/>
          </w:tcPr>
          <w:p>
            <w:pPr>
              <w:ind w:left="440"/>
              <w:spacing w:after="0"/>
              <w:rPr>
                <w:sz w:val="20"/>
                <w:szCs w:val="20"/>
                <w:color w:val="auto"/>
              </w:rPr>
            </w:pPr>
            <w:r>
              <w:rPr>
                <w:rFonts w:ascii="Courier New" w:cs="Courier New" w:eastAsia="Courier New" w:hAnsi="Courier New"/>
                <w:sz w:val="14"/>
                <w:szCs w:val="14"/>
                <w:color w:val="auto"/>
              </w:rPr>
              <w:t>Forest Hills/4</w:t>
            </w:r>
          </w:p>
        </w:tc>
        <w:tc>
          <w:tcPr>
            <w:tcW w:w="1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Post Street/1</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96,547</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Old Town Center</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101,000</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MID-ATLANTIC</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Santana Row</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Third Street Promenade/9</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152,597</w:t>
            </w:r>
          </w:p>
        </w:tc>
        <w:tc>
          <w:tcPr>
            <w:tcW w:w="0" w:type="dxa"/>
            <w:vAlign w:val="bottom"/>
          </w:tcPr>
          <w:p>
            <w:pPr>
              <w:spacing w:after="0"/>
              <w:rPr>
                <w:sz w:val="1"/>
                <w:szCs w:val="1"/>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District of Columbia</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49,706</w:t>
            </w:r>
          </w:p>
        </w:tc>
        <w:tc>
          <w:tcPr>
            <w:tcW w:w="1160" w:type="dxa"/>
            <w:vAlign w:val="bottom"/>
          </w:tcPr>
          <w:p>
            <w:pPr>
              <w:spacing w:after="0"/>
              <w:rPr>
                <w:sz w:val="14"/>
                <w:szCs w:val="14"/>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Hollywood Blvd./3</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196,332</w:t>
            </w:r>
          </w:p>
        </w:tc>
        <w:tc>
          <w:tcPr>
            <w:tcW w:w="0" w:type="dxa"/>
            <w:vAlign w:val="bottom"/>
          </w:tcPr>
          <w:p>
            <w:pPr>
              <w:spacing w:after="0"/>
              <w:rPr>
                <w:sz w:val="1"/>
                <w:szCs w:val="1"/>
                <w:color w:val="auto"/>
              </w:rPr>
            </w:pPr>
          </w:p>
        </w:tc>
      </w:tr>
      <w:tr>
        <w:trPr>
          <w:trHeight w:val="242"/>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Sam's Park N Shop</w:t>
            </w:r>
          </w:p>
        </w:tc>
        <w:tc>
          <w:tcPr>
            <w:tcW w:w="134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Illinios</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Florida</w:t>
            </w:r>
          </w:p>
        </w:tc>
        <w:tc>
          <w:tcPr>
            <w:tcW w:w="1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20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18,813</w:t>
            </w:r>
          </w:p>
        </w:tc>
        <w:tc>
          <w:tcPr>
            <w:tcW w:w="0" w:type="dxa"/>
            <w:vAlign w:val="bottom"/>
          </w:tcPr>
          <w:p>
            <w:pPr>
              <w:spacing w:after="0"/>
              <w:rPr>
                <w:sz w:val="1"/>
                <w:szCs w:val="1"/>
                <w:color w:val="auto"/>
              </w:rPr>
            </w:pPr>
          </w:p>
        </w:tc>
      </w:tr>
      <w:tr>
        <w:trPr>
          <w:trHeight w:val="166"/>
        </w:trPr>
        <w:tc>
          <w:tcPr>
            <w:tcW w:w="2240" w:type="dxa"/>
            <w:vAlign w:val="bottom"/>
            <w:vMerge w:val="continue"/>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28,446</w:t>
            </w:r>
          </w:p>
        </w:tc>
        <w:tc>
          <w:tcPr>
            <w:tcW w:w="1160" w:type="dxa"/>
            <w:vAlign w:val="bottom"/>
          </w:tcPr>
          <w:p>
            <w:pPr>
              <w:spacing w:after="0"/>
              <w:rPr>
                <w:sz w:val="14"/>
                <w:szCs w:val="14"/>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Evanston/2</w:t>
            </w:r>
          </w:p>
        </w:tc>
        <w:tc>
          <w:tcPr>
            <w:tcW w:w="2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Winter Park/2</w:t>
            </w:r>
          </w:p>
        </w:tc>
        <w:tc>
          <w:tcPr>
            <w:tcW w:w="134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Oak Street/1</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Courier New" w:cs="Courier New" w:eastAsia="Courier New" w:hAnsi="Courier New"/>
                <w:sz w:val="14"/>
                <w:szCs w:val="14"/>
                <w:color w:val="auto"/>
              </w:rPr>
              <w:t>Maryland</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283,959</w:t>
            </w:r>
          </w:p>
        </w:tc>
        <w:tc>
          <w:tcPr>
            <w:tcW w:w="116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(2)</w:t>
            </w:r>
          </w:p>
        </w:tc>
        <w:tc>
          <w:tcPr>
            <w:tcW w:w="3500" w:type="dxa"/>
            <w:vAlign w:val="bottom"/>
          </w:tcPr>
          <w:p>
            <w:pPr>
              <w:ind w:left="860"/>
              <w:spacing w:after="0"/>
              <w:rPr>
                <w:sz w:val="20"/>
                <w:szCs w:val="20"/>
                <w:color w:val="auto"/>
              </w:rPr>
            </w:pPr>
            <w:r>
              <w:rPr>
                <w:rFonts w:ascii="Courier New" w:cs="Courier New" w:eastAsia="Courier New" w:hAnsi="Courier New"/>
                <w:sz w:val="14"/>
                <w:szCs w:val="14"/>
                <w:color w:val="auto"/>
              </w:rPr>
              <w:t>Texas</w:t>
            </w:r>
          </w:p>
        </w:tc>
        <w:tc>
          <w:tcPr>
            <w:tcW w:w="20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N/A (2)</w:t>
            </w:r>
          </w:p>
        </w:tc>
        <w:tc>
          <w:tcPr>
            <w:tcW w:w="0" w:type="dxa"/>
            <w:vAlign w:val="bottom"/>
          </w:tcPr>
          <w:p>
            <w:pPr>
              <w:spacing w:after="0"/>
              <w:rPr>
                <w:sz w:val="1"/>
                <w:szCs w:val="1"/>
                <w:color w:val="auto"/>
              </w:rPr>
            </w:pPr>
          </w:p>
        </w:tc>
      </w:tr>
      <w:tr>
        <w:trPr>
          <w:trHeight w:val="242"/>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Bethesda Row</w:t>
            </w:r>
          </w:p>
        </w:tc>
        <w:tc>
          <w:tcPr>
            <w:tcW w:w="13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Houston Street/10</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220" w:top="590" w:right="1339" w:bottom="1440" w:gutter="0" w:footer="0" w:header="0"/>
        </w:sectPr>
      </w:pPr>
    </w:p>
    <w:bookmarkStart w:id="9" w:name="page10"/>
    <w:bookmarkEnd w:id="9"/>
    <w:p>
      <w:pPr>
        <w:ind w:left="3980"/>
        <w:spacing w:after="0"/>
        <w:rPr>
          <w:sz w:val="20"/>
          <w:szCs w:val="20"/>
          <w:color w:val="auto"/>
        </w:rPr>
      </w:pPr>
      <w:r>
        <w:rPr>
          <w:rFonts w:ascii="Courier New" w:cs="Courier New" w:eastAsia="Courier New" w:hAnsi="Courier New"/>
          <w:sz w:val="14"/>
          <w:szCs w:val="14"/>
          <w:color w:val="auto"/>
        </w:rPr>
        <w:t>Kathy Klein</w:t>
      </w:r>
    </w:p>
    <w:p>
      <w:pPr>
        <w:spacing w:after="0" w:line="3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Corporate Communications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301/998-8211</w:t>
      </w:r>
    </w:p>
    <w:p>
      <w:pPr>
        <w:spacing w:after="0" w:line="312"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3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THIRD QUARTER 1999 OPERATING RESULTS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3, 1999</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147" w:lineRule="exact"/>
        <w:rPr>
          <w:sz w:val="20"/>
          <w:szCs w:val="20"/>
          <w:color w:val="auto"/>
        </w:rPr>
      </w:pPr>
    </w:p>
    <w:p>
      <w:pPr>
        <w:ind w:right="3519" w:firstLine="431"/>
        <w:spacing w:after="0" w:line="282"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third quarter of 1999 increased 14% to $24.4 million from $21.4 million in the third quarter of 1998. On a per share basis, funds from operations rose 11% to $.60 in the third quarter of 1999 from $.54 in the comparable quarter of 1998.</w:t>
      </w:r>
    </w:p>
    <w:p>
      <w:pPr>
        <w:spacing w:after="0" w:line="62" w:lineRule="exact"/>
        <w:rPr>
          <w:sz w:val="20"/>
          <w:szCs w:val="20"/>
          <w:color w:val="auto"/>
        </w:rPr>
      </w:pPr>
    </w:p>
    <w:p>
      <w:pPr>
        <w:ind w:right="3599" w:firstLine="431"/>
        <w:spacing w:after="0" w:line="375" w:lineRule="auto"/>
        <w:rPr>
          <w:sz w:val="20"/>
          <w:szCs w:val="20"/>
          <w:color w:val="auto"/>
        </w:rPr>
      </w:pPr>
      <w:r>
        <w:rPr>
          <w:rFonts w:ascii="Courier New" w:cs="Courier New" w:eastAsia="Courier New" w:hAnsi="Courier New"/>
          <w:sz w:val="14"/>
          <w:szCs w:val="14"/>
          <w:color w:val="auto"/>
        </w:rPr>
        <w:t>A comparison of property operations for the third quarter of 1999 versus the third quarter of 1998 shows the following:</w:t>
      </w:r>
    </w:p>
    <w:p>
      <w:pPr>
        <w:spacing w:after="0" w:line="1" w:lineRule="exact"/>
        <w:rPr>
          <w:sz w:val="20"/>
          <w:szCs w:val="20"/>
          <w:color w:val="auto"/>
        </w:rPr>
      </w:pPr>
    </w:p>
    <w:p>
      <w:pPr>
        <w:ind w:right="3419" w:firstLine="8"/>
        <w:spacing w:after="0" w:line="299" w:lineRule="auto"/>
        <w:tabs>
          <w:tab w:leader="none" w:pos="43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12% to $62.0 million in 1999 from $55.4 million in 1998. When adjusted to exclude properties acquired and sold during 1998 and 1999, rental income increased 7% to $57.9 million in 1999 from $54.2 million in 1998.</w:t>
      </w:r>
    </w:p>
    <w:p>
      <w:pPr>
        <w:spacing w:after="0" w:line="235"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increased 17% to $47.8 million in 1999 from $40.9</w:t>
      </w:r>
    </w:p>
    <w:p>
      <w:pPr>
        <w:spacing w:after="0" w:line="33" w:lineRule="exact"/>
        <w:rPr>
          <w:rFonts w:ascii="Courier New" w:cs="Courier New" w:eastAsia="Courier New" w:hAnsi="Courier New"/>
          <w:sz w:val="14"/>
          <w:szCs w:val="14"/>
          <w:color w:val="auto"/>
        </w:rPr>
      </w:pPr>
    </w:p>
    <w:p>
      <w:pPr>
        <w:ind w:right="333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million in 1998. On a same center basis, net operating income increased 11% to $44.4 million in 1999 from $39.9 million in 1998.</w:t>
      </w:r>
    </w:p>
    <w:p>
      <w:pPr>
        <w:spacing w:after="0" w:line="26" w:lineRule="exact"/>
        <w:rPr>
          <w:rFonts w:ascii="Courier New" w:cs="Courier New" w:eastAsia="Courier New" w:hAnsi="Courier New"/>
          <w:sz w:val="14"/>
          <w:szCs w:val="14"/>
          <w:color w:val="auto"/>
        </w:rPr>
      </w:pPr>
    </w:p>
    <w:p>
      <w:pPr>
        <w:ind w:right="3339" w:firstLine="8"/>
        <w:spacing w:after="0" w:line="282" w:lineRule="auto"/>
        <w:tabs>
          <w:tab w:leader="none" w:pos="43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1999, the Trust signed leases for a total 430,000 square feet of retail space. On a same space basis, the Trust re-leased 324,000 square feet of retail space at an average increase in rent per square foot of 27%. The weighted average rent on these leases was $20.34 per square foot compared to the previous average rent of $16.02 per square foot.</w:t>
      </w:r>
    </w:p>
    <w:p>
      <w:pPr>
        <w:spacing w:after="0" w:line="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September 30, 1999 and 1998, the Trust's overall occupancy was 95%.</w:t>
      </w:r>
    </w:p>
    <w:p>
      <w:pPr>
        <w:spacing w:after="0" w:line="33" w:lineRule="exact"/>
        <w:rPr>
          <w:sz w:val="20"/>
          <w:szCs w:val="20"/>
          <w:color w:val="auto"/>
        </w:rPr>
      </w:pPr>
    </w:p>
    <w:p>
      <w:pPr>
        <w:ind w:right="3419"/>
        <w:spacing w:after="0" w:line="284" w:lineRule="auto"/>
        <w:rPr>
          <w:sz w:val="20"/>
          <w:szCs w:val="20"/>
          <w:color w:val="auto"/>
        </w:rPr>
      </w:pPr>
      <w:r>
        <w:rPr>
          <w:rFonts w:ascii="Courier New" w:cs="Courier New" w:eastAsia="Courier New" w:hAnsi="Courier New"/>
          <w:sz w:val="14"/>
          <w:szCs w:val="14"/>
          <w:color w:val="auto"/>
        </w:rPr>
        <w:t>Same center occupancy was 95% at September 30, 1999 and 1998. In October, the Trust sold Northeast Plaza Shopping Center in Atlanta, Georgia for $19.6 million in cash. The sale resulted in a 1% gain in portfolio-wide occupancy to 96%.</w:t>
      </w:r>
    </w:p>
    <w:p>
      <w:pPr>
        <w:spacing w:after="0" w:line="23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590" w:right="1440" w:bottom="1440" w:gutter="0" w:footer="0" w:header="0"/>
        </w:sectPr>
      </w:pPr>
    </w:p>
    <w:bookmarkStart w:id="10" w:name="page11"/>
    <w:bookmarkEnd w:id="10"/>
    <w:p>
      <w:pPr>
        <w:ind w:right="3419" w:firstLine="431"/>
        <w:spacing w:after="0" w:line="292" w:lineRule="auto"/>
        <w:rPr>
          <w:sz w:val="20"/>
          <w:szCs w:val="20"/>
          <w:color w:val="auto"/>
        </w:rPr>
      </w:pPr>
      <w:r>
        <w:rPr>
          <w:rFonts w:ascii="Courier New" w:cs="Courier New" w:eastAsia="Courier New" w:hAnsi="Courier New"/>
          <w:sz w:val="14"/>
          <w:szCs w:val="14"/>
          <w:color w:val="auto"/>
        </w:rPr>
        <w:t>Funds from operations also improved for the first nine months of 1999 increasing 14% to $72.3 million from $63.6 million in 1998. On a per share basis, funds from operations advanced 12% to $1.78 per share for the first nine months of 1999 compared to $1.59 for the comparable period of 1998.</w:t>
      </w:r>
    </w:p>
    <w:p>
      <w:pPr>
        <w:spacing w:after="0" w:line="56" w:lineRule="exact"/>
        <w:rPr>
          <w:sz w:val="20"/>
          <w:szCs w:val="20"/>
          <w:color w:val="auto"/>
        </w:rPr>
      </w:pPr>
    </w:p>
    <w:p>
      <w:pPr>
        <w:ind w:right="3519" w:firstLine="431"/>
        <w:spacing w:after="0" w:line="275" w:lineRule="auto"/>
        <w:rPr>
          <w:sz w:val="20"/>
          <w:szCs w:val="20"/>
          <w:color w:val="auto"/>
        </w:rPr>
      </w:pPr>
      <w:r>
        <w:rPr>
          <w:rFonts w:ascii="Courier New" w:cs="Courier New" w:eastAsia="Courier New" w:hAnsi="Courier New"/>
          <w:sz w:val="14"/>
          <w:szCs w:val="14"/>
          <w:color w:val="auto"/>
        </w:rPr>
        <w:t>Commenting on the results, Steven Guttman, President and Chief Executive Officer stated, "1999 continues to be a year of strong operational performance and execution. During the first nine months we have significantly accelerated FFO growth, improved operating margins in our core portfolio and reduced the costs of administrating the Trust. We are extremely pleased with the progress we've made in achieving our 1999 operating goals."</w:t>
      </w:r>
    </w:p>
    <w:p>
      <w:pPr>
        <w:spacing w:after="0" w:line="69" w:lineRule="exact"/>
        <w:rPr>
          <w:sz w:val="20"/>
          <w:szCs w:val="20"/>
          <w:color w:val="auto"/>
        </w:rPr>
      </w:pPr>
    </w:p>
    <w:p>
      <w:pPr>
        <w:ind w:right="3519" w:firstLine="431"/>
        <w:spacing w:after="0" w:line="27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123 retail properties, consisting of neighborhood and community shopping centers and main street retail properties, located in strategic metropolitan markets across the United States. These markets include Boston, New York, Philadelphia, Washington D.C., Chicago, San Antonio, Portland, San Francisco, Los Angeles, San Jose and San Diego.</w:t>
      </w:r>
    </w:p>
    <w:p>
      <w:pPr>
        <w:spacing w:after="0" w:line="72" w:lineRule="exact"/>
        <w:rPr>
          <w:sz w:val="20"/>
          <w:szCs w:val="20"/>
          <w:color w:val="auto"/>
        </w:rPr>
      </w:pPr>
    </w:p>
    <w:p>
      <w:pPr>
        <w:ind w:right="3419" w:firstLine="431"/>
        <w:spacing w:after="0" w:line="29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32 consecutive years. Shares of the Trust are traded on the New York Stock Exchange under the symbol:FRT.</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9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6"/>
        </w:trPr>
        <w:tc>
          <w:tcPr>
            <w:tcW w:w="6300" w:type="dxa"/>
            <w:vAlign w:val="bottom"/>
          </w:tcPr>
          <w:p>
            <w:pPr>
              <w:spacing w:after="0"/>
              <w:rPr>
                <w:sz w:val="14"/>
                <w:szCs w:val="14"/>
                <w:color w:val="auto"/>
              </w:rPr>
            </w:pPr>
          </w:p>
        </w:tc>
        <w:tc>
          <w:tcPr>
            <w:tcW w:w="25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Three months ended</w:t>
            </w:r>
          </w:p>
        </w:tc>
        <w:tc>
          <w:tcPr>
            <w:tcW w:w="2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c>
          <w:tcPr>
            <w:tcW w:w="0" w:type="dxa"/>
            <w:vAlign w:val="bottom"/>
          </w:tcPr>
          <w:p>
            <w:pPr>
              <w:spacing w:after="0"/>
              <w:rPr>
                <w:sz w:val="1"/>
                <w:szCs w:val="1"/>
                <w:color w:val="auto"/>
              </w:rPr>
            </w:pPr>
          </w:p>
        </w:tc>
      </w:tr>
      <w:tr>
        <w:trPr>
          <w:trHeight w:val="166"/>
        </w:trPr>
        <w:tc>
          <w:tcPr>
            <w:tcW w:w="6300" w:type="dxa"/>
            <w:vAlign w:val="bottom"/>
          </w:tcPr>
          <w:p>
            <w:pPr>
              <w:spacing w:after="0"/>
              <w:rPr>
                <w:sz w:val="14"/>
                <w:szCs w:val="14"/>
                <w:color w:val="auto"/>
              </w:rPr>
            </w:pPr>
          </w:p>
        </w:tc>
        <w:tc>
          <w:tcPr>
            <w:tcW w:w="25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September 30,</w:t>
            </w:r>
          </w:p>
        </w:tc>
        <w:tc>
          <w:tcPr>
            <w:tcW w:w="2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September 30, 1999</w:t>
            </w:r>
          </w:p>
        </w:tc>
        <w:tc>
          <w:tcPr>
            <w:tcW w:w="0" w:type="dxa"/>
            <w:vAlign w:val="bottom"/>
          </w:tcPr>
          <w:p>
            <w:pPr>
              <w:spacing w:after="0"/>
              <w:rPr>
                <w:sz w:val="1"/>
                <w:szCs w:val="1"/>
                <w:color w:val="auto"/>
              </w:rPr>
            </w:pPr>
          </w:p>
        </w:tc>
      </w:tr>
      <w:tr>
        <w:trPr>
          <w:trHeight w:val="166"/>
        </w:trPr>
        <w:tc>
          <w:tcPr>
            <w:tcW w:w="630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RESULTS</w:t>
            </w:r>
          </w:p>
        </w:tc>
        <w:tc>
          <w:tcPr>
            <w:tcW w:w="25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2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1999</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0" w:type="dxa"/>
            <w:vAlign w:val="bottom"/>
          </w:tcPr>
          <w:p>
            <w:pPr>
              <w:spacing w:after="0"/>
              <w:rPr>
                <w:sz w:val="1"/>
                <w:szCs w:val="1"/>
                <w:color w:val="auto"/>
              </w:rPr>
            </w:pPr>
          </w:p>
        </w:tc>
      </w:tr>
      <w:tr>
        <w:trPr>
          <w:trHeight w:val="242"/>
        </w:trPr>
        <w:tc>
          <w:tcPr>
            <w:tcW w:w="6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$61,971</w:t>
            </w:r>
          </w:p>
        </w:tc>
        <w:tc>
          <w:tcPr>
            <w:tcW w:w="15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$55,433</w:t>
            </w:r>
          </w:p>
        </w:tc>
        <w:tc>
          <w:tcPr>
            <w:tcW w:w="13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$181,078</w:t>
            </w:r>
          </w:p>
        </w:tc>
        <w:tc>
          <w:tcPr>
            <w:tcW w:w="7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8"/>
              </w:rPr>
              <w:t>$162,041</w:t>
            </w: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Rental Income</w:t>
            </w:r>
          </w:p>
        </w:tc>
        <w:tc>
          <w:tcPr>
            <w:tcW w:w="9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Other property income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3,349</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2,577</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8,176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7,613</w:t>
            </w: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Interest and other income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5,779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3,928</w:t>
            </w:r>
          </w:p>
        </w:tc>
        <w:tc>
          <w:tcPr>
            <w:tcW w:w="0" w:type="dxa"/>
            <w:vAlign w:val="bottom"/>
          </w:tcPr>
          <w:p>
            <w:pPr>
              <w:spacing w:after="0"/>
              <w:rPr>
                <w:sz w:val="1"/>
                <w:szCs w:val="1"/>
                <w:color w:val="auto"/>
              </w:rPr>
            </w:pPr>
          </w:p>
        </w:tc>
      </w:tr>
      <w:tr>
        <w:trPr>
          <w:trHeight w:val="166"/>
        </w:trPr>
        <w:tc>
          <w:tcPr>
            <w:tcW w:w="6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242"/>
        </w:trPr>
        <w:tc>
          <w:tcPr>
            <w:tcW w:w="630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67,255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59,003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195,033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173,582</w:t>
            </w:r>
          </w:p>
        </w:tc>
        <w:tc>
          <w:tcPr>
            <w:tcW w:w="0" w:type="dxa"/>
            <w:vAlign w:val="bottom"/>
          </w:tcPr>
          <w:p>
            <w:pPr>
              <w:spacing w:after="0"/>
              <w:rPr>
                <w:sz w:val="1"/>
                <w:szCs w:val="1"/>
                <w:color w:val="auto"/>
              </w:rPr>
            </w:pPr>
          </w:p>
        </w:tc>
      </w:tr>
      <w:tr>
        <w:trPr>
          <w:trHeight w:val="255"/>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12,950</w:t>
            </w:r>
          </w:p>
        </w:tc>
        <w:tc>
          <w:tcPr>
            <w:tcW w:w="15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12,005</w:t>
            </w:r>
          </w:p>
        </w:tc>
        <w:tc>
          <w:tcPr>
            <w:tcW w:w="13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39,054</w:t>
            </w:r>
          </w:p>
        </w:tc>
        <w:tc>
          <w:tcPr>
            <w:tcW w:w="7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35,274</w:t>
            </w: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Rental</w:t>
            </w:r>
          </w:p>
        </w:tc>
        <w:tc>
          <w:tcPr>
            <w:tcW w:w="9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Real estate taxes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6,477</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6,058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18,344</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17,275</w:t>
            </w: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Interest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14,989</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13,639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45,507</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39,736</w:t>
            </w: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Administrative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5,474</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7,585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10,888</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13,401</w:t>
            </w: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12,381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11,412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37,313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33,384</w:t>
            </w:r>
          </w:p>
        </w:tc>
        <w:tc>
          <w:tcPr>
            <w:tcW w:w="0" w:type="dxa"/>
            <w:vAlign w:val="bottom"/>
          </w:tcPr>
          <w:p>
            <w:pPr>
              <w:spacing w:after="0"/>
              <w:rPr>
                <w:sz w:val="1"/>
                <w:szCs w:val="1"/>
                <w:color w:val="auto"/>
              </w:rPr>
            </w:pPr>
          </w:p>
        </w:tc>
      </w:tr>
      <w:tr>
        <w:trPr>
          <w:trHeight w:val="166"/>
        </w:trPr>
        <w:tc>
          <w:tcPr>
            <w:tcW w:w="6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52,271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50,679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151,106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139,070</w:t>
            </w:r>
          </w:p>
        </w:tc>
        <w:tc>
          <w:tcPr>
            <w:tcW w:w="0" w:type="dxa"/>
            <w:vAlign w:val="bottom"/>
          </w:tcPr>
          <w:p>
            <w:pPr>
              <w:spacing w:after="0"/>
              <w:rPr>
                <w:sz w:val="1"/>
                <w:szCs w:val="1"/>
                <w:color w:val="auto"/>
              </w:rPr>
            </w:pPr>
          </w:p>
        </w:tc>
      </w:tr>
      <w:tr>
        <w:trPr>
          <w:trHeight w:val="242"/>
        </w:trPr>
        <w:tc>
          <w:tcPr>
            <w:tcW w:w="630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Operating income before investors' share operations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14,984</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8,324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43,927</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34,512</w:t>
            </w: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Investor's share of operations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(798)</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(2,322)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(2,335)</w:t>
            </w:r>
          </w:p>
        </w:tc>
        <w:tc>
          <w:tcPr>
            <w:tcW w:w="0" w:type="dxa"/>
            <w:vAlign w:val="bottom"/>
          </w:tcPr>
          <w:p>
            <w:pPr>
              <w:spacing w:after="0"/>
              <w:rPr>
                <w:sz w:val="1"/>
                <w:szCs w:val="1"/>
                <w:color w:val="auto"/>
              </w:rPr>
            </w:pPr>
          </w:p>
        </w:tc>
      </w:tr>
      <w:tr>
        <w:trPr>
          <w:trHeight w:val="166"/>
        </w:trPr>
        <w:tc>
          <w:tcPr>
            <w:tcW w:w="63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Income before loss on real estate to be sold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14,186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7,520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41,605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32,177</w:t>
            </w: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Loss on real estate to be sold</w:t>
            </w: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(7,050)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$14,186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$7,520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$34,555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$32,177</w:t>
            </w: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Dividends on preferred stock</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(1,988)</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(1,988)</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(5,983)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(5,963)</w:t>
            </w:r>
          </w:p>
        </w:tc>
        <w:tc>
          <w:tcPr>
            <w:tcW w:w="0" w:type="dxa"/>
            <w:vAlign w:val="bottom"/>
          </w:tcPr>
          <w:p>
            <w:pPr>
              <w:spacing w:after="0"/>
              <w:rPr>
                <w:sz w:val="1"/>
                <w:szCs w:val="1"/>
                <w:color w:val="auto"/>
              </w:rPr>
            </w:pPr>
          </w:p>
        </w:tc>
      </w:tr>
      <w:tr>
        <w:trPr>
          <w:trHeight w:val="166"/>
        </w:trPr>
        <w:tc>
          <w:tcPr>
            <w:tcW w:w="63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$12,198</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$5,532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$28,592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$26,214</w:t>
            </w:r>
          </w:p>
        </w:tc>
        <w:tc>
          <w:tcPr>
            <w:tcW w:w="0" w:type="dxa"/>
            <w:vAlign w:val="bottom"/>
          </w:tcPr>
          <w:p>
            <w:pPr>
              <w:spacing w:after="0"/>
              <w:rPr>
                <w:sz w:val="1"/>
                <w:szCs w:val="1"/>
                <w:color w:val="auto"/>
              </w:rPr>
            </w:pPr>
          </w:p>
        </w:tc>
      </w:tr>
      <w:tr>
        <w:trPr>
          <w:trHeight w:val="166"/>
        </w:trPr>
        <w:tc>
          <w:tcPr>
            <w:tcW w:w="63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Earnings per common share, basic</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c>
          <w:tcPr>
            <w:tcW w:w="0" w:type="dxa"/>
            <w:vAlign w:val="bottom"/>
          </w:tcPr>
          <w:p>
            <w:pPr>
              <w:spacing w:after="0"/>
              <w:rPr>
                <w:sz w:val="1"/>
                <w:szCs w:val="1"/>
                <w:color w:val="auto"/>
              </w:rPr>
            </w:pPr>
          </w:p>
        </w:tc>
      </w:tr>
      <w:tr>
        <w:trPr>
          <w:trHeight w:val="166"/>
        </w:trPr>
        <w:tc>
          <w:tcPr>
            <w:tcW w:w="63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Earnings per common share, diluted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$0.30</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$0.72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$ 0.67</w:t>
            </w:r>
          </w:p>
        </w:tc>
        <w:tc>
          <w:tcPr>
            <w:tcW w:w="0" w:type="dxa"/>
            <w:vAlign w:val="bottom"/>
          </w:tcPr>
          <w:p>
            <w:pPr>
              <w:spacing w:after="0"/>
              <w:rPr>
                <w:sz w:val="1"/>
                <w:szCs w:val="1"/>
                <w:color w:val="auto"/>
              </w:rPr>
            </w:pPr>
          </w:p>
        </w:tc>
      </w:tr>
      <w:tr>
        <w:trPr>
          <w:trHeight w:val="166"/>
        </w:trPr>
        <w:tc>
          <w:tcPr>
            <w:tcW w:w="63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Weighted average shares outstanding, basic</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39,634</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39,223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39,534</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39,115</w:t>
            </w:r>
          </w:p>
        </w:tc>
        <w:tc>
          <w:tcPr>
            <w:tcW w:w="0" w:type="dxa"/>
            <w:vAlign w:val="bottom"/>
          </w:tcPr>
          <w:p>
            <w:pPr>
              <w:spacing w:after="0"/>
              <w:rPr>
                <w:sz w:val="1"/>
                <w:szCs w:val="1"/>
                <w:color w:val="auto"/>
              </w:rPr>
            </w:pPr>
          </w:p>
        </w:tc>
      </w:tr>
      <w:tr>
        <w:trPr>
          <w:trHeight w:val="242"/>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40,701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40,067</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40,639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39,953</w:t>
            </w:r>
          </w:p>
        </w:tc>
        <w:tc>
          <w:tcPr>
            <w:tcW w:w="0" w:type="dxa"/>
            <w:vAlign w:val="bottom"/>
          </w:tcPr>
          <w:p>
            <w:pPr>
              <w:spacing w:after="0"/>
              <w:rPr>
                <w:sz w:val="1"/>
                <w:szCs w:val="1"/>
                <w:color w:val="auto"/>
              </w:rPr>
            </w:pPr>
          </w:p>
        </w:tc>
      </w:tr>
      <w:tr>
        <w:trPr>
          <w:trHeight w:val="255"/>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Funds from Operations</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$12,198</w:t>
            </w:r>
          </w:p>
        </w:tc>
        <w:tc>
          <w:tcPr>
            <w:tcW w:w="156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$5,532</w:t>
            </w:r>
          </w:p>
        </w:tc>
        <w:tc>
          <w:tcPr>
            <w:tcW w:w="1380" w:type="dxa"/>
            <w:vAlign w:val="bottom"/>
            <w:vMerge w:val="restart"/>
          </w:tcPr>
          <w:p>
            <w:pPr>
              <w:jc w:val="right"/>
              <w:ind w:right="548"/>
              <w:spacing w:after="0"/>
              <w:rPr>
                <w:sz w:val="20"/>
                <w:szCs w:val="20"/>
                <w:color w:val="auto"/>
              </w:rPr>
            </w:pPr>
            <w:r>
              <w:rPr>
                <w:rFonts w:ascii="Courier New" w:cs="Courier New" w:eastAsia="Courier New" w:hAnsi="Courier New"/>
                <w:sz w:val="14"/>
                <w:szCs w:val="14"/>
                <w:color w:val="auto"/>
              </w:rPr>
              <w:t>$28,592</w:t>
            </w:r>
          </w:p>
        </w:tc>
        <w:tc>
          <w:tcPr>
            <w:tcW w:w="7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$26,214</w:t>
            </w:r>
          </w:p>
        </w:tc>
        <w:tc>
          <w:tcPr>
            <w:tcW w:w="0" w:type="dxa"/>
            <w:vAlign w:val="bottom"/>
          </w:tcPr>
          <w:p>
            <w:pPr>
              <w:spacing w:after="0"/>
              <w:rPr>
                <w:sz w:val="1"/>
                <w:szCs w:val="1"/>
                <w:color w:val="auto"/>
              </w:rPr>
            </w:pPr>
          </w:p>
        </w:tc>
      </w:tr>
      <w:tr>
        <w:trPr>
          <w:trHeight w:val="166"/>
        </w:trPr>
        <w:tc>
          <w:tcPr>
            <w:tcW w:w="6300" w:type="dxa"/>
            <w:vAlign w:val="bottom"/>
          </w:tcPr>
          <w:p>
            <w:pPr>
              <w:ind w:left="138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9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1380"/>
              <w:spacing w:after="0"/>
              <w:rPr>
                <w:sz w:val="20"/>
                <w:szCs w:val="20"/>
                <w:color w:val="auto"/>
              </w:rPr>
            </w:pPr>
            <w:r>
              <w:rPr>
                <w:rFonts w:ascii="Courier New" w:cs="Courier New" w:eastAsia="Courier New" w:hAnsi="Courier New"/>
                <w:sz w:val="14"/>
                <w:szCs w:val="14"/>
                <w:color w:val="auto"/>
              </w:rPr>
              <w:t>Add: loss on sale of real estate</w:t>
            </w: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7,050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tcPr>
          <w:p>
            <w:pPr>
              <w:ind w:left="1380"/>
              <w:spacing w:after="0"/>
              <w:rPr>
                <w:sz w:val="20"/>
                <w:szCs w:val="20"/>
                <w:color w:val="auto"/>
              </w:rPr>
            </w:pPr>
            <w:r>
              <w:rPr>
                <w:rFonts w:ascii="Courier New" w:cs="Courier New" w:eastAsia="Courier New" w:hAnsi="Courier New"/>
                <w:sz w:val="14"/>
                <w:szCs w:val="14"/>
                <w:color w:val="auto"/>
              </w:rPr>
              <w:t>Add: nonrecurring charge</w:t>
            </w: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4,665</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4,665</w:t>
            </w:r>
          </w:p>
        </w:tc>
        <w:tc>
          <w:tcPr>
            <w:tcW w:w="0" w:type="dxa"/>
            <w:vAlign w:val="bottom"/>
          </w:tcPr>
          <w:p>
            <w:pPr>
              <w:spacing w:after="0"/>
              <w:rPr>
                <w:sz w:val="1"/>
                <w:szCs w:val="1"/>
                <w:color w:val="auto"/>
              </w:rPr>
            </w:pPr>
          </w:p>
        </w:tc>
      </w:tr>
      <w:tr>
        <w:trPr>
          <w:trHeight w:val="166"/>
        </w:trPr>
        <w:tc>
          <w:tcPr>
            <w:tcW w:w="6300" w:type="dxa"/>
            <w:vAlign w:val="bottom"/>
          </w:tcPr>
          <w:p>
            <w:pPr>
              <w:ind w:left="1380"/>
              <w:spacing w:after="0"/>
              <w:rPr>
                <w:sz w:val="20"/>
                <w:szCs w:val="20"/>
                <w:color w:val="auto"/>
              </w:rPr>
            </w:pPr>
            <w:r>
              <w:rPr>
                <w:rFonts w:ascii="Courier New" w:cs="Courier New" w:eastAsia="Courier New" w:hAnsi="Courier New"/>
                <w:sz w:val="14"/>
                <w:szCs w:val="14"/>
                <w:color w:val="auto"/>
              </w:rPr>
              <w:t>Add: depreciation and amortization of real estate assets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11,232</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10,323</w:t>
            </w:r>
          </w:p>
        </w:tc>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33,849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30,229</w:t>
            </w:r>
          </w:p>
        </w:tc>
        <w:tc>
          <w:tcPr>
            <w:tcW w:w="0" w:type="dxa"/>
            <w:vAlign w:val="bottom"/>
          </w:tcPr>
          <w:p>
            <w:pPr>
              <w:spacing w:after="0"/>
              <w:rPr>
                <w:sz w:val="1"/>
                <w:szCs w:val="1"/>
                <w:color w:val="auto"/>
              </w:rPr>
            </w:pPr>
          </w:p>
        </w:tc>
      </w:tr>
      <w:tr>
        <w:trPr>
          <w:trHeight w:val="166"/>
        </w:trPr>
        <w:tc>
          <w:tcPr>
            <w:tcW w:w="6300" w:type="dxa"/>
            <w:vAlign w:val="bottom"/>
          </w:tcPr>
          <w:p>
            <w:pPr>
              <w:ind w:left="1380"/>
              <w:spacing w:after="0"/>
              <w:rPr>
                <w:sz w:val="20"/>
                <w:szCs w:val="20"/>
                <w:color w:val="auto"/>
              </w:rPr>
            </w:pPr>
            <w:r>
              <w:rPr>
                <w:rFonts w:ascii="Courier New" w:cs="Courier New" w:eastAsia="Courier New" w:hAnsi="Courier New"/>
                <w:sz w:val="14"/>
                <w:szCs w:val="14"/>
                <w:color w:val="auto"/>
              </w:rPr>
              <w:t>Add: amortization of initial direct costs of leases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775</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646</w:t>
            </w:r>
          </w:p>
        </w:tc>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2,235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1,837</w:t>
            </w:r>
          </w:p>
        </w:tc>
        <w:tc>
          <w:tcPr>
            <w:tcW w:w="0" w:type="dxa"/>
            <w:vAlign w:val="bottom"/>
          </w:tcPr>
          <w:p>
            <w:pPr>
              <w:spacing w:after="0"/>
              <w:rPr>
                <w:sz w:val="1"/>
                <w:szCs w:val="1"/>
                <w:color w:val="auto"/>
              </w:rPr>
            </w:pPr>
          </w:p>
        </w:tc>
      </w:tr>
      <w:tr>
        <w:trPr>
          <w:trHeight w:val="242"/>
        </w:trPr>
        <w:tc>
          <w:tcPr>
            <w:tcW w:w="6300" w:type="dxa"/>
            <w:vAlign w:val="bottom"/>
          </w:tcPr>
          <w:p>
            <w:pPr>
              <w:ind w:left="1380"/>
              <w:spacing w:after="0"/>
              <w:rPr>
                <w:sz w:val="20"/>
                <w:szCs w:val="20"/>
                <w:color w:val="auto"/>
              </w:rPr>
            </w:pPr>
            <w:r>
              <w:rPr>
                <w:rFonts w:ascii="Courier New" w:cs="Courier New" w:eastAsia="Courier New" w:hAnsi="Courier New"/>
                <w:sz w:val="14"/>
                <w:szCs w:val="14"/>
                <w:color w:val="auto"/>
              </w:rPr>
              <w:t>Add: income attributable to operating partnership units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268</w:t>
            </w:r>
          </w:p>
        </w:tc>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552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682</w:t>
            </w:r>
          </w:p>
        </w:tc>
        <w:tc>
          <w:tcPr>
            <w:tcW w:w="0" w:type="dxa"/>
            <w:vAlign w:val="bottom"/>
          </w:tcPr>
          <w:p>
            <w:pPr>
              <w:spacing w:after="0"/>
              <w:rPr>
                <w:sz w:val="1"/>
                <w:szCs w:val="1"/>
                <w:color w:val="auto"/>
              </w:rPr>
            </w:pPr>
          </w:p>
        </w:tc>
      </w:tr>
      <w:tr>
        <w:trPr>
          <w:trHeight w:val="255"/>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Funds from operations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$24,396</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$21,434</w:t>
            </w:r>
          </w:p>
        </w:tc>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$72,278</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$63,617</w:t>
            </w:r>
          </w:p>
        </w:tc>
        <w:tc>
          <w:tcPr>
            <w:tcW w:w="0" w:type="dxa"/>
            <w:vAlign w:val="bottom"/>
          </w:tcPr>
          <w:p>
            <w:pPr>
              <w:spacing w:after="0"/>
              <w:rPr>
                <w:sz w:val="1"/>
                <w:szCs w:val="1"/>
                <w:color w:val="auto"/>
              </w:rPr>
            </w:pPr>
          </w:p>
        </w:tc>
      </w:tr>
      <w:tr>
        <w:trPr>
          <w:trHeight w:val="166"/>
        </w:trPr>
        <w:tc>
          <w:tcPr>
            <w:tcW w:w="63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Funds from operations per share, diluted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$0.60</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$0.54</w:t>
            </w:r>
          </w:p>
        </w:tc>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$1.78</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c>
          <w:tcPr>
            <w:tcW w:w="0" w:type="dxa"/>
            <w:vAlign w:val="bottom"/>
          </w:tcPr>
          <w:p>
            <w:pPr>
              <w:spacing w:after="0"/>
              <w:rPr>
                <w:sz w:val="1"/>
                <w:szCs w:val="1"/>
                <w:color w:val="auto"/>
              </w:rPr>
            </w:pPr>
          </w:p>
        </w:tc>
      </w:tr>
      <w:tr>
        <w:trPr>
          <w:trHeight w:val="242"/>
        </w:trPr>
        <w:tc>
          <w:tcPr>
            <w:tcW w:w="6300" w:type="dxa"/>
            <w:vAlign w:val="bottom"/>
          </w:tcPr>
          <w:p>
            <w:pPr>
              <w:spacing w:after="0"/>
              <w:rPr>
                <w:sz w:val="21"/>
                <w:szCs w:val="21"/>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87"/>
        </w:trPr>
        <w:tc>
          <w:tcPr>
            <w:tcW w:w="6300" w:type="dxa"/>
            <w:vAlign w:val="bottom"/>
            <w:vMerge w:val="restart"/>
          </w:tcPr>
          <w:p>
            <w:pPr>
              <w:spacing w:after="0"/>
              <w:rPr>
                <w:sz w:val="20"/>
                <w:szCs w:val="20"/>
                <w:color w:val="auto"/>
              </w:rPr>
            </w:pPr>
            <w:r>
              <w:rPr>
                <w:rFonts w:ascii="Courier New" w:cs="Courier New" w:eastAsia="Courier New" w:hAnsi="Courier New"/>
                <w:sz w:val="14"/>
                <w:szCs w:val="14"/>
                <w:color w:val="auto"/>
              </w:rPr>
              <w:t>BALANCE SHEET DATA</w:t>
            </w:r>
          </w:p>
        </w:tc>
        <w:tc>
          <w:tcPr>
            <w:tcW w:w="940" w:type="dxa"/>
            <w:vAlign w:val="bottom"/>
          </w:tcPr>
          <w:p>
            <w:pPr>
              <w:spacing w:after="0"/>
              <w:rPr>
                <w:sz w:val="24"/>
                <w:szCs w:val="2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September 30,</w:t>
            </w:r>
          </w:p>
        </w:tc>
        <w:tc>
          <w:tcPr>
            <w:tcW w:w="21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21"/>
                <w:szCs w:val="21"/>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1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Assets</w:t>
            </w:r>
          </w:p>
        </w:tc>
        <w:tc>
          <w:tcPr>
            <w:tcW w:w="940" w:type="dxa"/>
            <w:vAlign w:val="bottom"/>
          </w:tcPr>
          <w:p>
            <w:pPr>
              <w:spacing w:after="0"/>
              <w:rPr>
                <w:sz w:val="22"/>
                <w:szCs w:val="22"/>
                <w:color w:val="auto"/>
              </w:rPr>
            </w:pPr>
          </w:p>
        </w:tc>
        <w:tc>
          <w:tcPr>
            <w:tcW w:w="15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$1,729,174</w:t>
            </w:r>
          </w:p>
        </w:tc>
        <w:tc>
          <w:tcPr>
            <w:tcW w:w="13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$1,642,136</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Real estate, at cost</w:t>
            </w:r>
          </w:p>
        </w:tc>
        <w:tc>
          <w:tcPr>
            <w:tcW w:w="9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940" w:type="dxa"/>
            <w:vAlign w:val="bottom"/>
          </w:tcPr>
          <w:p>
            <w:pPr>
              <w:spacing w:after="0"/>
              <w:rPr>
                <w:sz w:val="14"/>
                <w:szCs w:val="14"/>
                <w:color w:val="auto"/>
              </w:rPr>
            </w:pP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(319,959)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(286,053)</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Mortgage notes receivable</w:t>
            </w: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1,409,215</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1,356,083</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58,330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51,154</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Cash and investments</w:t>
            </w: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15,090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17,230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Receivables</w:t>
            </w: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18,216</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17,873</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41,031</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41,977</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Assets</w:t>
            </w: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$1,541,882</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$1,484,317</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3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Liabilities and Shareholders' Equity</w:t>
            </w:r>
          </w:p>
        </w:tc>
        <w:tc>
          <w:tcPr>
            <w:tcW w:w="940" w:type="dxa"/>
            <w:vAlign w:val="bottom"/>
          </w:tcPr>
          <w:p>
            <w:pPr>
              <w:spacing w:after="0"/>
              <w:rPr>
                <w:sz w:val="21"/>
                <w:szCs w:val="21"/>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3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56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  172,808</w:t>
            </w:r>
          </w:p>
        </w:tc>
        <w:tc>
          <w:tcPr>
            <w:tcW w:w="13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173,480</w:t>
            </w: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9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Notes payable</w:t>
            </w: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341,805</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263,159</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Senior Notes</w:t>
            </w: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335,000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335,000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5 1/4% Convertible subordinated debentures</w:t>
            </w: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75,289</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75,289</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30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w:t>
            </w:r>
          </w:p>
        </w:tc>
        <w:tc>
          <w:tcPr>
            <w:tcW w:w="940" w:type="dxa"/>
            <w:vAlign w:val="bottom"/>
          </w:tcPr>
          <w:p>
            <w:pPr>
              <w:spacing w:after="0"/>
              <w:rPr>
                <w:sz w:val="21"/>
                <w:szCs w:val="21"/>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107,271</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107,442</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940" w:type="dxa"/>
            <w:vAlign w:val="bottom"/>
          </w:tcPr>
          <w:p>
            <w:pPr>
              <w:spacing w:after="0"/>
              <w:rPr>
                <w:sz w:val="22"/>
                <w:szCs w:val="22"/>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509,709</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529,947</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3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9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300" w:type="dxa"/>
            <w:vAlign w:val="bottom"/>
            <w:vMerge w:val="continue"/>
          </w:tcPr>
          <w:p>
            <w:pPr>
              <w:spacing w:after="0"/>
              <w:rPr>
                <w:sz w:val="21"/>
                <w:szCs w:val="21"/>
                <w:color w:val="auto"/>
              </w:rPr>
            </w:pPr>
          </w:p>
        </w:tc>
        <w:tc>
          <w:tcPr>
            <w:tcW w:w="940" w:type="dxa"/>
            <w:vAlign w:val="bottom"/>
          </w:tcPr>
          <w:p>
            <w:pPr>
              <w:spacing w:after="0"/>
              <w:rPr>
                <w:sz w:val="21"/>
                <w:szCs w:val="21"/>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$1,541,882</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$1,484,317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20" w:top="756" w:right="739" w:bottom="1440" w:gutter="0" w:footer="0" w:header="0"/>
        </w:sectPr>
      </w:pPr>
    </w:p>
    <w:bookmarkStart w:id="12" w:name="page13"/>
    <w:bookmarkEnd w:id="12"/>
    <w:p>
      <w:pPr>
        <w:jc w:val="center"/>
        <w:ind w:right="3419"/>
        <w:spacing w:after="0"/>
        <w:rPr>
          <w:sz w:val="20"/>
          <w:szCs w:val="20"/>
          <w:color w:val="auto"/>
        </w:rPr>
      </w:pPr>
      <w:r>
        <w:rPr>
          <w:rFonts w:ascii="Courier New" w:cs="Courier New" w:eastAsia="Courier New" w:hAnsi="Courier New"/>
          <w:sz w:val="14"/>
          <w:szCs w:val="14"/>
          <w:color w:val="auto"/>
        </w:rPr>
        <w:t>Glossary of Terms</w:t>
      </w:r>
    </w:p>
    <w:p>
      <w:pPr>
        <w:spacing w:after="0" w:line="173" w:lineRule="exact"/>
        <w:rPr>
          <w:sz w:val="20"/>
          <w:szCs w:val="20"/>
          <w:color w:val="auto"/>
        </w:rPr>
      </w:pPr>
    </w:p>
    <w:p>
      <w:pPr>
        <w:ind w:right="3599"/>
        <w:spacing w:after="0" w:line="37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 w:lineRule="exact"/>
        <w:rPr>
          <w:sz w:val="20"/>
          <w:szCs w:val="20"/>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42"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 w:lineRule="exact"/>
        <w:rPr>
          <w:sz w:val="20"/>
          <w:szCs w:val="20"/>
          <w:color w:val="auto"/>
        </w:rPr>
      </w:pPr>
    </w:p>
    <w:p>
      <w:pPr>
        <w:ind w:right="3679"/>
        <w:spacing w:after="0" w:line="375" w:lineRule="auto"/>
        <w:rPr>
          <w:sz w:val="20"/>
          <w:szCs w:val="20"/>
          <w:color w:val="auto"/>
        </w:rPr>
      </w:pPr>
      <w:r>
        <w:rPr>
          <w:rFonts w:ascii="Courier New" w:cs="Courier New" w:eastAsia="Courier New" w:hAnsi="Courier New"/>
          <w:sz w:val="14"/>
          <w:szCs w:val="14"/>
          <w:color w:val="auto"/>
        </w:rPr>
        <w:t>Net Operating Income: Gross revenues, including interest income, less rental expenses and real estate taxes.</w:t>
      </w:r>
    </w:p>
    <w:p>
      <w:pPr>
        <w:spacing w:after="0" w:line="1" w:lineRule="exact"/>
        <w:rPr>
          <w:sz w:val="20"/>
          <w:szCs w:val="20"/>
          <w:color w:val="auto"/>
        </w:rPr>
      </w:pPr>
    </w:p>
    <w:p>
      <w:pPr>
        <w:ind w:right="3419"/>
        <w:spacing w:after="0" w:line="313"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42"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Overall occupancy: Occupancy for the entire portfolio -- includes all operating properties owned in reporting period.</w:t>
      </w:r>
    </w:p>
    <w:p>
      <w:pPr>
        <w:spacing w:after="0" w:line="1" w:lineRule="exact"/>
        <w:rPr>
          <w:sz w:val="20"/>
          <w:szCs w:val="20"/>
          <w:color w:val="auto"/>
        </w:rPr>
      </w:pPr>
    </w:p>
    <w:p>
      <w:pPr>
        <w:ind w:right="3519"/>
        <w:spacing w:after="0" w:line="313" w:lineRule="auto"/>
        <w:rPr>
          <w:sz w:val="20"/>
          <w:szCs w:val="20"/>
          <w:color w:val="auto"/>
        </w:rPr>
      </w:pPr>
      <w:r>
        <w:rPr>
          <w:rFonts w:ascii="Courier New" w:cs="Courier New" w:eastAsia="Courier New" w:hAnsi="Courier New"/>
          <w:sz w:val="14"/>
          <w:szCs w:val="14"/>
          <w:color w:val="auto"/>
        </w:rPr>
        <w:t>Same center occupancy: Occupancy for only those properties owned and operating in the periods being compared. Excludes center purchased or sold as well as properties under redevelopment.</w:t>
      </w:r>
    </w:p>
    <w:p>
      <w:pPr>
        <w:spacing w:after="0" w:line="42" w:lineRule="exact"/>
        <w:rPr>
          <w:sz w:val="20"/>
          <w:szCs w:val="20"/>
          <w:color w:val="auto"/>
        </w:rPr>
      </w:pPr>
    </w:p>
    <w:p>
      <w:pPr>
        <w:ind w:right="3339"/>
        <w:spacing w:after="0" w:line="282"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5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3"/>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2020-02-22T16:33:22Z</dcterms:created>
  <dcterms:modified xsi:type="dcterms:W3CDTF">2020-02-22T16:33:22Z</dcterms:modified>
</cp:coreProperties>
</file>