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May 3, 2017</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340"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800" w:space="720"/>
            <w:col w:w="2580" w:space="720"/>
            <w:col w:w="2160"/>
          </w:cols>
          <w:pgMar w:left="240" w:top="679" w:right="679" w:bottom="1440" w:gutter="0" w:footer="0" w:header="0"/>
          <w:type w:val="continuous"/>
        </w:sectPr>
      </w:pPr>
    </w:p>
    <w:p>
      <w:pPr>
        <w:spacing w:after="0" w:line="1" w:lineRule="exact"/>
        <w:rPr>
          <w:sz w:val="24"/>
          <w:szCs w:val="24"/>
          <w:color w:val="auto"/>
        </w:rPr>
      </w:pPr>
    </w:p>
    <w:p>
      <w:pPr>
        <w:jc w:val="center"/>
        <w:ind w:right="18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right="1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3"/>
          <w:szCs w:val="13"/>
          <w:b w:val="1"/>
          <w:bCs w:val="1"/>
          <w:color w:val="auto"/>
        </w:rPr>
        <w:t>(IRS Employer</w:t>
      </w:r>
    </w:p>
    <w:p>
      <w:pPr>
        <w:jc w:val="center"/>
        <w:ind w:right="122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40" w:space="720"/>
            <w:col w:w="2580" w:space="720"/>
            <w:col w:w="2220"/>
          </w:cols>
          <w:pgMar w:left="240" w:top="679" w:right="679" w:bottom="1440" w:gutter="0" w:footer="0" w:header="0"/>
          <w:type w:val="continuous"/>
        </w:sectPr>
      </w:pPr>
    </w:p>
    <w:p>
      <w:pPr>
        <w:spacing w:after="0" w:line="163"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520" w:right="100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980"/>
          </w:cols>
          <w:pgMar w:left="240" w:top="679" w:right="679" w:bottom="1440" w:gutter="0" w:footer="0" w:header="0"/>
          <w:type w:val="continuous"/>
        </w:sectPr>
      </w:pPr>
    </w:p>
    <w:p>
      <w:pPr>
        <w:spacing w:after="0" w:line="33" w:lineRule="exact"/>
        <w:rPr>
          <w:sz w:val="24"/>
          <w:szCs w:val="24"/>
          <w:color w:val="auto"/>
        </w:rPr>
      </w:pPr>
    </w:p>
    <w:p>
      <w:pPr>
        <w:ind w:left="83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2">
            <w:col w:w="10280" w:space="260"/>
            <w:col w:w="440"/>
          </w:cols>
          <w:pgMar w:left="240" w:top="679" w:right="679" w:bottom="1440" w:gutter="0" w:footer="0" w:header="0"/>
          <w:type w:val="continuous"/>
        </w:sectPr>
      </w:pPr>
    </w:p>
    <w:p>
      <w:pPr>
        <w:spacing w:after="0" w:line="33" w:lineRule="exact"/>
        <w:rPr>
          <w:sz w:val="24"/>
          <w:szCs w:val="24"/>
          <w:color w:val="auto"/>
        </w:rPr>
      </w:pPr>
    </w:p>
    <w:p>
      <w:pPr>
        <w:ind w:left="520" w:right="280"/>
        <w:spacing w:after="0" w:line="342" w:lineRule="auto"/>
        <w:rPr>
          <w:sz w:val="20"/>
          <w:szCs w:val="20"/>
          <w:color w:val="auto"/>
        </w:rPr>
      </w:pPr>
      <w:r>
        <w:rPr>
          <w:rFonts w:ascii="Arial" w:cs="Arial" w:eastAsia="Arial" w:hAnsi="Arial"/>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9820" w:space="720"/>
            <w:col w:w="440"/>
          </w:cols>
          <w:pgMar w:left="240" w:top="679" w:right="6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0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annual meeting of shareholders of the Trust was held on May 3, 2017 in North Bethesda, Maryland. The following table sets forth the matters presented for a vote by the shareholders and the voting results with respect to such matters: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90"/>
              </w:rPr>
              <w:t>Votes Withheld/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361"/>
              <w:spacing w:after="0"/>
              <w:rPr>
                <w:sz w:val="20"/>
                <w:szCs w:val="20"/>
                <w:color w:val="auto"/>
              </w:rPr>
            </w:pPr>
            <w:r>
              <w:rPr>
                <w:rFonts w:ascii="Arial" w:cs="Arial" w:eastAsia="Arial" w:hAnsi="Arial"/>
                <w:sz w:val="20"/>
                <w:szCs w:val="20"/>
                <w:b w:val="1"/>
                <w:bCs w:val="1"/>
                <w:color w:val="auto"/>
              </w:rPr>
              <w:t>Broker</w:t>
            </w:r>
          </w:p>
        </w:tc>
      </w:tr>
      <w:tr>
        <w:trPr>
          <w:trHeight w:val="256"/>
        </w:trPr>
        <w:tc>
          <w:tcPr>
            <w:tcW w:w="5120" w:type="dxa"/>
            <w:vAlign w:val="bottom"/>
            <w:gridSpan w:val="2"/>
          </w:tcPr>
          <w:p>
            <w:pPr>
              <w:ind w:left="2400"/>
              <w:spacing w:after="0"/>
              <w:rPr>
                <w:sz w:val="20"/>
                <w:szCs w:val="20"/>
                <w:color w:val="auto"/>
              </w:rPr>
            </w:pPr>
            <w:r>
              <w:rPr>
                <w:rFonts w:ascii="Arial" w:cs="Arial" w:eastAsia="Arial" w:hAnsi="Arial"/>
                <w:sz w:val="20"/>
                <w:szCs w:val="20"/>
                <w:b w:val="1"/>
                <w:bCs w:val="1"/>
                <w:color w:val="auto"/>
              </w:rPr>
              <w:t>Matter</w:t>
            </w:r>
          </w:p>
        </w:tc>
        <w:tc>
          <w:tcPr>
            <w:tcW w:w="1500" w:type="dxa"/>
            <w:vAlign w:val="bottom"/>
            <w:gridSpan w:val="2"/>
          </w:tcPr>
          <w:p>
            <w:pPr>
              <w:ind w:left="260"/>
              <w:spacing w:after="0"/>
              <w:rPr>
                <w:sz w:val="20"/>
                <w:szCs w:val="20"/>
                <w:color w:val="auto"/>
              </w:rPr>
            </w:pPr>
            <w:r>
              <w:rPr>
                <w:rFonts w:ascii="Arial" w:cs="Arial" w:eastAsia="Arial" w:hAnsi="Arial"/>
                <w:sz w:val="20"/>
                <w:szCs w:val="20"/>
                <w:b w:val="1"/>
                <w:bCs w:val="1"/>
                <w:color w:val="auto"/>
              </w:rPr>
              <w:t>Votes For</w:t>
            </w:r>
          </w:p>
        </w:tc>
        <w:tc>
          <w:tcPr>
            <w:tcW w:w="1860" w:type="dxa"/>
            <w:vAlign w:val="bottom"/>
            <w:gridSpan w:val="2"/>
          </w:tcPr>
          <w:p>
            <w:pPr>
              <w:jc w:val="center"/>
              <w:ind w:right="140"/>
              <w:spacing w:after="0"/>
              <w:rPr>
                <w:sz w:val="20"/>
                <w:szCs w:val="20"/>
                <w:color w:val="auto"/>
              </w:rPr>
            </w:pPr>
            <w:r>
              <w:rPr>
                <w:rFonts w:ascii="Arial" w:cs="Arial" w:eastAsia="Arial" w:hAnsi="Arial"/>
                <w:sz w:val="20"/>
                <w:szCs w:val="20"/>
                <w:b w:val="1"/>
                <w:bCs w:val="1"/>
                <w:color w:val="auto"/>
                <w:w w:val="87"/>
              </w:rPr>
              <w:t>Against</w:t>
            </w:r>
          </w:p>
        </w:tc>
        <w:tc>
          <w:tcPr>
            <w:tcW w:w="1460" w:type="dxa"/>
            <w:vAlign w:val="bottom"/>
            <w:gridSpan w:val="2"/>
          </w:tcPr>
          <w:p>
            <w:pPr>
              <w:ind w:left="180"/>
              <w:spacing w:after="0"/>
              <w:rPr>
                <w:sz w:val="20"/>
                <w:szCs w:val="20"/>
                <w:color w:val="auto"/>
              </w:rPr>
            </w:pPr>
            <w:r>
              <w:rPr>
                <w:rFonts w:ascii="Arial" w:cs="Arial" w:eastAsia="Arial" w:hAnsi="Arial"/>
                <w:sz w:val="20"/>
                <w:szCs w:val="20"/>
                <w:b w:val="1"/>
                <w:bCs w:val="1"/>
                <w:color w:val="auto"/>
              </w:rPr>
              <w:t>Abstentions</w:t>
            </w:r>
          </w:p>
        </w:tc>
        <w:tc>
          <w:tcPr>
            <w:tcW w:w="1480" w:type="dxa"/>
            <w:vAlign w:val="bottom"/>
          </w:tcPr>
          <w:p>
            <w:pPr>
              <w:jc w:val="right"/>
              <w:ind w:right="201"/>
              <w:spacing w:after="0"/>
              <w:rPr>
                <w:sz w:val="20"/>
                <w:szCs w:val="20"/>
                <w:color w:val="auto"/>
              </w:rPr>
            </w:pPr>
            <w:r>
              <w:rPr>
                <w:rFonts w:ascii="Arial" w:cs="Arial" w:eastAsia="Arial" w:hAnsi="Arial"/>
                <w:sz w:val="20"/>
                <w:szCs w:val="20"/>
                <w:b w:val="1"/>
                <w:bCs w:val="1"/>
                <w:color w:val="auto"/>
              </w:rPr>
              <w:t>Non-Votes</w:t>
            </w:r>
          </w:p>
        </w:tc>
      </w:tr>
      <w:tr>
        <w:trPr>
          <w:trHeight w:val="23"/>
        </w:trPr>
        <w:tc>
          <w:tcPr>
            <w:tcW w:w="4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4"/>
        </w:trPr>
        <w:tc>
          <w:tcPr>
            <w:tcW w:w="5120" w:type="dxa"/>
            <w:vAlign w:val="bottom"/>
            <w:gridSpan w:val="2"/>
          </w:tcPr>
          <w:p>
            <w:pPr>
              <w:ind w:left="40"/>
              <w:spacing w:after="0"/>
              <w:rPr>
                <w:sz w:val="20"/>
                <w:szCs w:val="20"/>
                <w:color w:val="auto"/>
              </w:rPr>
            </w:pPr>
            <w:r>
              <w:rPr>
                <w:rFonts w:ascii="Arial" w:cs="Arial" w:eastAsia="Arial" w:hAnsi="Arial"/>
                <w:sz w:val="20"/>
                <w:szCs w:val="20"/>
                <w:b w:val="1"/>
                <w:bCs w:val="1"/>
                <w:color w:val="auto"/>
              </w:rPr>
              <w:t>Proposal 1: Election of Trustees</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4"/>
        </w:trPr>
        <w:tc>
          <w:tcPr>
            <w:tcW w:w="5120" w:type="dxa"/>
            <w:vAlign w:val="bottom"/>
            <w:gridSpan w:val="2"/>
          </w:tcPr>
          <w:p>
            <w:pPr>
              <w:ind w:left="460"/>
              <w:spacing w:after="0"/>
              <w:rPr>
                <w:sz w:val="20"/>
                <w:szCs w:val="20"/>
                <w:color w:val="auto"/>
              </w:rPr>
            </w:pPr>
            <w:r>
              <w:rPr>
                <w:rFonts w:ascii="Arial" w:cs="Arial" w:eastAsia="Arial" w:hAnsi="Arial"/>
                <w:sz w:val="20"/>
                <w:szCs w:val="20"/>
                <w:color w:val="auto"/>
              </w:rPr>
              <w:t>Jon E. Bortz</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60,847,955</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582,239</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61,526</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3,487,530</w:t>
            </w:r>
          </w:p>
        </w:tc>
      </w:tr>
      <w:tr>
        <w:trPr>
          <w:trHeight w:val="284"/>
        </w:trPr>
        <w:tc>
          <w:tcPr>
            <w:tcW w:w="5120" w:type="dxa"/>
            <w:vAlign w:val="bottom"/>
            <w:gridSpan w:val="2"/>
          </w:tcPr>
          <w:p>
            <w:pPr>
              <w:ind w:left="460"/>
              <w:spacing w:after="0"/>
              <w:rPr>
                <w:sz w:val="20"/>
                <w:szCs w:val="20"/>
                <w:color w:val="auto"/>
              </w:rPr>
            </w:pPr>
            <w:r>
              <w:rPr>
                <w:rFonts w:ascii="Arial" w:cs="Arial" w:eastAsia="Arial" w:hAnsi="Arial"/>
                <w:sz w:val="20"/>
                <w:szCs w:val="20"/>
                <w:color w:val="auto"/>
              </w:rPr>
              <w:t>David W. Faeder</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59,465,961</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1,967,680</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58,079</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3,487,530</w:t>
            </w:r>
          </w:p>
        </w:tc>
      </w:tr>
      <w:tr>
        <w:trPr>
          <w:trHeight w:val="284"/>
        </w:trPr>
        <w:tc>
          <w:tcPr>
            <w:tcW w:w="5120" w:type="dxa"/>
            <w:vAlign w:val="bottom"/>
            <w:gridSpan w:val="2"/>
          </w:tcPr>
          <w:p>
            <w:pPr>
              <w:ind w:left="460"/>
              <w:spacing w:after="0"/>
              <w:rPr>
                <w:sz w:val="20"/>
                <w:szCs w:val="20"/>
                <w:color w:val="auto"/>
              </w:rPr>
            </w:pPr>
            <w:r>
              <w:rPr>
                <w:rFonts w:ascii="Arial" w:cs="Arial" w:eastAsia="Arial" w:hAnsi="Arial"/>
                <w:sz w:val="20"/>
                <w:szCs w:val="20"/>
                <w:color w:val="auto"/>
              </w:rPr>
              <w:t>Elizabeth I. Holland</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61,264,369</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168,444</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58,906</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3,487,530</w:t>
            </w:r>
          </w:p>
        </w:tc>
      </w:tr>
      <w:tr>
        <w:trPr>
          <w:trHeight w:val="284"/>
        </w:trPr>
        <w:tc>
          <w:tcPr>
            <w:tcW w:w="5120" w:type="dxa"/>
            <w:vAlign w:val="bottom"/>
            <w:gridSpan w:val="2"/>
          </w:tcPr>
          <w:p>
            <w:pPr>
              <w:ind w:left="460"/>
              <w:spacing w:after="0"/>
              <w:rPr>
                <w:sz w:val="20"/>
                <w:szCs w:val="20"/>
                <w:color w:val="auto"/>
              </w:rPr>
            </w:pPr>
            <w:r>
              <w:rPr>
                <w:rFonts w:ascii="Arial" w:cs="Arial" w:eastAsia="Arial" w:hAnsi="Arial"/>
                <w:sz w:val="20"/>
                <w:szCs w:val="20"/>
                <w:color w:val="auto"/>
              </w:rPr>
              <w:t>Gail P. Steinel</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60,710,268</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724,294</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57,158</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3,487,530</w:t>
            </w:r>
          </w:p>
        </w:tc>
      </w:tr>
      <w:tr>
        <w:trPr>
          <w:trHeight w:val="284"/>
        </w:trPr>
        <w:tc>
          <w:tcPr>
            <w:tcW w:w="5120" w:type="dxa"/>
            <w:vAlign w:val="bottom"/>
            <w:gridSpan w:val="2"/>
          </w:tcPr>
          <w:p>
            <w:pPr>
              <w:ind w:left="460"/>
              <w:spacing w:after="0"/>
              <w:rPr>
                <w:sz w:val="20"/>
                <w:szCs w:val="20"/>
                <w:color w:val="auto"/>
              </w:rPr>
            </w:pPr>
            <w:r>
              <w:rPr>
                <w:rFonts w:ascii="Arial" w:cs="Arial" w:eastAsia="Arial" w:hAnsi="Arial"/>
                <w:sz w:val="20"/>
                <w:szCs w:val="20"/>
                <w:color w:val="auto"/>
              </w:rPr>
              <w:t>Warren M. Thompson</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61,010,687</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421,114</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59,917</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3,487,531</w:t>
            </w:r>
          </w:p>
        </w:tc>
      </w:tr>
      <w:tr>
        <w:trPr>
          <w:trHeight w:val="284"/>
        </w:trPr>
        <w:tc>
          <w:tcPr>
            <w:tcW w:w="5120" w:type="dxa"/>
            <w:vAlign w:val="bottom"/>
            <w:gridSpan w:val="2"/>
          </w:tcPr>
          <w:p>
            <w:pPr>
              <w:ind w:left="460"/>
              <w:spacing w:after="0"/>
              <w:rPr>
                <w:sz w:val="20"/>
                <w:szCs w:val="20"/>
                <w:color w:val="auto"/>
              </w:rPr>
            </w:pPr>
            <w:r>
              <w:rPr>
                <w:rFonts w:ascii="Arial" w:cs="Arial" w:eastAsia="Arial" w:hAnsi="Arial"/>
                <w:sz w:val="20"/>
                <w:szCs w:val="20"/>
                <w:color w:val="auto"/>
              </w:rPr>
              <w:t>Joseph S. Vassalluzzo</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59,462,320</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1,970,184</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59,216</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3,487,530</w:t>
            </w:r>
          </w:p>
        </w:tc>
      </w:tr>
      <w:tr>
        <w:trPr>
          <w:trHeight w:val="284"/>
        </w:trPr>
        <w:tc>
          <w:tcPr>
            <w:tcW w:w="5120" w:type="dxa"/>
            <w:vAlign w:val="bottom"/>
            <w:gridSpan w:val="2"/>
          </w:tcPr>
          <w:p>
            <w:pPr>
              <w:ind w:left="460"/>
              <w:spacing w:after="0"/>
              <w:rPr>
                <w:sz w:val="20"/>
                <w:szCs w:val="20"/>
                <w:color w:val="auto"/>
              </w:rPr>
            </w:pPr>
            <w:r>
              <w:rPr>
                <w:rFonts w:ascii="Arial" w:cs="Arial" w:eastAsia="Arial" w:hAnsi="Arial"/>
                <w:sz w:val="20"/>
                <w:szCs w:val="20"/>
                <w:color w:val="auto"/>
              </w:rPr>
              <w:t>Donald C. Wood</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61,108,381</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326,542</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56,796</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3,487,530</w:t>
            </w:r>
          </w:p>
        </w:tc>
      </w:tr>
      <w:tr>
        <w:trPr>
          <w:trHeight w:val="540"/>
        </w:trPr>
        <w:tc>
          <w:tcPr>
            <w:tcW w:w="5120" w:type="dxa"/>
            <w:vAlign w:val="bottom"/>
            <w:gridSpan w:val="2"/>
          </w:tcPr>
          <w:p>
            <w:pPr>
              <w:ind w:left="40"/>
              <w:spacing w:after="0"/>
              <w:rPr>
                <w:sz w:val="20"/>
                <w:szCs w:val="20"/>
                <w:color w:val="auto"/>
              </w:rPr>
            </w:pPr>
            <w:r>
              <w:rPr>
                <w:rFonts w:ascii="Arial" w:cs="Arial" w:eastAsia="Arial" w:hAnsi="Arial"/>
                <w:sz w:val="20"/>
                <w:szCs w:val="20"/>
                <w:b w:val="1"/>
                <w:bCs w:val="1"/>
                <w:color w:val="auto"/>
              </w:rPr>
              <w:t>Proposal 2: Ratification of the appointment of Grant</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64,073,978</w:t>
            </w:r>
          </w:p>
        </w:tc>
        <w:tc>
          <w:tcPr>
            <w:tcW w:w="160" w:type="dxa"/>
            <w:vAlign w:val="bottom"/>
          </w:tcPr>
          <w:p>
            <w:pPr>
              <w:spacing w:after="0"/>
              <w:rPr>
                <w:sz w:val="24"/>
                <w:szCs w:val="24"/>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833,702</w:t>
            </w:r>
          </w:p>
        </w:tc>
        <w:tc>
          <w:tcPr>
            <w:tcW w:w="160" w:type="dxa"/>
            <w:vAlign w:val="bottom"/>
          </w:tcPr>
          <w:p>
            <w:pPr>
              <w:spacing w:after="0"/>
              <w:rPr>
                <w:sz w:val="24"/>
                <w:szCs w:val="24"/>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71,571</w:t>
            </w:r>
          </w:p>
        </w:tc>
        <w:tc>
          <w:tcPr>
            <w:tcW w:w="100" w:type="dxa"/>
            <w:vAlign w:val="bottom"/>
          </w:tcPr>
          <w:p>
            <w:pPr>
              <w:spacing w:after="0"/>
              <w:rPr>
                <w:sz w:val="24"/>
                <w:szCs w:val="24"/>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0</w:t>
            </w:r>
          </w:p>
        </w:tc>
      </w:tr>
      <w:tr>
        <w:trPr>
          <w:trHeight w:val="230"/>
        </w:trPr>
        <w:tc>
          <w:tcPr>
            <w:tcW w:w="5120" w:type="dxa"/>
            <w:vAlign w:val="bottom"/>
            <w:gridSpan w:val="2"/>
          </w:tcPr>
          <w:p>
            <w:pPr>
              <w:ind w:left="40"/>
              <w:spacing w:after="0"/>
              <w:rPr>
                <w:sz w:val="20"/>
                <w:szCs w:val="20"/>
                <w:color w:val="auto"/>
              </w:rPr>
            </w:pPr>
            <w:r>
              <w:rPr>
                <w:rFonts w:ascii="Arial" w:cs="Arial" w:eastAsia="Arial" w:hAnsi="Arial"/>
                <w:sz w:val="20"/>
                <w:szCs w:val="20"/>
                <w:b w:val="1"/>
                <w:bCs w:val="1"/>
                <w:color w:val="auto"/>
              </w:rPr>
              <w:t>Thornton LLP as the Trust's independent registered</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120" w:type="dxa"/>
            <w:vAlign w:val="bottom"/>
            <w:gridSpan w:val="2"/>
          </w:tcPr>
          <w:p>
            <w:pPr>
              <w:ind w:left="40"/>
              <w:spacing w:after="0"/>
              <w:rPr>
                <w:sz w:val="20"/>
                <w:szCs w:val="20"/>
                <w:color w:val="auto"/>
              </w:rPr>
            </w:pPr>
            <w:r>
              <w:rPr>
                <w:rFonts w:ascii="Arial" w:cs="Arial" w:eastAsia="Arial" w:hAnsi="Arial"/>
                <w:sz w:val="20"/>
                <w:szCs w:val="20"/>
                <w:b w:val="1"/>
                <w:bCs w:val="1"/>
                <w:color w:val="auto"/>
                <w:w w:val="94"/>
              </w:rPr>
              <w:t>public accounting firm for the year ending December 31,</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6"/>
        </w:trPr>
        <w:tc>
          <w:tcPr>
            <w:tcW w:w="4960" w:type="dxa"/>
            <w:vAlign w:val="bottom"/>
          </w:tcPr>
          <w:p>
            <w:pPr>
              <w:ind w:left="40"/>
              <w:spacing w:after="0"/>
              <w:rPr>
                <w:sz w:val="20"/>
                <w:szCs w:val="20"/>
                <w:color w:val="auto"/>
              </w:rPr>
            </w:pPr>
            <w:r>
              <w:rPr>
                <w:rFonts w:ascii="Arial" w:cs="Arial" w:eastAsia="Arial" w:hAnsi="Arial"/>
                <w:sz w:val="20"/>
                <w:szCs w:val="20"/>
                <w:b w:val="1"/>
                <w:bCs w:val="1"/>
                <w:color w:val="auto"/>
              </w:rPr>
              <w:t>2017</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527"/>
        </w:trPr>
        <w:tc>
          <w:tcPr>
            <w:tcW w:w="5120" w:type="dxa"/>
            <w:vAlign w:val="bottom"/>
            <w:gridSpan w:val="2"/>
          </w:tcPr>
          <w:p>
            <w:pPr>
              <w:ind w:left="40"/>
              <w:spacing w:after="0"/>
              <w:rPr>
                <w:sz w:val="20"/>
                <w:szCs w:val="20"/>
                <w:color w:val="auto"/>
              </w:rPr>
            </w:pPr>
            <w:r>
              <w:rPr>
                <w:rFonts w:ascii="Arial" w:cs="Arial" w:eastAsia="Arial" w:hAnsi="Arial"/>
                <w:sz w:val="20"/>
                <w:szCs w:val="20"/>
                <w:b w:val="1"/>
                <w:bCs w:val="1"/>
                <w:color w:val="auto"/>
                <w:w w:val="91"/>
              </w:rPr>
              <w:t>Proposal 3: Advisory vote on compensation of our named</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5120" w:type="dxa"/>
            <w:vAlign w:val="bottom"/>
            <w:gridSpan w:val="2"/>
          </w:tcPr>
          <w:p>
            <w:pPr>
              <w:ind w:left="40"/>
              <w:spacing w:after="0"/>
              <w:rPr>
                <w:sz w:val="20"/>
                <w:szCs w:val="20"/>
                <w:color w:val="auto"/>
              </w:rPr>
            </w:pPr>
            <w:r>
              <w:rPr>
                <w:rFonts w:ascii="Arial" w:cs="Arial" w:eastAsia="Arial" w:hAnsi="Arial"/>
                <w:sz w:val="20"/>
                <w:szCs w:val="20"/>
                <w:b w:val="1"/>
                <w:bCs w:val="1"/>
                <w:color w:val="auto"/>
              </w:rPr>
              <w:t>executive officers</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58,121,481</w:t>
            </w:r>
          </w:p>
        </w:tc>
        <w:tc>
          <w:tcPr>
            <w:tcW w:w="160" w:type="dxa"/>
            <w:vAlign w:val="bottom"/>
          </w:tcPr>
          <w:p>
            <w:pPr>
              <w:spacing w:after="0"/>
              <w:rPr>
                <w:sz w:val="22"/>
                <w:szCs w:val="22"/>
                <w:color w:val="auto"/>
              </w:rPr>
            </w:pPr>
          </w:p>
        </w:tc>
        <w:tc>
          <w:tcPr>
            <w:tcW w:w="1700" w:type="dxa"/>
            <w:vAlign w:val="bottom"/>
          </w:tcPr>
          <w:p>
            <w:pPr>
              <w:jc w:val="right"/>
              <w:ind w:right="1"/>
              <w:spacing w:after="0"/>
              <w:rPr>
                <w:sz w:val="20"/>
                <w:szCs w:val="20"/>
                <w:color w:val="auto"/>
              </w:rPr>
            </w:pPr>
            <w:r>
              <w:rPr>
                <w:rFonts w:ascii="Arial" w:cs="Arial" w:eastAsia="Arial" w:hAnsi="Arial"/>
                <w:sz w:val="20"/>
                <w:szCs w:val="20"/>
                <w:color w:val="auto"/>
              </w:rPr>
              <w:t>3,211,047</w:t>
            </w:r>
          </w:p>
        </w:tc>
        <w:tc>
          <w:tcPr>
            <w:tcW w:w="160" w:type="dxa"/>
            <w:vAlign w:val="bottom"/>
          </w:tcPr>
          <w:p>
            <w:pPr>
              <w:spacing w:after="0"/>
              <w:rPr>
                <w:sz w:val="22"/>
                <w:szCs w:val="22"/>
                <w:color w:val="auto"/>
              </w:rPr>
            </w:pP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159,097</w:t>
            </w:r>
          </w:p>
        </w:tc>
        <w:tc>
          <w:tcPr>
            <w:tcW w:w="100" w:type="dxa"/>
            <w:vAlign w:val="bottom"/>
          </w:tcPr>
          <w:p>
            <w:pPr>
              <w:spacing w:after="0"/>
              <w:rPr>
                <w:sz w:val="22"/>
                <w:szCs w:val="22"/>
                <w:color w:val="auto"/>
              </w:rPr>
            </w:pP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3,487,624</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Advisory vote on the frequency of the shareholders' advisory vote on the compensation of our names executive officers</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2"/>
              </w:rPr>
              <w:t>1 Year</w:t>
            </w:r>
          </w:p>
        </w:tc>
        <w:tc>
          <w:tcPr>
            <w:tcW w:w="2100" w:type="dxa"/>
            <w:vAlign w:val="bottom"/>
          </w:tcPr>
          <w:p>
            <w:pPr>
              <w:ind w:left="800"/>
              <w:spacing w:after="0"/>
              <w:rPr>
                <w:sz w:val="20"/>
                <w:szCs w:val="20"/>
                <w:color w:val="auto"/>
              </w:rPr>
            </w:pPr>
            <w:r>
              <w:rPr>
                <w:rFonts w:ascii="Arial" w:cs="Arial" w:eastAsia="Arial" w:hAnsi="Arial"/>
                <w:sz w:val="18"/>
                <w:szCs w:val="18"/>
                <w:b w:val="1"/>
                <w:bCs w:val="1"/>
                <w:color w:val="auto"/>
              </w:rPr>
              <w:t>2 Year</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3 Year</w:t>
            </w:r>
          </w:p>
        </w:tc>
        <w:tc>
          <w:tcPr>
            <w:tcW w:w="2020" w:type="dxa"/>
            <w:vAlign w:val="bottom"/>
          </w:tcPr>
          <w:p>
            <w:pPr>
              <w:ind w:left="780"/>
              <w:spacing w:after="0"/>
              <w:rPr>
                <w:sz w:val="20"/>
                <w:szCs w:val="20"/>
                <w:color w:val="auto"/>
              </w:rPr>
            </w:pPr>
            <w:r>
              <w:rPr>
                <w:rFonts w:ascii="Arial" w:cs="Arial" w:eastAsia="Arial" w:hAnsi="Arial"/>
                <w:sz w:val="18"/>
                <w:szCs w:val="18"/>
                <w:b w:val="1"/>
                <w:bCs w:val="1"/>
                <w:color w:val="auto"/>
              </w:rPr>
              <w:t>Abstain</w:t>
            </w:r>
          </w:p>
        </w:tc>
        <w:tc>
          <w:tcPr>
            <w:tcW w:w="242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Broker Non-Vote</w:t>
            </w:r>
          </w:p>
        </w:tc>
      </w:tr>
      <w:tr>
        <w:trPr>
          <w:trHeight w:val="27"/>
        </w:trPr>
        <w:tc>
          <w:tcPr>
            <w:tcW w:w="2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jc w:val="right"/>
              <w:ind w:right="710"/>
              <w:spacing w:after="0"/>
              <w:rPr>
                <w:sz w:val="20"/>
                <w:szCs w:val="20"/>
                <w:color w:val="auto"/>
              </w:rPr>
            </w:pPr>
            <w:r>
              <w:rPr>
                <w:rFonts w:ascii="Arial" w:cs="Arial" w:eastAsia="Arial" w:hAnsi="Arial"/>
                <w:sz w:val="18"/>
                <w:szCs w:val="18"/>
                <w:color w:val="auto"/>
              </w:rPr>
              <w:t>52,214,306</w:t>
            </w:r>
          </w:p>
        </w:tc>
        <w:tc>
          <w:tcPr>
            <w:tcW w:w="2100" w:type="dxa"/>
            <w:vAlign w:val="bottom"/>
          </w:tcPr>
          <w:p>
            <w:pPr>
              <w:ind w:left="800"/>
              <w:spacing w:after="0"/>
              <w:rPr>
                <w:sz w:val="20"/>
                <w:szCs w:val="20"/>
                <w:color w:val="auto"/>
              </w:rPr>
            </w:pPr>
            <w:r>
              <w:rPr>
                <w:rFonts w:ascii="Arial" w:cs="Arial" w:eastAsia="Arial" w:hAnsi="Arial"/>
                <w:sz w:val="18"/>
                <w:szCs w:val="18"/>
                <w:color w:val="auto"/>
              </w:rPr>
              <w:t>59,090</w:t>
            </w:r>
          </w:p>
        </w:tc>
        <w:tc>
          <w:tcPr>
            <w:tcW w:w="2340" w:type="dxa"/>
            <w:vAlign w:val="bottom"/>
          </w:tcPr>
          <w:p>
            <w:pPr>
              <w:jc w:val="right"/>
              <w:ind w:right="710"/>
              <w:spacing w:after="0"/>
              <w:rPr>
                <w:sz w:val="20"/>
                <w:szCs w:val="20"/>
                <w:color w:val="auto"/>
              </w:rPr>
            </w:pPr>
            <w:r>
              <w:rPr>
                <w:rFonts w:ascii="Arial" w:cs="Arial" w:eastAsia="Arial" w:hAnsi="Arial"/>
                <w:sz w:val="18"/>
                <w:szCs w:val="18"/>
                <w:color w:val="auto"/>
              </w:rPr>
              <w:t>9,088,702</w:t>
            </w:r>
          </w:p>
        </w:tc>
        <w:tc>
          <w:tcPr>
            <w:tcW w:w="2020" w:type="dxa"/>
            <w:vAlign w:val="bottom"/>
          </w:tcPr>
          <w:p>
            <w:pPr>
              <w:ind w:left="800"/>
              <w:spacing w:after="0"/>
              <w:rPr>
                <w:sz w:val="20"/>
                <w:szCs w:val="20"/>
                <w:color w:val="auto"/>
              </w:rPr>
            </w:pPr>
            <w:r>
              <w:rPr>
                <w:rFonts w:ascii="Arial" w:cs="Arial" w:eastAsia="Arial" w:hAnsi="Arial"/>
                <w:sz w:val="18"/>
                <w:szCs w:val="18"/>
                <w:color w:val="auto"/>
              </w:rPr>
              <w:t>129,527</w:t>
            </w:r>
          </w:p>
        </w:tc>
        <w:tc>
          <w:tcPr>
            <w:tcW w:w="2420" w:type="dxa"/>
            <w:vAlign w:val="bottom"/>
          </w:tcPr>
          <w:p>
            <w:pPr>
              <w:jc w:val="right"/>
              <w:ind w:right="670"/>
              <w:spacing w:after="0"/>
              <w:rPr>
                <w:sz w:val="20"/>
                <w:szCs w:val="20"/>
                <w:color w:val="auto"/>
              </w:rPr>
            </w:pPr>
            <w:r>
              <w:rPr>
                <w:rFonts w:ascii="Arial" w:cs="Arial" w:eastAsia="Arial" w:hAnsi="Arial"/>
                <w:sz w:val="18"/>
                <w:szCs w:val="18"/>
                <w:color w:val="auto"/>
              </w:rPr>
              <w:t>3,487,624</w:t>
            </w:r>
          </w:p>
        </w:tc>
      </w:tr>
    </w:tbl>
    <w:p>
      <w:pPr>
        <w:spacing w:after="0" w:line="226" w:lineRule="exact"/>
        <w:rPr>
          <w:sz w:val="20"/>
          <w:szCs w:val="20"/>
          <w:color w:val="auto"/>
        </w:rPr>
      </w:pPr>
    </w:p>
    <w:p>
      <w:pPr>
        <w:ind w:right="560"/>
        <w:spacing w:after="0" w:line="250" w:lineRule="auto"/>
        <w:rPr>
          <w:sz w:val="20"/>
          <w:szCs w:val="20"/>
          <w:color w:val="auto"/>
        </w:rPr>
      </w:pPr>
      <w:r>
        <w:rPr>
          <w:rFonts w:ascii="Arial" w:cs="Arial" w:eastAsia="Arial" w:hAnsi="Arial"/>
          <w:sz w:val="20"/>
          <w:szCs w:val="20"/>
          <w:color w:val="auto"/>
        </w:rPr>
        <w:t>In light of the voting results, the Board of Trustees has decided to include the shareholders’ advisory vote on compensation of our named executive officers in our proxy materials on an annual basis until the next advisory vote on the frequency of the shareholder vote on compensation of our named executive officers.</w:t>
      </w:r>
    </w:p>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3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FEDERAL REALTY INVESTMENT TRUST</w:t>
      </w:r>
    </w:p>
    <w:p>
      <w:pPr>
        <w:spacing w:after="0" w:line="384" w:lineRule="exact"/>
        <w:rPr>
          <w:sz w:val="20"/>
          <w:szCs w:val="20"/>
          <w:color w:val="auto"/>
        </w:rPr>
      </w:pPr>
    </w:p>
    <w:p>
      <w:pPr>
        <w:ind w:left="40"/>
        <w:spacing w:after="0"/>
        <w:tabs>
          <w:tab w:leader="none" w:pos="820" w:val="left"/>
          <w:tab w:leader="none" w:pos="43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May 5, 2017</w:t>
      </w:r>
      <w:r>
        <w:rPr>
          <w:sz w:val="20"/>
          <w:szCs w:val="20"/>
          <w:color w:val="auto"/>
        </w:rPr>
        <w:tab/>
      </w:r>
      <w:r>
        <w:rPr>
          <w:rFonts w:ascii="Arial" w:cs="Arial" w:eastAsia="Arial" w:hAnsi="Arial"/>
          <w:sz w:val="18"/>
          <w:szCs w:val="18"/>
          <w:color w:val="auto"/>
        </w:rPr>
        <w:t xml:space="preserve">By: </w:t>
      </w:r>
      <w:r>
        <w:rPr>
          <w:rFonts w:ascii="Arial" w:cs="Arial" w:eastAsia="Arial" w:hAnsi="Arial"/>
          <w:sz w:val="19"/>
          <w:szCs w:val="19"/>
          <w:u w:val="single" w:color="auto"/>
          <w:color w:val="auto"/>
        </w:rPr>
        <w:t>/s/ Dawn M. Becker</w:t>
      </w:r>
    </w:p>
    <w:p>
      <w:pPr>
        <w:spacing w:after="0" w:line="37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Dawn M. Becker</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Executive Vice President-General Counsel and Secretary</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2019-12-05T03:13:23Z</dcterms:created>
  <dcterms:modified xsi:type="dcterms:W3CDTF">2019-12-05T03:13:23Z</dcterms:modified>
</cp:coreProperties>
</file>