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8, 2023</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160" w:firstLine="180"/>
        <w:spacing w:after="0" w:line="263" w:lineRule="auto"/>
        <w:rPr>
          <w:sz w:val="20"/>
          <w:szCs w:val="20"/>
          <w:color w:val="auto"/>
        </w:rPr>
      </w:pPr>
      <w:r>
        <w:rPr>
          <w:rFonts w:ascii="Times New Roman" w:cs="Times New Roman" w:eastAsia="Times New Roman" w:hAnsi="Times New Roman"/>
          <w:sz w:val="22"/>
          <w:szCs w:val="22"/>
          <w:color w:val="auto"/>
        </w:rPr>
        <w:t>On February 8, 2023, Federal Realty Investment Trust issued supplemental data pertaining to its operations, as well as a press release, to report its financial results for the quarter ended December 31, 2022.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December 31, 2022 (including press release dated February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54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February 8, 2023</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December 31, 2022</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Year End 2022 Earnings Press Release</w:t>
            </w:r>
          </w:p>
        </w:tc>
        <w:tc>
          <w:tcPr>
            <w:tcW w:w="1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 and Other Information</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6980" w:type="dxa"/>
            <w:vAlign w:val="bottom"/>
            <w:tcBorders>
              <w:top w:val="single" w:sz="8" w:color="CCEEFF"/>
            </w:tcBorders>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0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704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70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Property Acquisitions, Significant Dispositions, and Other Transactions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70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704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17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8, 2023,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8, 2023.</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 December 31, 2022</w:t>
      </w:r>
    </w:p>
    <w:p>
      <w:pPr>
        <w:spacing w:after="0" w:line="249" w:lineRule="exact"/>
        <w:rPr>
          <w:sz w:val="20"/>
          <w:szCs w:val="20"/>
          <w:color w:val="auto"/>
        </w:rPr>
      </w:pPr>
    </w:p>
    <w:p>
      <w:pPr>
        <w:ind w:right="40"/>
        <w:spacing w:after="0" w:line="370" w:lineRule="auto"/>
        <w:rPr>
          <w:sz w:val="20"/>
          <w:szCs w:val="20"/>
          <w:color w:val="auto"/>
        </w:rPr>
      </w:pPr>
      <w:r>
        <w:rPr>
          <w:rFonts w:ascii="Arial" w:cs="Arial" w:eastAsia="Arial" w:hAnsi="Arial"/>
          <w:sz w:val="18"/>
          <w:szCs w:val="18"/>
          <w:color w:val="auto"/>
        </w:rPr>
        <w:t xml:space="preserve">NORTH BETHESDA, Md. (February 8, 2023)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year and quarter ended December 31, 2022. For the year ended December 31, 2022 and 2021, net income available for common shareholders was $4.71 per diluted share and $3.26 per diluted share, respectively. For the three months ended December 31, 2022 and 2021, net income available for common shareholders was $1.40 per diluted share and $1.44 per diluted share, respectively. For the year ended December 31, 2022 and 2021, Federal Realty reported operating income of $526.4 million and $394.7 million, respectively. For the three months ended December 31, 2022 and 2021, operating income was $155.1 million and $147.5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full year and fourth quarter include:</w:t>
      </w:r>
    </w:p>
    <w:p>
      <w:pPr>
        <w:spacing w:after="0" w:line="252" w:lineRule="exact"/>
        <w:rPr>
          <w:sz w:val="20"/>
          <w:szCs w:val="20"/>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$6.32 for the year, compared to $5.57 in 2021. For the fourth quarter, generated FFO per diluted share of $1.58, compared to $1.47 for the fourth quarter 2021.</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5.4% for the fourth quarter and 7.7% for the year 2022.</w:t>
      </w:r>
    </w:p>
    <w:p>
      <w:pPr>
        <w:spacing w:after="0" w:line="117" w:lineRule="exact"/>
        <w:rPr>
          <w:rFonts w:ascii="Arial" w:cs="Arial" w:eastAsia="Arial" w:hAnsi="Arial"/>
          <w:sz w:val="18"/>
          <w:szCs w:val="18"/>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robust levels of leasing with 105 signed leases for 415,519 square feet of comparable space in the fourth quarter at a cash basis rollover of 10%, bringing 2022 to a record 475 signed leases for nearly 2 million square feet of comparable space.</w:t>
      </w: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92.8% occupied and 94.5% leased, representing year-over-year increases of 170 basis points and 90 basis points, respectively and 70 basis points and 20 basis point increases, respectively quarter-over-quarter.</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shop leased rate was 90.0% as of quarter end representing an increase of 260 basis points year over year and the highest small shop leased rate since first quarter 2017.</w:t>
      </w:r>
    </w:p>
    <w:p>
      <w:pPr>
        <w:spacing w:after="0" w:line="1"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one property for a total sales price of $67.5 million in the fourth quarter, bringing the 2022 total gross disposition proceeds to $136.2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2023 earnings per diluted share guidance of $2.59 to $2.79 and 2023 FFO per diluted share guidance of $6.38 to $6.58.</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right="260"/>
        <w:spacing w:after="0" w:line="3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“2022 ended with a very strong fourth quarter and the first weeks of 2023 look to continue that momentum,” said Donald C. Wood, Federal Realty’s Chief Executive. “We’re more than a year ahead of where we thought we’d be in recovering from the depths of the pandemic in terms of leasing, occupancy and bottom line earnings in large part due to the remarkable resiliency of the markets and sub markets where our high quality retail destinations are located.”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For the full year 2022, Federal Realty reported net income available for common shareholders of $377.5 million and earnings per diluted share of $4.71. This compares to net income available for common shareholders of $253.5 million and earnings per diluted share of $3.26 for the full year 2021.</w:t>
      </w:r>
    </w:p>
    <w:p>
      <w:pPr>
        <w:spacing w:after="0" w:line="102" w:lineRule="exact"/>
        <w:rPr>
          <w:sz w:val="20"/>
          <w:szCs w:val="20"/>
          <w:color w:val="auto"/>
        </w:rPr>
      </w:pPr>
    </w:p>
    <w:p>
      <w:pPr>
        <w:jc w:val="both"/>
        <w:spacing w:after="0" w:line="412" w:lineRule="auto"/>
        <w:rPr>
          <w:sz w:val="20"/>
          <w:szCs w:val="20"/>
          <w:color w:val="auto"/>
        </w:rPr>
      </w:pPr>
      <w:r>
        <w:rPr>
          <w:rFonts w:ascii="Arial" w:cs="Arial" w:eastAsia="Arial" w:hAnsi="Arial"/>
          <w:sz w:val="18"/>
          <w:szCs w:val="18"/>
          <w:color w:val="auto"/>
        </w:rPr>
        <w:t>For the fourth quarter 2022, net income available for common shareholders was $113.7 million and earnings per diluted share was $1.40 versus $112.9 million and $1.44, respectively, for the fourth quarter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For the full year 2022, Federal Realty generated funds from operations available for common shareholders (FFO) of $509.2 million, or $6.32 per diluted share. This compares to FFO of $434.7 million, or $5.57 per diluted share for the full year 2021.</w:t>
      </w:r>
    </w:p>
    <w:p>
      <w:pPr>
        <w:spacing w:after="0" w:line="86"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For the fourth quarter 2022, FFO was $129.0 million, or $1.58 per diluted share, compared to $115.8 million, or $1.47 per diluted share for the fourth quarter 2021.</w:t>
      </w:r>
    </w:p>
    <w:p>
      <w:pPr>
        <w:spacing w:after="0" w:line="86" w:lineRule="exact"/>
        <w:rPr>
          <w:sz w:val="20"/>
          <w:szCs w:val="20"/>
          <w:color w:val="auto"/>
        </w:rPr>
      </w:pPr>
    </w:p>
    <w:p>
      <w:pPr>
        <w:ind w:right="62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The portfolio was 92.8% occupied as of December 31, 2022, an increase of 170 basis points year-over-year and 70 basis points over the third quarter 2022. The portfolio was 94.5% leased as of December 31, 2022, an increase of 90 basis points year-over-year and 20 basis points over the third quarter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comparable residential properties were 96.3% leased as of December 31,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For the full year 2022, Federal Realty signed 497 leases for 2,047,508 square feet of retail space. On a comparable space basis (i.e., spaces for which there was a former tenant), Federal Realty signed 475 leases for 1,984,887 square feet at an average rent of $37.30 per square foot compared to the average contractual rent of $35.21 per square foot for the last year of the prior leases, representing a cash basis rollover growth on those comparable spaces of 6%, 15% on a straight-line basis.</w:t>
      </w:r>
    </w:p>
    <w:p>
      <w:pPr>
        <w:spacing w:after="0" w:line="107"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During the fourth quarter 2022, Federal Realty signed 110 leases for 425,159 square feet of retail space. On a comparable space basis (i.e., spaces for which there was a former tenant), Federal Realty signed 105 leases for</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28" w:right="339" w:bottom="1440" w:gutter="0" w:footer="0" w:header="0"/>
          <w:type w:val="continuous"/>
        </w:sectPr>
      </w:pPr>
    </w:p>
    <w:bookmarkStart w:id="7" w:name="page8"/>
    <w:bookmarkEnd w:id="7"/>
    <w:p>
      <w:pPr>
        <w:jc w:val="both"/>
        <w:spacing w:after="0" w:line="39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415,519 square feet at an average rent of $43.52 per square foot compared to the average contractual rent of $39.60 per square foot for the last year of the prior leases, representing a cash basis rollover growth on those comparable spaces of 10%, 21% on a straight-line basis.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0"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In 2022, Federal Realty acquired 4 properties which total 1.0 million square feet for a gross value of $443.1 million. Additionally, Federal Realty bought a 47.5% net interest in an unconsolidated joint venture that owns two shopping centers totaling 617,000 square feet for a combined price of $58.9 million.</w:t>
      </w:r>
    </w:p>
    <w:p>
      <w:pPr>
        <w:spacing w:after="0" w:line="10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Subsequent to quarter end, Federal Realty acquired the remaining portions of Huntington Square, East Northport, New York, for $35.5 million. The acquisition included a 180,000 square foot parcel and the entire fee interest of the property giving us full control of the entirety of this 255,000 square foot property located in the heart of Suffolk County's retail corridor.</w:t>
      </w:r>
    </w:p>
    <w:p>
      <w:pPr>
        <w:spacing w:after="0" w:line="102" w:lineRule="exact"/>
        <w:rPr>
          <w:sz w:val="20"/>
          <w:szCs w:val="20"/>
          <w:color w:val="auto"/>
        </w:rPr>
      </w:pPr>
    </w:p>
    <w:p>
      <w:pPr>
        <w:jc w:val="both"/>
        <w:spacing w:after="0" w:line="412" w:lineRule="auto"/>
        <w:rPr>
          <w:sz w:val="20"/>
          <w:szCs w:val="20"/>
          <w:color w:val="auto"/>
        </w:rPr>
      </w:pPr>
      <w:r>
        <w:rPr>
          <w:rFonts w:ascii="Arial" w:cs="Arial" w:eastAsia="Arial" w:hAnsi="Arial"/>
          <w:sz w:val="18"/>
          <w:szCs w:val="18"/>
          <w:color w:val="auto"/>
        </w:rPr>
        <w:t>In the fourth quarter, Federal Realty sold one property for a total sales price of $67.5 million, bringing the 2022 total gross proceeds to $136.2 million for the disposition of 3 non-core assets, a parcel of land and a portion of one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$1.08 per common share, resulting in an indicated annual rate of $4.32 per common share. The regular common dividend will be payable on April 17, 2023 to common shareholders of record as of March 13, 2023.</w:t>
      </w:r>
    </w:p>
    <w:p>
      <w:pPr>
        <w:spacing w:after="0" w:line="81"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17, 2023 to shareholders of record as of April 3,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introduced 2023 guidance for earnings per diluted share of $2.59 to $2.79 and 2023 FFO per diluted share of $6.38 to $6.58.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fourth quarter 2022 earnings conference call, which is scheduled for Wednesday, February 8, 2023 at 5:00 PM ET. To participate, please call 1-877-407-9208 five to ten minutes prior to the call start time and use the passcode 13734846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22, 2023 by dialing 1-844-512-2921; Passcode: 13734846.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About Federal Realty</w:t>
      </w:r>
    </w:p>
    <w:p>
      <w:pPr>
        <w:spacing w:after="0" w:line="252"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103 properties include approximately 3,300 tenants, in 26 million square feet, and approximately 3,000 residential units.</w:t>
      </w:r>
    </w:p>
    <w:p>
      <w:pPr>
        <w:spacing w:after="0" w:line="114" w:lineRule="exact"/>
        <w:rPr>
          <w:sz w:val="20"/>
          <w:szCs w:val="20"/>
          <w:color w:val="auto"/>
        </w:rPr>
      </w:pPr>
    </w:p>
    <w:p>
      <w:pPr>
        <w:ind w:right="120"/>
        <w:spacing w:after="0" w:line="378" w:lineRule="auto"/>
        <w:rPr>
          <w:sz w:val="20"/>
          <w:szCs w:val="20"/>
          <w:color w:val="auto"/>
        </w:rPr>
      </w:pPr>
      <w:r>
        <w:rPr>
          <w:rFonts w:ascii="Arial" w:cs="Arial" w:eastAsia="Arial" w:hAnsi="Arial"/>
          <w:sz w:val="18"/>
          <w:szCs w:val="18"/>
          <w:color w:val="auto"/>
        </w:rPr>
        <w:t>Federal Realty has increased its quarterly dividends to its shareholders for 55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4"/>
          <w:szCs w:val="14"/>
          <w:i w:val="1"/>
          <w:iCs w:val="1"/>
          <w:color w:val="auto"/>
        </w:rPr>
        <w:t xml:space="preserve">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w:t>
      </w:r>
      <w:r>
        <w:rPr>
          <w:rFonts w:ascii="Times New Roman" w:cs="Times New Roman" w:eastAsia="Times New Roman" w:hAnsi="Times New Roman"/>
          <w:sz w:val="14"/>
          <w:szCs w:val="14"/>
          <w:i w:val="1"/>
          <w:iCs w:val="1"/>
          <w:color w:val="auto"/>
        </w:rPr>
        <w:t>February 8, 2023</w:t>
      </w:r>
      <w:r>
        <w:rPr>
          <w:rFonts w:ascii="Arial" w:cs="Arial" w:eastAsia="Arial" w:hAnsi="Arial"/>
          <w:sz w:val="14"/>
          <w:szCs w:val="14"/>
          <w:i w:val="1"/>
          <w:iCs w:val="1"/>
          <w:color w:val="auto"/>
        </w:rPr>
        <w:t>, and include the following:</w:t>
      </w:r>
    </w:p>
    <w:p>
      <w:pPr>
        <w:spacing w:after="0" w:line="30" w:lineRule="exact"/>
        <w:rPr>
          <w:sz w:val="20"/>
          <w:szCs w:val="20"/>
          <w:color w:val="auto"/>
        </w:rPr>
      </w:pPr>
    </w:p>
    <w:p>
      <w:pPr>
        <w:ind w:left="980" w:right="60" w:hanging="324"/>
        <w:spacing w:after="0" w:line="245" w:lineRule="auto"/>
        <w:tabs>
          <w:tab w:leader="none" w:pos="97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160" w:hanging="324"/>
        <w:spacing w:after="0" w:line="254"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4" w:lineRule="exact"/>
        <w:rPr>
          <w:rFonts w:ascii="Arial" w:cs="Arial" w:eastAsia="Arial" w:hAnsi="Arial"/>
          <w:sz w:val="14"/>
          <w:szCs w:val="14"/>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6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54"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2"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 xml:space="preserve">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w:t>
      </w:r>
      <w:r>
        <w:rPr>
          <w:rFonts w:ascii="Times New Roman" w:cs="Times New Roman" w:eastAsia="Times New Roman" w:hAnsi="Times New Roman"/>
          <w:sz w:val="14"/>
          <w:szCs w:val="14"/>
          <w:i w:val="1"/>
          <w:iCs w:val="1"/>
          <w:color w:val="auto"/>
        </w:rPr>
        <w:t>February 8, 2023</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948,842</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951,224</w:t>
            </w: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198,121</w:t>
            </w: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118,496</w:t>
            </w: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49,856</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279,976</w:t>
            </w: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646,449</w:t>
            </w:r>
          </w:p>
        </w:tc>
      </w:tr>
      <w:tr>
        <w:trPr>
          <w:trHeight w:val="250"/>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89,950</w:t>
            </w:r>
          </w:p>
        </w:tc>
      </w:tr>
      <w:tr>
        <w:trPr>
          <w:trHeight w:val="250"/>
        </w:trPr>
        <w:tc>
          <w:tcPr>
            <w:tcW w:w="6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394,725</w:t>
            </w:r>
          </w:p>
        </w:tc>
      </w:tr>
      <w:tr>
        <w:trPr>
          <w:trHeight w:val="270"/>
        </w:trPr>
        <w:tc>
          <w:tcPr>
            <w:tcW w:w="6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(127,698)</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269,081</w:t>
            </w:r>
          </w:p>
        </w:tc>
      </w:tr>
      <w:tr>
        <w:trPr>
          <w:trHeight w:val="230"/>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261,498</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253,456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80,966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77,536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79,854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77,336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458"/>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$1,997,583 and $2,207,648 of consolidated variable interest entities, respectively)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9,441,945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8,814,791</w:t>
            </w: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$8,477 and $18,752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662,554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607,271</w:t>
            </w: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9,422,062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$362,921 and $389,950 of consolidated variable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(2,531,095)</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7,388,682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6,890,967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8,233,991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$191,827 and $335,301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339,993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301,466</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3,406,088</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235,168</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72,032</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206,187</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5,021,606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4,745,464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213,708</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$0.01 par: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and 399,896 shares issued and outstanding, 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81,342,959 and 78,603,305</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3,488,794</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(1,066,932)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82,546</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2,663,148</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8,233,991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80"/>
          </w:cols>
          <w:pgMar w:left="360" w:top="1022" w:right="35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117,692</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116,742</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395,661</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269,081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(7,583)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deconsolidation of VIE</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(70,374)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(72,464)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(93,483)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(89,892)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68,941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266,741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243,711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27,268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515,643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441,368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gridSpan w:val="5"/>
          </w:tcPr>
          <w:p>
            <w:pPr>
              <w:ind w:left="34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129,033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115,766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509,156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434,743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81,707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78,556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80,603</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78,072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FFO per diluted share (3)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gridSpan w:val="5"/>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344,711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72,531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82,906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288,518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366,045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79,140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96,524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98,252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367,658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417,023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35,910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108,505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104,625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403,568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434,131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sale of real estate, net</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660" w:right="180" w:hanging="652"/>
        <w:spacing w:after="0" w:line="264" w:lineRule="auto"/>
        <w:tabs>
          <w:tab w:leader="none" w:pos="6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the three months and year ended December 31, 2022 and the three months ended December 31, 2021, dividends on our Series 1 preferred stock were not deducted in the calculation of FFO available to common shareholders, as the related shares were dilutive and are included in "weighted average common shares, diluted."</w:t>
      </w:r>
    </w:p>
    <w:p>
      <w:pPr>
        <w:spacing w:after="0" w:line="28" w:lineRule="exact"/>
        <w:rPr>
          <w:rFonts w:ascii="Times New Roman" w:cs="Times New Roman" w:eastAsia="Times New Roman" w:hAnsi="Times New Roman"/>
          <w:sz w:val="17"/>
          <w:szCs w:val="17"/>
          <w:color w:val="auto"/>
        </w:rPr>
      </w:pPr>
    </w:p>
    <w:p>
      <w:pPr>
        <w:ind w:left="660" w:right="140" w:hanging="652"/>
        <w:spacing w:after="0" w:line="264" w:lineRule="auto"/>
        <w:tabs>
          <w:tab w:leader="none" w:pos="6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For the three months and year ended December 31, 2021, 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8" w:lineRule="exact"/>
        <w:rPr>
          <w:rFonts w:ascii="Times New Roman" w:cs="Times New Roman" w:eastAsia="Times New Roman" w:hAnsi="Times New Roman"/>
          <w:sz w:val="17"/>
          <w:szCs w:val="17"/>
          <w:color w:val="auto"/>
        </w:rPr>
      </w:pPr>
    </w:p>
    <w:p>
      <w:pPr>
        <w:ind w:left="660" w:right="280" w:hanging="652"/>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43"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 and Other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300" w:type="dxa"/>
            <w:vAlign w:val="bottom"/>
          </w:tcPr>
          <w:p>
            <w:pPr>
              <w:spacing w:after="0"/>
              <w:rPr>
                <w:sz w:val="19"/>
                <w:szCs w:val="19"/>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13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9"/>
                <w:szCs w:val="19"/>
                <w:color w:val="auto"/>
              </w:rPr>
            </w:pPr>
          </w:p>
        </w:tc>
      </w:tr>
      <w:tr>
        <w:trPr>
          <w:trHeight w:val="195"/>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7"/>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180,746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170,857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657,653</w:t>
            </w:r>
          </w:p>
        </w:tc>
      </w:tr>
      <w:tr>
        <w:trPr>
          <w:trHeight w:val="226"/>
        </w:trPr>
        <w:tc>
          <w:tcPr>
            <w:tcW w:w="61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82,467</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200,393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179,202</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9,259</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43,354</w:t>
            </w:r>
          </w:p>
        </w:tc>
      </w:tr>
      <w:tr>
        <w:trPr>
          <w:trHeight w:val="22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 (4)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(23,093)</w:t>
            </w:r>
          </w:p>
        </w:tc>
      </w:tr>
      <w:tr>
        <w:trPr>
          <w:trHeight w:val="25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948,842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1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203"/>
        </w:trPr>
        <w:tc>
          <w:tcPr>
            <w:tcW w:w="5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7"/>
                <w:szCs w:val="17"/>
                <w:color w:val="auto"/>
              </w:rPr>
            </w:pPr>
          </w:p>
        </w:tc>
      </w:tr>
      <w:tr>
        <w:trPr>
          <w:trHeight w:val="23"/>
        </w:trPr>
        <w:tc>
          <w:tcPr>
            <w:tcW w:w="53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8"/>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3.9</w:t>
            </w:r>
          </w:p>
        </w:tc>
        <w:tc>
          <w:tcPr>
            <w:tcW w:w="9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24"/>
                <w:szCs w:val="24"/>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18.3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11.1</w:t>
            </w:r>
          </w:p>
        </w:tc>
        <w:tc>
          <w:tcPr>
            <w:tcW w:w="4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bl>
    <w:p>
      <w:pPr>
        <w:spacing w:after="0" w:line="127" w:lineRule="exact"/>
        <w:rPr>
          <w:sz w:val="20"/>
          <w:szCs w:val="20"/>
          <w:color w:val="auto"/>
        </w:rPr>
      </w:pPr>
    </w:p>
    <w:p>
      <w:pPr>
        <w:ind w:left="660" w:right="220" w:hanging="652"/>
        <w:spacing w:after="0" w:line="264"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2021, other rental income includes a $2.8 million net lease termination fee related to a tenant who vacated early in Q2 2021; the $2.8 million is net of the write-off of $8.8 million of a straight-line rent receivable.</w:t>
      </w:r>
    </w:p>
    <w:p>
      <w:pPr>
        <w:spacing w:after="0" w:line="1" w:lineRule="exact"/>
        <w:rPr>
          <w:rFonts w:ascii="Times New Roman" w:cs="Times New Roman" w:eastAsia="Times New Roman" w:hAnsi="Times New Roman"/>
          <w:sz w:val="17"/>
          <w:szCs w:val="17"/>
          <w:color w:val="auto"/>
        </w:rPr>
      </w:pPr>
    </w:p>
    <w:p>
      <w:pPr>
        <w:ind w:left="660" w:right="260" w:hanging="652"/>
        <w:spacing w:after="0" w:line="248"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and year ended December 31, 2022, our collectability related impact includes the collection of approximately $2 million and $9 million, respectively, of prior period rents which were contractually deferred or payment re-negotiated specifically related to the COVID-19 pandemic, and is partially offset by less than $1 million and approximately $4 million related to the abatement of contractual rents due to COVID-19 for the three months and year ended December 31, 2022, respectively, and cash basis tenants who did not make full contractual rent payments.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Information on Cash Basis Tenants (5)</w:t>
            </w: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Recognized on a Cash</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commercial tenant leases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3,261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base rent from commercial tenants (in millions) (6)</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48" w:lineRule="exact"/>
        <w:rPr>
          <w:sz w:val="20"/>
          <w:szCs w:val="20"/>
          <w:color w:val="auto"/>
        </w:rPr>
      </w:pPr>
    </w:p>
    <w:p>
      <w:pPr>
        <w:ind w:left="660" w:right="180" w:hanging="652"/>
        <w:spacing w:after="0" w:line="273" w:lineRule="auto"/>
        <w:tabs>
          <w:tab w:leader="none" w:pos="6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are recognized on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2022 Annual Report on Form 10-K.</w:t>
      </w:r>
    </w:p>
    <w:p>
      <w:pPr>
        <w:spacing w:after="0" w:line="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Glossary of Terms. Includes our 77.7% pro-rata share of Escondido Promenade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COVID-19 Related Rent Deferrals</w:t>
            </w:r>
          </w:p>
        </w:tc>
        <w:tc>
          <w:tcPr>
            <w:tcW w:w="2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
        </w:trPr>
        <w:tc>
          <w:tcPr>
            <w:tcW w:w="7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contractual rent deferred (in millions) (7)</w:t>
            </w:r>
          </w:p>
        </w:tc>
        <w:tc>
          <w:tcPr>
            <w:tcW w:w="26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2"/>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deferral payments collected through December 31, 2022 (in millions) (8)</w:t>
            </w:r>
          </w:p>
        </w:tc>
        <w:tc>
          <w:tcPr>
            <w:tcW w:w="26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660" w:right="240" w:hanging="652"/>
        <w:spacing w:after="0" w:line="281" w:lineRule="auto"/>
        <w:tabs>
          <w:tab w:leader="none" w:pos="6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2020 through December 2022 that has been deferred pursuant to modification agreements signed through December 31, 2022. Accrual basis tenants comprise approximately 50% of this cumulative deferred rent for executed agreements in place as of December 31, 2022.</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Deferral payments collected to date represent approximately 90% of the amounts agreed to be repaid by December 31, 2022.</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22" w:right="339"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76" w:lineRule="exact"/>
        <w:rPr>
          <w:sz w:val="20"/>
          <w:szCs w:val="20"/>
          <w:color w:val="auto"/>
        </w:rPr>
      </w:pPr>
    </w:p>
    <w:p>
      <w:pPr>
        <w:ind w:left="40" w:right="40"/>
        <w:spacing w:after="0" w:line="220"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Assembly Row Phase 3, CocoWalk, Darien Commons, Huntington Shoping Center, Pike &amp; Rose Phase 3, Willow Grove Shopping Center, and all properties acquired, disposed of, or deconsolidated from Q4 2021 to Q4 2022. Comparable Property property operating income ("Comparable Property POI") is a non-GAAP measure used by management in evaluating the operating performance of our properties period over period. The amounts shown below for the years ended December 31, 2022 and 2021 reflect the summation of our reported quarterly results.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Reconciliation of GAAP operating income to Comparable Property POI</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155,097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394,725</w:t>
            </w:r>
          </w:p>
        </w:tc>
        <w:tc>
          <w:tcPr>
            <w:tcW w:w="840" w:type="dxa"/>
            <w:vAlign w:val="bottom"/>
            <w:shd w:val="clear" w:color="auto" w:fill="CCEEFF"/>
          </w:tcPr>
          <w:p>
            <w:pPr>
              <w:spacing w:after="0"/>
              <w:rPr>
                <w:sz w:val="20"/>
                <w:szCs w:val="20"/>
                <w:color w:val="auto"/>
              </w:rPr>
            </w:pPr>
          </w:p>
        </w:tc>
      </w:tr>
      <w:tr>
        <w:trPr>
          <w:trHeight w:val="226"/>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77,816</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302,409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279,976</w:t>
            </w:r>
          </w:p>
        </w:tc>
        <w:tc>
          <w:tcPr>
            <w:tcW w:w="840" w:type="dxa"/>
            <w:vAlign w:val="bottom"/>
            <w:shd w:val="clear" w:color="auto" w:fill="CCEEFF"/>
          </w:tcPr>
          <w:p>
            <w:pPr>
              <w:spacing w:after="0"/>
              <w:rPr>
                <w:sz w:val="20"/>
                <w:szCs w:val="20"/>
                <w:color w:val="auto"/>
              </w:rPr>
            </w:pPr>
          </w:p>
        </w:tc>
      </w:tr>
      <w:tr>
        <w:trPr>
          <w:trHeight w:val="226"/>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14,499</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49,856</w:t>
            </w:r>
          </w:p>
        </w:tc>
        <w:tc>
          <w:tcPr>
            <w:tcW w:w="840" w:type="dxa"/>
            <w:vAlign w:val="bottom"/>
          </w:tcPr>
          <w:p>
            <w:pPr>
              <w:spacing w:after="0"/>
              <w:rPr>
                <w:sz w:val="19"/>
                <w:szCs w:val="19"/>
                <w:color w:val="auto"/>
              </w:rPr>
            </w:pPr>
          </w:p>
        </w:tc>
      </w:tr>
      <w:tr>
        <w:trPr>
          <w:trHeight w:val="23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deconsolidation of VIE</w:t>
            </w:r>
          </w:p>
        </w:tc>
        <w:tc>
          <w:tcPr>
            <w:tcW w:w="3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20"/>
                <w:szCs w:val="20"/>
                <w:color w:val="auto"/>
              </w:rPr>
            </w:pPr>
          </w:p>
        </w:tc>
      </w:tr>
      <w:tr>
        <w:trPr>
          <w:trHeight w:val="230"/>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(72,522)</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(93,483)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(89,950)</w:t>
            </w:r>
          </w:p>
        </w:tc>
        <w:tc>
          <w:tcPr>
            <w:tcW w:w="840" w:type="dxa"/>
            <w:vAlign w:val="bottom"/>
            <w:tcBorders>
              <w:bottom w:val="single" w:sz="8" w:color="CCEEFF"/>
            </w:tcBorders>
          </w:tcPr>
          <w:p>
            <w:pPr>
              <w:spacing w:after="0"/>
              <w:rPr>
                <w:sz w:val="19"/>
                <w:szCs w:val="19"/>
                <w:color w:val="auto"/>
              </w:rPr>
            </w:pPr>
          </w:p>
        </w:tc>
      </w:tr>
      <w:tr>
        <w:trPr>
          <w:trHeight w:val="22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operating income (POI)</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167,283</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634,607</w:t>
            </w:r>
          </w:p>
        </w:tc>
        <w:tc>
          <w:tcPr>
            <w:tcW w:w="840" w:type="dxa"/>
            <w:vAlign w:val="bottom"/>
            <w:shd w:val="clear" w:color="auto" w:fill="CCEEFF"/>
          </w:tcPr>
          <w:p>
            <w:pPr>
              <w:spacing w:after="0"/>
              <w:rPr>
                <w:sz w:val="19"/>
                <w:szCs w:val="19"/>
                <w:color w:val="auto"/>
              </w:rPr>
            </w:pPr>
          </w:p>
        </w:tc>
      </w:tr>
      <w:tr>
        <w:trPr>
          <w:trHeight w:val="226"/>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Less: Non-comparable POI - acquisitions/dispositions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(12,285)</w:t>
            </w:r>
          </w:p>
        </w:tc>
        <w:tc>
          <w:tcPr>
            <w:tcW w:w="840" w:type="dxa"/>
            <w:vAlign w:val="bottom"/>
          </w:tcPr>
          <w:p>
            <w:pPr>
              <w:spacing w:after="0"/>
              <w:rPr>
                <w:sz w:val="19"/>
                <w:szCs w:val="19"/>
                <w:color w:val="auto"/>
              </w:rPr>
            </w:pPr>
          </w:p>
        </w:tc>
      </w:tr>
      <w:tr>
        <w:trPr>
          <w:trHeight w:val="23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Non-comparable POI - redevelopment, development &amp; other</w:t>
            </w: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(12,416)</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(7,531)</w:t>
            </w:r>
          </w:p>
        </w:tc>
        <w:tc>
          <w:tcPr>
            <w:tcW w:w="9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(22,043)</w:t>
            </w:r>
          </w:p>
        </w:tc>
        <w:tc>
          <w:tcPr>
            <w:tcW w:w="840" w:type="dxa"/>
            <w:vAlign w:val="bottom"/>
            <w:shd w:val="clear" w:color="auto" w:fill="CCEEFF"/>
          </w:tcPr>
          <w:p>
            <w:pPr>
              <w:spacing w:after="0"/>
              <w:rPr>
                <w:sz w:val="20"/>
                <w:szCs w:val="20"/>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164,927</w:t>
            </w: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156,423</w:t>
            </w:r>
          </w:p>
        </w:tc>
        <w:tc>
          <w:tcPr>
            <w:tcW w:w="9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600,279</w:t>
            </w:r>
          </w:p>
        </w:tc>
        <w:tc>
          <w:tcPr>
            <w:tcW w:w="840" w:type="dxa"/>
            <w:vAlign w:val="bottom"/>
          </w:tcPr>
          <w:p>
            <w:pPr>
              <w:spacing w:after="0"/>
              <w:rPr>
                <w:sz w:val="18"/>
                <w:szCs w:val="18"/>
                <w:color w:val="auto"/>
              </w:rPr>
            </w:pPr>
          </w:p>
        </w:tc>
      </w:tr>
      <w:tr>
        <w:trPr>
          <w:trHeight w:val="437"/>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Additional information regarding the components of Comparable Property POI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r>
      <w:tr>
        <w:trPr>
          <w:trHeight w:val="23"/>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income</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891,015</w:t>
            </w:r>
          </w:p>
        </w:tc>
        <w:tc>
          <w:tcPr>
            <w:tcW w:w="840" w:type="dxa"/>
            <w:vAlign w:val="bottom"/>
            <w:shd w:val="clear" w:color="auto" w:fill="CCEEFF"/>
          </w:tcPr>
          <w:p>
            <w:pPr>
              <w:spacing w:after="0"/>
              <w:rPr>
                <w:sz w:val="20"/>
                <w:szCs w:val="20"/>
                <w:color w:val="auto"/>
              </w:rPr>
            </w:pPr>
          </w:p>
        </w:tc>
      </w:tr>
      <w:tr>
        <w:trPr>
          <w:trHeight w:val="108"/>
        </w:trPr>
        <w:tc>
          <w:tcPr>
            <w:tcW w:w="5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expenses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(48,862)</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(179,463)</w:t>
            </w:r>
          </w:p>
        </w:tc>
        <w:tc>
          <w:tcPr>
            <w:tcW w:w="840" w:type="dxa"/>
            <w:vAlign w:val="bottom"/>
            <w:shd w:val="clear" w:color="auto" w:fill="CCEEFF"/>
          </w:tcPr>
          <w:p>
            <w:pPr>
              <w:spacing w:after="0"/>
              <w:rPr>
                <w:sz w:val="19"/>
                <w:szCs w:val="19"/>
                <w:color w:val="auto"/>
              </w:rPr>
            </w:pPr>
          </w:p>
        </w:tc>
      </w:tr>
      <w:tr>
        <w:trPr>
          <w:trHeight w:val="22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Real estate taxes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(27,896)</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(114,555)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(111,273)</w:t>
            </w:r>
          </w:p>
        </w:tc>
        <w:tc>
          <w:tcPr>
            <w:tcW w:w="840" w:type="dxa"/>
            <w:vAlign w:val="bottom"/>
            <w:tcBorders>
              <w:bottom w:val="single" w:sz="8" w:color="CCEEFF"/>
            </w:tcBorders>
          </w:tcPr>
          <w:p>
            <w:pPr>
              <w:spacing w:after="0"/>
              <w:rPr>
                <w:sz w:val="19"/>
                <w:szCs w:val="19"/>
                <w:color w:val="auto"/>
              </w:rPr>
            </w:pPr>
          </w:p>
        </w:tc>
      </w:tr>
      <w:tr>
        <w:trPr>
          <w:trHeight w:val="227"/>
        </w:trPr>
        <w:tc>
          <w:tcPr>
            <w:tcW w:w="5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(76,758)</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(290,736)</w:t>
            </w:r>
          </w:p>
        </w:tc>
        <w:tc>
          <w:tcPr>
            <w:tcW w:w="840" w:type="dxa"/>
            <w:vAlign w:val="bottom"/>
            <w:shd w:val="clear" w:color="auto" w:fill="CCEEFF"/>
          </w:tcPr>
          <w:p>
            <w:pPr>
              <w:spacing w:after="0"/>
              <w:rPr>
                <w:sz w:val="19"/>
                <w:szCs w:val="19"/>
                <w:color w:val="auto"/>
              </w:rPr>
            </w:pPr>
          </w:p>
        </w:tc>
      </w:tr>
      <w:tr>
        <w:trPr>
          <w:trHeight w:val="149"/>
        </w:trPr>
        <w:tc>
          <w:tcPr>
            <w:tcW w:w="5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r>
      <w:tr>
        <w:trPr>
          <w:trHeight w:val="430"/>
        </w:trPr>
        <w:tc>
          <w:tcPr>
            <w:tcW w:w="5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Summary of Capital Expenditures (1)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r>
      <w:tr>
        <w:trPr>
          <w:trHeight w:val="23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Redevelopment and tenant improvements and incentives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131,857</w:t>
            </w:r>
          </w:p>
        </w:tc>
        <w:tc>
          <w:tcPr>
            <w:tcW w:w="840" w:type="dxa"/>
            <w:vAlign w:val="bottom"/>
            <w:shd w:val="clear" w:color="auto" w:fill="CCEEFF"/>
          </w:tcPr>
          <w:p>
            <w:pPr>
              <w:spacing w:after="0"/>
              <w:rPr>
                <w:sz w:val="20"/>
                <w:szCs w:val="20"/>
                <w:color w:val="auto"/>
              </w:rPr>
            </w:pPr>
          </w:p>
        </w:tc>
      </w:tr>
      <w:tr>
        <w:trPr>
          <w:trHeight w:val="22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5,527</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15,635</w:t>
            </w:r>
          </w:p>
        </w:tc>
        <w:tc>
          <w:tcPr>
            <w:tcW w:w="840" w:type="dxa"/>
            <w:vAlign w:val="bottom"/>
            <w:tcBorders>
              <w:bottom w:val="single" w:sz="8" w:color="CCEEFF"/>
            </w:tcBorders>
          </w:tcPr>
          <w:p>
            <w:pPr>
              <w:spacing w:after="0"/>
              <w:rPr>
                <w:sz w:val="19"/>
                <w:szCs w:val="19"/>
                <w:color w:val="auto"/>
              </w:rPr>
            </w:pPr>
          </w:p>
        </w:tc>
      </w:tr>
      <w:tr>
        <w:trPr>
          <w:trHeight w:val="227"/>
        </w:trPr>
        <w:tc>
          <w:tcPr>
            <w:tcW w:w="5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48,756</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147,492</w:t>
            </w:r>
          </w:p>
        </w:tc>
        <w:tc>
          <w:tcPr>
            <w:tcW w:w="840" w:type="dxa"/>
            <w:vAlign w:val="bottom"/>
            <w:shd w:val="clear" w:color="auto" w:fill="CCEEFF"/>
          </w:tcPr>
          <w:p>
            <w:pPr>
              <w:spacing w:after="0"/>
              <w:rPr>
                <w:sz w:val="19"/>
                <w:szCs w:val="19"/>
                <w:color w:val="auto"/>
              </w:rPr>
            </w:pPr>
          </w:p>
        </w:tc>
      </w:tr>
      <w:tr>
        <w:trPr>
          <w:trHeight w:val="430"/>
        </w:trPr>
        <w:tc>
          <w:tcPr>
            <w:tcW w:w="5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Occupancy Statistics (2)</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84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CCEEFF"/>
            </w:tcBorders>
          </w:tcPr>
          <w:p>
            <w:pPr>
              <w:spacing w:after="0"/>
              <w:rPr>
                <w:sz w:val="16"/>
                <w:szCs w:val="16"/>
                <w:color w:val="auto"/>
              </w:rPr>
            </w:pPr>
          </w:p>
        </w:tc>
      </w:tr>
      <w:tr>
        <w:trPr>
          <w:trHeight w:val="22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GLA - comparable commercial properties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23,727,000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23,571,000</w:t>
            </w:r>
          </w:p>
        </w:tc>
        <w:tc>
          <w:tcPr>
            <w:tcW w:w="840" w:type="dxa"/>
            <w:vAlign w:val="bottom"/>
            <w:shd w:val="clear" w:color="auto" w:fill="CCEEFF"/>
          </w:tcPr>
          <w:p>
            <w:pPr>
              <w:spacing w:after="0"/>
              <w:rPr>
                <w:sz w:val="19"/>
                <w:szCs w:val="19"/>
                <w:color w:val="auto"/>
              </w:rPr>
            </w:pPr>
          </w:p>
        </w:tc>
      </w:tr>
      <w:tr>
        <w:trPr>
          <w:trHeight w:val="226"/>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Leased % - comparable commercial properties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40" w:type="dxa"/>
            <w:vAlign w:val="bottom"/>
          </w:tcPr>
          <w:p>
            <w:pPr>
              <w:spacing w:after="0"/>
              <w:rPr>
                <w:sz w:val="19"/>
                <w:szCs w:val="19"/>
                <w:color w:val="auto"/>
              </w:rPr>
            </w:pPr>
          </w:p>
        </w:tc>
      </w:tr>
      <w:tr>
        <w:trPr>
          <w:trHeight w:val="23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 - comparable commercial properties</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840" w:type="dxa"/>
            <w:vAlign w:val="bottom"/>
            <w:shd w:val="clear" w:color="auto" w:fill="CCEEFF"/>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9 for "Summary of Capital Expenditures" for our entire portfolio.</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27 for entire portfolio occupancy statistics.</w:t>
      </w:r>
    </w:p>
    <w:p>
      <w:pPr>
        <w:sectPr>
          <w:pgSz w:w="11900" w:h="16838" w:orient="portrait"/>
          <w:cols w:equalWidth="0" w:num="1">
            <w:col w:w="11220"/>
          </w:cols>
          <w:pgMar w:left="320" w:top="846"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846" w:right="35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81,988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79,270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101.04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136.32</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8,284,068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10,806,086</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8,443,893</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10,966,086</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4,329,393</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4,047,547</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(85,558)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(162,132)</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4,243,835</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3,885,415</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12,687,728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14,851,501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a constant common share price of $136.32</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6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include </w:t>
      </w:r>
      <w:r>
        <w:rPr>
          <w:rFonts w:ascii="Times New Roman" w:cs="Times New Roman" w:eastAsia="Times New Roman" w:hAnsi="Times New Roman"/>
          <w:sz w:val="17"/>
          <w:szCs w:val="17"/>
          <w:color w:val="auto"/>
        </w:rPr>
        <w:t>644,554</w:t>
      </w:r>
      <w:r>
        <w:rPr>
          <w:rFonts w:ascii="Times New Roman" w:cs="Times New Roman" w:eastAsia="Times New Roman" w:hAnsi="Times New Roman"/>
          <w:sz w:val="16"/>
          <w:szCs w:val="16"/>
          <w:color w:val="auto"/>
        </w:rPr>
        <w:t xml:space="preserve"> and 666,831 downREIT operating partnership units outstanding at December 31, 2022 and 2021, respectively.</w:t>
      </w:r>
    </w:p>
    <w:p>
      <w:pPr>
        <w:spacing w:after="0" w:line="7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40" w:hanging="652"/>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2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Hoboken (24 Buildings)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+ 1.95%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2029</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4.02%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Term Loan (4)</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4/16/2024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SOFR + 0.85%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Revolving Credit Facility (4)(5)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4/5/2027</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SOFR + 0.775%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2059</w:t>
            </w:r>
          </w:p>
        </w:tc>
        <w:tc>
          <w:tcPr>
            <w:tcW w:w="16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Various (6)</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602,957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5.40%</w:t>
            </w:r>
          </w:p>
        </w:tc>
        <w:tc>
          <w:tcPr>
            <w:tcW w:w="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2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6/1/2023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1/15/2024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3,407,701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4,329,393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3,731,234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3.54%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598,159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5.39%</w:t>
            </w:r>
          </w:p>
        </w:tc>
        <w:tc>
          <w:tcPr>
            <w:tcW w:w="4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4,329,393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3.79%</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2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8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960" w:type="dxa"/>
            <w:vAlign w:val="bottom"/>
            <w:gridSpan w:val="2"/>
          </w:tcPr>
          <w:p>
            <w:pPr>
              <w:spacing w:after="0"/>
              <w:rPr>
                <w:sz w:val="2"/>
                <w:szCs w:val="2"/>
                <w:color w:val="auto"/>
              </w:rPr>
            </w:pPr>
          </w:p>
        </w:tc>
        <w:tc>
          <w:tcPr>
            <w:tcW w:w="12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62"/>
        </w:trPr>
        <w:tc>
          <w:tcPr>
            <w:tcW w:w="20" w:type="dxa"/>
            <w:vAlign w:val="bottom"/>
          </w:tcPr>
          <w:p>
            <w:pPr>
              <w:spacing w:after="0"/>
              <w:rPr>
                <w:sz w:val="14"/>
                <w:szCs w:val="14"/>
                <w:color w:val="auto"/>
              </w:rPr>
            </w:pPr>
          </w:p>
        </w:tc>
        <w:tc>
          <w:tcPr>
            <w:tcW w:w="6680" w:type="dxa"/>
            <w:vAlign w:val="bottom"/>
            <w:gridSpan w:val="2"/>
          </w:tcPr>
          <w:p>
            <w:pPr>
              <w:jc w:val="right"/>
              <w:ind w:right="5280"/>
              <w:spacing w:after="0" w:line="162" w:lineRule="exact"/>
              <w:rPr>
                <w:sz w:val="20"/>
                <w:szCs w:val="20"/>
                <w:color w:val="auto"/>
              </w:rPr>
            </w:pPr>
            <w:r>
              <w:rPr>
                <w:rFonts w:ascii="Times New Roman" w:cs="Times New Roman" w:eastAsia="Times New Roman" w:hAnsi="Times New Roman"/>
                <w:sz w:val="16"/>
                <w:szCs w:val="16"/>
                <w:color w:val="auto"/>
              </w:rPr>
              <w:t>Operational Statistics</w:t>
            </w:r>
          </w:p>
        </w:tc>
        <w:tc>
          <w:tcPr>
            <w:tcW w:w="6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60" w:type="dxa"/>
            <w:vAlign w:val="bottom"/>
            <w:gridSpan w:val="3"/>
            <w:shd w:val="clear" w:color="auto" w:fill="CCEEFF"/>
          </w:tcPr>
          <w:p>
            <w:pPr>
              <w:jc w:val="right"/>
              <w:ind w:right="1748"/>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 share dividends (10)</w:t>
            </w:r>
          </w:p>
        </w:tc>
        <w:tc>
          <w:tcPr>
            <w:tcW w:w="120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3.7x</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3.9x</w:t>
            </w:r>
          </w:p>
        </w:tc>
        <w:tc>
          <w:tcPr>
            <w:tcW w:w="15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4.0x</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3.6x</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20" w:hanging="652"/>
        <w:spacing w:after="0" w:line="301"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debt on our unconsolidated real estate partnerships. At December 31, 2022, our share of unconsolidated debt was approximately $62.2 million. At December 31, 2022, our noncontrolling interests' share of mortgages payable was $15.7 million.</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interest rate swap agreements that fix the interest rate on the mortgage loan at 3.67%.</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mortgages range from 3.91% to 5.00%.</w:t>
      </w:r>
    </w:p>
    <w:p>
      <w:pPr>
        <w:spacing w:after="0" w:line="68" w:lineRule="exact"/>
        <w:rPr>
          <w:rFonts w:ascii="Times New Roman" w:cs="Times New Roman" w:eastAsia="Times New Roman" w:hAnsi="Times New Roman"/>
          <w:sz w:val="14"/>
          <w:szCs w:val="14"/>
          <w:color w:val="auto"/>
        </w:rPr>
      </w:pPr>
    </w:p>
    <w:p>
      <w:pPr>
        <w:ind w:left="660" w:right="240" w:hanging="652"/>
        <w:spacing w:after="0" w:line="282"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revolving credit facility SOFR loans bear interest at Daily Simple SOFR or Term SOFR as defined in the credit agreement and our term loan bears interest at Term SOFR, plus 0.10%, plus a spread, based on our current credit rating.</w:t>
      </w:r>
    </w:p>
    <w:p>
      <w:pPr>
        <w:spacing w:after="0" w:line="13" w:lineRule="exact"/>
        <w:rPr>
          <w:rFonts w:ascii="Times New Roman" w:cs="Times New Roman" w:eastAsia="Times New Roman" w:hAnsi="Times New Roman"/>
          <w:sz w:val="14"/>
          <w:szCs w:val="14"/>
          <w:color w:val="auto"/>
        </w:rPr>
      </w:pPr>
    </w:p>
    <w:p>
      <w:pPr>
        <w:ind w:left="660" w:right="100" w:hanging="652"/>
        <w:spacing w:after="0" w:line="281" w:lineRule="auto"/>
        <w:tabs>
          <w:tab w:leader="none" w:pos="65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drawn under our $1.25 billion revolving credit facility during the three months and year ended December 31, 2022 was $291.0 million and $330.0 million, respectively. The weighted average interest rate on borrowings under our credit facility, before amortization of debt fees, for the three months and year ended December 31, 2022 was 4.3% and 3.2%, respectively.</w:t>
      </w:r>
    </w:p>
    <w:p>
      <w:pPr>
        <w:spacing w:after="0" w:line="1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notes payable range from 3.00% to 11.31%.</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mortgages payable, notes payable, and senior notes and debentures is approximately 7 years.</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9.</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$0.9 million in quarterly financing fees and quarterly debt fee amortization on our revolving credit facility.</w:t>
      </w:r>
    </w:p>
    <w:p>
      <w:pPr>
        <w:spacing w:after="0" w:line="68" w:lineRule="exact"/>
        <w:rPr>
          <w:rFonts w:ascii="Times New Roman" w:cs="Times New Roman" w:eastAsia="Times New Roman" w:hAnsi="Times New Roman"/>
          <w:sz w:val="14"/>
          <w:szCs w:val="14"/>
          <w:color w:val="auto"/>
        </w:rPr>
      </w:pPr>
    </w:p>
    <w:p>
      <w:pPr>
        <w:ind w:left="660" w:right="220" w:hanging="652"/>
        <w:spacing w:after="0" w:line="302" w:lineRule="auto"/>
        <w:tabs>
          <w:tab w:leader="none" w:pos="6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5" w:right="33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740" w:type="dxa"/>
            <w:vAlign w:val="bottom"/>
            <w:vMerge w:val="restart"/>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 of Debt</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7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Average Rate (4)</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278,893</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6.4 %</w:t>
            </w:r>
          </w:p>
        </w:tc>
        <w:tc>
          <w:tcPr>
            <w:tcW w:w="17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36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w w:val="96"/>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1,203,970</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34.1 %</w:t>
            </w: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48,048</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35.2 %</w:t>
            </w:r>
          </w:p>
        </w:tc>
        <w:tc>
          <w:tcPr>
            <w:tcW w:w="17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455,516</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45.7 %</w:t>
            </w: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690,682</w:t>
            </w:r>
          </w:p>
        </w:tc>
        <w:tc>
          <w:tcPr>
            <w:tcW w:w="3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6"/>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693,315</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61.7 %</w:t>
            </w:r>
          </w:p>
        </w:tc>
        <w:tc>
          <w:tcPr>
            <w:tcW w:w="1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3.8 % </w:t>
            </w: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61.8 %</w:t>
            </w: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458,105</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72.4 %</w:t>
            </w:r>
          </w:p>
        </w:tc>
        <w:tc>
          <w:tcPr>
            <w:tcW w:w="17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81.6 %</w:t>
            </w: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81.6 %</w:t>
            </w:r>
          </w:p>
        </w:tc>
        <w:tc>
          <w:tcPr>
            <w:tcW w:w="17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81.6 %</w:t>
            </w:r>
          </w:p>
        </w:tc>
        <w:tc>
          <w:tcPr>
            <w:tcW w:w="1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100.0 %</w:t>
            </w:r>
          </w:p>
        </w:tc>
        <w:tc>
          <w:tcPr>
            <w:tcW w:w="17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4,321,535</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4,344,474</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$600.0 million term loan matures on April 16, 2024, plus two one-year extensions at our option.</w:t>
      </w:r>
    </w:p>
    <w:p>
      <w:pPr>
        <w:spacing w:after="0" w:line="59" w:lineRule="exact"/>
        <w:rPr>
          <w:rFonts w:ascii="Times New Roman" w:cs="Times New Roman" w:eastAsia="Times New Roman" w:hAnsi="Times New Roman"/>
          <w:sz w:val="16"/>
          <w:szCs w:val="16"/>
          <w:color w:val="auto"/>
        </w:rPr>
      </w:pPr>
    </w:p>
    <w:p>
      <w:pPr>
        <w:ind w:left="660" w:right="10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$1.25 billion revolving credit facility matures on April 5, 2027, plus two six-month extensions at our option. As of December 31, 2022, there was no balance outstanding under this credit facility.</w:t>
      </w:r>
    </w:p>
    <w:p>
      <w:pPr>
        <w:ind w:left="660" w:right="120" w:hanging="652"/>
        <w:spacing w:after="0" w:line="29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December 31, 2022.</w:t>
      </w: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$0.9 million in quarterly financing fees and quarterly debt fee amortization on our $1.25 billion revolving credit facility.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022" w:right="35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have received or will shortly receive all necessary approvals to proceed and are actively being worked on by the Trust. (1)</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Impacts of Current Environment:</w:t>
      </w:r>
    </w:p>
    <w:p>
      <w:pPr>
        <w:spacing w:after="0" w:line="4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inflation and other items currently affecting the broader economy.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5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 (in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Projects Stabilized in 2022</w:t>
            </w:r>
          </w:p>
        </w:tc>
        <w:tc>
          <w:tcPr>
            <w:tcW w:w="5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CocoWalk (4)</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Coconut Grove, FL</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Entire shopping center redevelopment to include: demolition of three story east wing</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$97</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$95</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of the property and construction of a 107,000 square foot 5-story office/retail building</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 22,000 square feet of retail; complete renovation of the west wing</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Azalea</w:t>
            </w:r>
          </w:p>
        </w:tc>
        <w:tc>
          <w:tcPr>
            <w:tcW w:w="1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Southgate, CA</w:t>
            </w:r>
          </w:p>
        </w:tc>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Development of a new 3,000 square foot single tenant pad building</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221"/>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Projects Stabilized in 2022 (3)(5)</w:t>
            </w:r>
          </w:p>
        </w:tc>
        <w:tc>
          <w:tcPr>
            <w:tcW w:w="5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Active Redevelopment Projects</w:t>
            </w: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800" w:type="dxa"/>
            <w:vAlign w:val="bottom"/>
            <w:gridSpan w:val="2"/>
            <w:vMerge w:val="continue"/>
          </w:tcPr>
          <w:p>
            <w:pPr>
              <w:spacing w:after="0"/>
              <w:rPr>
                <w:sz w:val="24"/>
                <w:szCs w:val="24"/>
                <w:color w:val="auto"/>
              </w:rPr>
            </w:pPr>
          </w:p>
        </w:tc>
        <w:tc>
          <w:tcPr>
            <w:tcW w:w="5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Darien Commons</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Darien, CT</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 of</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$110 - $120</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$101</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 retail space, 122 rental apartments, and 720 parking spaces</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4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51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 anchor</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$41</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1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and small shop space to construct 102,000 square feet of new ground-level anchor and</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 shop retail space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Lawrence Park</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Broomall, PA</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 into</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vacant lower level space, creation of 17,800 square feet of small shop space converted</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from vacated anchor space, a new 2,000 square foot bank pad building, and a façade</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Willow Grove</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Willow Grove, PA</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Flourtown</w:t>
            </w:r>
          </w:p>
        </w:tc>
        <w:tc>
          <w:tcPr>
            <w:tcW w:w="1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Flourtown, PA</w:t>
            </w: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of a new 2,450 square foot bank pad building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Dedham</w:t>
            </w:r>
          </w:p>
        </w:tc>
        <w:tc>
          <w:tcPr>
            <w:tcW w:w="14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Dedham, MA</w:t>
            </w:r>
          </w:p>
        </w:tc>
        <w:tc>
          <w:tcPr>
            <w:tcW w:w="51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Development of a new 4,000 square foot pad building with drive-thru pre-leased to a</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restaurant tenant</w:t>
            </w: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Active Redevelopment Projects (5)</w:t>
            </w:r>
          </w:p>
        </w:tc>
        <w:tc>
          <w:tcPr>
            <w:tcW w:w="5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7 % $220 - $235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gridSpan w:val="2"/>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Active Property Improvement Projects (6)</w:t>
            </w:r>
          </w:p>
        </w:tc>
        <w:tc>
          <w:tcPr>
            <w:tcW w:w="5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3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Various Properties</w:t>
            </w:r>
          </w:p>
        </w:tc>
        <w:tc>
          <w:tcPr>
            <w:tcW w:w="1460" w:type="dxa"/>
            <w:vAlign w:val="bottom"/>
          </w:tcPr>
          <w:p>
            <w:pPr>
              <w:spacing w:after="0"/>
              <w:rPr>
                <w:sz w:val="10"/>
                <w:szCs w:val="10"/>
                <w:color w:val="auto"/>
              </w:rPr>
            </w:pPr>
          </w:p>
        </w:tc>
        <w:tc>
          <w:tcPr>
            <w:tcW w:w="5140" w:type="dxa"/>
            <w:vAlign w:val="bottom"/>
          </w:tcPr>
          <w:p>
            <w:pPr>
              <w:ind w:left="100"/>
              <w:spacing w:after="0" w:line="115" w:lineRule="exact"/>
              <w:rPr>
                <w:sz w:val="20"/>
                <w:szCs w:val="20"/>
                <w:color w:val="auto"/>
              </w:rPr>
            </w:pPr>
            <w:r>
              <w:rPr>
                <w:rFonts w:ascii="Times New Roman" w:cs="Times New Roman" w:eastAsia="Times New Roman" w:hAnsi="Times New Roman"/>
                <w:sz w:val="13"/>
                <w:szCs w:val="13"/>
                <w:color w:val="auto"/>
              </w:rPr>
              <w:t>Ongoing improvements at 25 properties to better position those properties to capture a</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- 13%</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disproportionate amount of retail demand post-COVID</w:t>
            </w:r>
          </w:p>
        </w:tc>
        <w:tc>
          <w:tcPr>
            <w:tcW w:w="7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120" w:hanging="652"/>
        <w:spacing w:after="0" w:line="267"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660" w:hanging="652"/>
        <w:spacing w:after="0"/>
        <w:tabs>
          <w:tab w:leader="none" w:pos="6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660" w:right="460" w:hanging="652"/>
        <w:spacing w:after="0" w:line="260"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CocoWalk has stabilized from an economic perspective during 2022 with a full year of stabilized POI of approximately $11 million in 2023. 2022 has generated approximately 90% of this amount.</w:t>
      </w:r>
    </w:p>
    <w:p>
      <w:pPr>
        <w:ind w:left="660" w:hanging="652"/>
        <w:spacing w:after="0"/>
        <w:tabs>
          <w:tab w:leader="none" w:pos="6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subtotals and totals reflect cost weighted-average ROIs.</w:t>
      </w:r>
    </w:p>
    <w:p>
      <w:pPr>
        <w:spacing w:after="0" w:line="12" w:lineRule="exact"/>
        <w:rPr>
          <w:rFonts w:ascii="Times New Roman" w:cs="Times New Roman" w:eastAsia="Times New Roman" w:hAnsi="Times New Roman"/>
          <w:sz w:val="13"/>
          <w:szCs w:val="13"/>
          <w:color w:val="auto"/>
        </w:rPr>
      </w:pPr>
    </w:p>
    <w:p>
      <w:pPr>
        <w:ind w:left="660" w:right="40" w:hanging="652"/>
        <w:spacing w:after="0" w:line="266" w:lineRule="auto"/>
        <w:tabs>
          <w:tab w:leader="none" w:pos="65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28"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Impacts of Current Environment:</w:t>
      </w:r>
    </w:p>
    <w:p>
      <w:pPr>
        <w:spacing w:after="0" w:line="34" w:lineRule="exact"/>
        <w:rPr>
          <w:sz w:val="20"/>
          <w:szCs w:val="20"/>
          <w:color w:val="auto"/>
        </w:rPr>
      </w:pPr>
    </w:p>
    <w:p>
      <w:pPr>
        <w:jc w:val="both"/>
        <w:ind w:left="20" w:right="380"/>
        <w:spacing w:after="0" w:line="245"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inflation and other items affecting the broader economy.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Projected POI Delivered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00" w:type="dxa"/>
            <w:vAlign w:val="bottom"/>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08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30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(3)</w:t>
            </w: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(in</w:t>
            </w:r>
          </w:p>
        </w:tc>
        <w:tc>
          <w:tcPr>
            <w:tcW w:w="940" w:type="dxa"/>
            <w:vAlign w:val="bottom"/>
          </w:tcPr>
          <w:p>
            <w:pPr>
              <w:jc w:val="center"/>
              <w:ind w:right="149"/>
              <w:spacing w:after="0" w:line="129" w:lineRule="exact"/>
              <w:rPr>
                <w:sz w:val="20"/>
                <w:szCs w:val="20"/>
                <w:color w:val="auto"/>
              </w:rPr>
            </w:pPr>
            <w:r>
              <w:rPr>
                <w:rFonts w:ascii="Times New Roman" w:cs="Times New Roman" w:eastAsia="Times New Roman" w:hAnsi="Times New Roman"/>
                <w:sz w:val="13"/>
                <w:szCs w:val="13"/>
                <w:color w:val="auto"/>
              </w:rPr>
              <w:t>(in</w:t>
            </w:r>
          </w:p>
        </w:tc>
        <w:tc>
          <w:tcPr>
            <w:tcW w:w="20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13"/>
                <w:szCs w:val="13"/>
                <w:color w:val="auto"/>
              </w:rPr>
              <w:t>millions)</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Phase III</w:t>
            </w:r>
          </w:p>
        </w:tc>
        <w:tc>
          <w:tcPr>
            <w:tcW w:w="230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- 277,000 SF of office</w:t>
            </w:r>
          </w:p>
        </w:tc>
        <w:tc>
          <w:tcPr>
            <w:tcW w:w="1300" w:type="dxa"/>
            <w:vAlign w:val="bottom"/>
            <w:shd w:val="clear" w:color="auto" w:fill="CCEEFF"/>
          </w:tcPr>
          <w:p>
            <w:pPr>
              <w:jc w:val="center"/>
              <w:ind w:left="508"/>
              <w:spacing w:after="0" w:line="135"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$475 - 485</w:t>
            </w:r>
          </w:p>
        </w:tc>
        <w:tc>
          <w:tcPr>
            <w:tcW w:w="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$473</w:t>
            </w:r>
          </w:p>
        </w:tc>
        <w:tc>
          <w:tcPr>
            <w:tcW w:w="800" w:type="dxa"/>
            <w:vAlign w:val="bottom"/>
            <w:shd w:val="clear" w:color="auto" w:fill="CCEEFF"/>
          </w:tcPr>
          <w:p>
            <w:pPr>
              <w:jc w:val="center"/>
              <w:ind w:left="128"/>
              <w:spacing w:after="0" w:line="135" w:lineRule="exact"/>
              <w:rPr>
                <w:sz w:val="20"/>
                <w:szCs w:val="20"/>
                <w:color w:val="auto"/>
              </w:rPr>
            </w:pPr>
            <w:r>
              <w:rPr>
                <w:rFonts w:ascii="Times New Roman" w:cs="Times New Roman" w:eastAsia="Times New Roman" w:hAnsi="Times New Roman"/>
                <w:sz w:val="14"/>
                <w:szCs w:val="14"/>
                <w:color w:val="auto"/>
              </w:rPr>
              <w:t>70%</w:t>
            </w:r>
          </w:p>
        </w:tc>
        <w:tc>
          <w:tcPr>
            <w:tcW w:w="1200" w:type="dxa"/>
            <w:vAlign w:val="bottom"/>
            <w:shd w:val="clear" w:color="auto" w:fill="CCEEFF"/>
          </w:tcPr>
          <w:p>
            <w:pPr>
              <w:jc w:val="center"/>
              <w:ind w:left="128"/>
              <w:spacing w:after="0" w:line="135" w:lineRule="exact"/>
              <w:rPr>
                <w:sz w:val="20"/>
                <w:szCs w:val="20"/>
                <w:color w:val="auto"/>
              </w:rPr>
            </w:pPr>
            <w:r>
              <w:rPr>
                <w:rFonts w:ascii="Times New Roman" w:cs="Times New Roman" w:eastAsia="Times New Roman" w:hAnsi="Times New Roman"/>
                <w:sz w:val="14"/>
                <w:szCs w:val="14"/>
                <w:color w:val="auto"/>
              </w:rPr>
              <w:t>95 - 100%</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300,000 SF of commercial space</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300" w:type="dxa"/>
            <w:vAlign w:val="bottom"/>
            <w:gridSpan w:val="4"/>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- 500 residential units</w:t>
            </w:r>
          </w:p>
        </w:tc>
        <w:tc>
          <w:tcPr>
            <w:tcW w:w="1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300" w:type="dxa"/>
            <w:vAlign w:val="bottom"/>
            <w:gridSpan w:val="4"/>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- 56,000 SF of retail</w:t>
            </w:r>
          </w:p>
        </w:tc>
        <w:tc>
          <w:tcPr>
            <w:tcW w:w="1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Residential units - 95% leased at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12/31/22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- 1.5M SF of commercial</w:t>
            </w:r>
          </w:p>
        </w:tc>
        <w:tc>
          <w:tcPr>
            <w:tcW w:w="1300" w:type="dxa"/>
            <w:vAlign w:val="bottom"/>
          </w:tcPr>
          <w:p>
            <w:pPr>
              <w:jc w:val="center"/>
              <w:ind w:left="50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TBD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- 326 residential units</w:t>
            </w: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18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909 Rose Avenue (Phase</w:t>
            </w:r>
          </w:p>
        </w:tc>
        <w:tc>
          <w:tcPr>
            <w:tcW w:w="23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-212,000 SF of office</w:t>
            </w:r>
          </w:p>
        </w:tc>
        <w:tc>
          <w:tcPr>
            <w:tcW w:w="1300" w:type="dxa"/>
            <w:vAlign w:val="bottom"/>
          </w:tcPr>
          <w:p>
            <w:pPr>
              <w:jc w:val="center"/>
              <w:ind w:left="508"/>
              <w:spacing w:after="0" w:line="135" w:lineRule="exact"/>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$130 - 135</w:t>
            </w:r>
          </w:p>
        </w:tc>
        <w:tc>
          <w:tcPr>
            <w:tcW w:w="9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$128   (4)</w:t>
            </w:r>
          </w:p>
        </w:tc>
        <w:tc>
          <w:tcPr>
            <w:tcW w:w="80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4"/>
                <w:szCs w:val="14"/>
                <w:color w:val="auto"/>
              </w:rPr>
              <w:t>65%</w:t>
            </w:r>
          </w:p>
        </w:tc>
        <w:tc>
          <w:tcPr>
            <w:tcW w:w="1200" w:type="dxa"/>
            <w:vAlign w:val="bottom"/>
          </w:tcPr>
          <w:p>
            <w:pPr>
              <w:jc w:val="center"/>
              <w:ind w:left="128"/>
              <w:spacing w:after="0" w:line="135" w:lineRule="exact"/>
              <w:rPr>
                <w:sz w:val="20"/>
                <w:szCs w:val="20"/>
                <w:color w:val="auto"/>
              </w:rPr>
            </w:pPr>
            <w:r>
              <w:rPr>
                <w:rFonts w:ascii="Times New Roman" w:cs="Times New Roman" w:eastAsia="Times New Roman" w:hAnsi="Times New Roman"/>
                <w:sz w:val="14"/>
                <w:szCs w:val="14"/>
                <w:color w:val="auto"/>
              </w:rPr>
              <w:t>95 - 100%</w:t>
            </w:r>
          </w:p>
        </w:tc>
        <w:tc>
          <w:tcPr>
            <w:tcW w:w="80" w:type="dxa"/>
            <w:vAlign w:val="bottom"/>
          </w:tcPr>
          <w:p>
            <w:pPr>
              <w:spacing w:after="0"/>
              <w:rPr>
                <w:sz w:val="11"/>
                <w:szCs w:val="11"/>
                <w:color w:val="auto"/>
              </w:rPr>
            </w:pPr>
          </w:p>
        </w:tc>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Office/retail fully leased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III)</w:t>
            </w: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-7,000 SF of retail</w:t>
            </w: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915 Meeting Street (Phase</w:t>
            </w:r>
          </w:p>
        </w:tc>
        <w:tc>
          <w:tcPr>
            <w:tcW w:w="230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-266,000 SF of office</w:t>
            </w:r>
          </w:p>
        </w:tc>
        <w:tc>
          <w:tcPr>
            <w:tcW w:w="1300" w:type="dxa"/>
            <w:vAlign w:val="bottom"/>
            <w:shd w:val="clear" w:color="auto" w:fill="CCEEFF"/>
          </w:tcPr>
          <w:p>
            <w:pPr>
              <w:jc w:val="center"/>
              <w:ind w:left="50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$185 - 200</w:t>
            </w:r>
          </w:p>
        </w:tc>
        <w:tc>
          <w:tcPr>
            <w:tcW w:w="940" w:type="dxa"/>
            <w:vAlign w:val="bottom"/>
            <w:shd w:val="clear" w:color="auto" w:fill="CCEEFF"/>
          </w:tcPr>
          <w:p>
            <w:pPr>
              <w:jc w:val="center"/>
              <w:ind w:right="149"/>
              <w:spacing w:after="0" w:line="142" w:lineRule="exact"/>
              <w:rPr>
                <w:sz w:val="20"/>
                <w:szCs w:val="20"/>
                <w:color w:val="auto"/>
              </w:rPr>
            </w:pPr>
            <w:r>
              <w:rPr>
                <w:rFonts w:ascii="Times New Roman" w:cs="Times New Roman" w:eastAsia="Times New Roman" w:hAnsi="Times New Roman"/>
                <w:sz w:val="14"/>
                <w:szCs w:val="14"/>
                <w:color w:val="auto"/>
                <w:w w:val="95"/>
              </w:rPr>
              <w:t>$96</w:t>
            </w:r>
          </w:p>
        </w:tc>
        <w:tc>
          <w:tcPr>
            <w:tcW w:w="800" w:type="dxa"/>
            <w:vAlign w:val="bottom"/>
            <w:shd w:val="clear" w:color="auto" w:fill="CCEEFF"/>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157,000 SF of office space pre-</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IV)</w:t>
            </w:r>
          </w:p>
        </w:tc>
        <w:tc>
          <w:tcPr>
            <w:tcW w:w="23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-10,000 SF of retail</w:t>
            </w: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- 530,000 SF of commercial</w:t>
            </w:r>
          </w:p>
        </w:tc>
        <w:tc>
          <w:tcPr>
            <w:tcW w:w="1300" w:type="dxa"/>
            <w:vAlign w:val="bottom"/>
          </w:tcPr>
          <w:p>
            <w:pPr>
              <w:jc w:val="center"/>
              <w:ind w:left="50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TBD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- 741 residential units</w:t>
            </w: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88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1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Santana West</w:t>
            </w: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- 376,000 SF of office</w:t>
            </w:r>
          </w:p>
        </w:tc>
        <w:tc>
          <w:tcPr>
            <w:tcW w:w="130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$300 - 315</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$207</w:t>
            </w:r>
          </w:p>
        </w:tc>
        <w:tc>
          <w:tcPr>
            <w:tcW w:w="8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Future Phases</w:t>
            </w:r>
          </w:p>
        </w:tc>
        <w:tc>
          <w:tcPr>
            <w:tcW w:w="2300" w:type="dxa"/>
            <w:vAlign w:val="bottom"/>
            <w:gridSpan w:val="4"/>
          </w:tcPr>
          <w:p>
            <w:pPr>
              <w:ind w:left="60"/>
              <w:spacing w:after="0" w:line="156" w:lineRule="exact"/>
              <w:rPr>
                <w:sz w:val="20"/>
                <w:szCs w:val="20"/>
                <w:color w:val="auto"/>
              </w:rPr>
            </w:pPr>
            <w:r>
              <w:rPr>
                <w:rFonts w:ascii="Times New Roman" w:cs="Times New Roman" w:eastAsia="Times New Roman" w:hAnsi="Times New Roman"/>
                <w:sz w:val="14"/>
                <w:szCs w:val="14"/>
                <w:color w:val="auto"/>
              </w:rPr>
              <w:t>-321,000 SF of commercial</w:t>
            </w:r>
          </w:p>
        </w:tc>
        <w:tc>
          <w:tcPr>
            <w:tcW w:w="1300" w:type="dxa"/>
            <w:vAlign w:val="bottom"/>
          </w:tcPr>
          <w:p>
            <w:pPr>
              <w:jc w:val="center"/>
              <w:ind w:left="508"/>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TBD</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15175"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402590"/>
                    </a:xfrm>
                    <a:prstGeom prst="rect">
                      <a:avLst/>
                    </a:prstGeom>
                    <a:noFill/>
                  </pic:spPr>
                </pic:pic>
              </a:graphicData>
            </a:graphic>
          </wp:anchor>
        </w:drawing>
      </w:r>
    </w:p>
    <w:p>
      <w:pPr>
        <w:ind w:left="1660"/>
        <w:spacing w:after="0" w:line="221" w:lineRule="auto"/>
        <w:rPr>
          <w:sz w:val="20"/>
          <w:szCs w:val="20"/>
          <w:color w:val="auto"/>
        </w:rPr>
      </w:pPr>
      <w:r>
        <w:rPr>
          <w:rFonts w:ascii="Times New Roman" w:cs="Times New Roman" w:eastAsia="Times New Roman" w:hAnsi="Times New Roman"/>
          <w:sz w:val="14"/>
          <w:szCs w:val="14"/>
          <w:color w:val="auto"/>
        </w:rPr>
        <w:t>-395 residential units</w:t>
      </w:r>
    </w:p>
    <w:p>
      <w:pPr>
        <w:ind w:left="1660"/>
        <w:spacing w:after="0" w:line="221" w:lineRule="auto"/>
        <w:rPr>
          <w:sz w:val="20"/>
          <w:szCs w:val="20"/>
          <w:color w:val="auto"/>
        </w:rPr>
      </w:pPr>
      <w:r>
        <w:rPr>
          <w:rFonts w:ascii="Times New Roman" w:cs="Times New Roman" w:eastAsia="Times New Roman" w:hAnsi="Times New Roman"/>
          <w:sz w:val="14"/>
          <w:szCs w:val="14"/>
          <w:color w:val="auto"/>
        </w:rPr>
        <w:t>-604,000 SF of commercial across from</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Santana Row</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20" w:hanging="652"/>
        <w:spacing w:after="0" w:line="26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opening dates, total cost, and projected return on investment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 w:lineRule="exact"/>
        <w:rPr>
          <w:rFonts w:ascii="Times New Roman" w:cs="Times New Roman" w:eastAsia="Times New Roman" w:hAnsi="Times New Roman"/>
          <w:sz w:val="14"/>
          <w:szCs w:val="14"/>
          <w:color w:val="auto"/>
        </w:rPr>
      </w:pPr>
    </w:p>
    <w:p>
      <w:pPr>
        <w:ind w:left="660" w:right="80" w:hanging="652"/>
        <w:spacing w:after="0" w:line="25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 Actual and projected POI delivered includes straight line rent.</w:t>
      </w:r>
    </w:p>
    <w:p>
      <w:pPr>
        <w:ind w:left="660" w:right="120" w:hanging="652"/>
        <w:spacing w:after="0" w:line="26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Assembly Row and Pike &amp; Rose include an allocation of infrastructure costs for the entire project. Phase I of Santana West includes an allocation of infrastructure for the Santana West site.</w:t>
      </w:r>
    </w:p>
    <w:p>
      <w:pPr>
        <w:ind w:left="660" w:right="500" w:hanging="652"/>
        <w:spacing w:after="0" w:line="263"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Realty Investment Trust is leasing 45,000 square feet of office space at a market rent in Pike &amp; Rose Phase III delivered in August 2020. Revenue related to this rent is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07"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89" w:lineRule="exact"/>
        <w:rPr>
          <w:sz w:val="20"/>
          <w:szCs w:val="20"/>
          <w:color w:val="auto"/>
        </w:rPr>
      </w:pPr>
    </w:p>
    <w:p>
      <w:pPr>
        <w:ind w:left="20" w:right="70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w:t>
      </w:r>
    </w:p>
    <w:p>
      <w:pPr>
        <w:spacing w:after="0" w:line="1" w:lineRule="exact"/>
        <w:rPr>
          <w:sz w:val="20"/>
          <w:szCs w:val="20"/>
          <w:color w:val="auto"/>
        </w:rPr>
      </w:pPr>
    </w:p>
    <w:p>
      <w:pPr>
        <w:ind w:left="20" w:right="42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2"/>
            <w:shd w:val="clear" w:color="auto" w:fill="DBDBDB"/>
          </w:tcPr>
          <w:p>
            <w:pPr>
              <w:ind w:left="2020"/>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000" w:type="dxa"/>
            <w:vAlign w:val="bottom"/>
            <w:tcBorders>
              <w:bottom w:val="single" w:sz="8" w:color="auto"/>
            </w:tcBorders>
            <w:shd w:val="clear" w:color="auto" w:fill="DBDBDB"/>
          </w:tcPr>
          <w:p>
            <w:pPr>
              <w:spacing w:after="0"/>
              <w:rPr>
                <w:sz w:val="19"/>
                <w:szCs w:val="19"/>
                <w:color w:val="auto"/>
              </w:rPr>
            </w:pPr>
          </w:p>
        </w:tc>
      </w:tr>
      <w:tr>
        <w:trPr>
          <w:trHeight w:val="221"/>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3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7"/>
                <w:szCs w:val="17"/>
                <w:b w:val="1"/>
                <w:bCs w:val="1"/>
                <w:color w:val="auto"/>
                <w:w w:val="99"/>
              </w:rPr>
              <w:t>Expansion/Conversion (4)</w:t>
            </w:r>
          </w:p>
        </w:tc>
        <w:tc>
          <w:tcPr>
            <w:tcW w:w="19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7"/>
                <w:szCs w:val="17"/>
                <w:b w:val="1"/>
                <w:bCs w:val="1"/>
                <w:color w:val="auto"/>
                <w:w w:val="98"/>
              </w:rPr>
              <w:t>Mixed Use - Long Term</w:t>
            </w: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Somerville, MA</w:t>
            </w:r>
          </w:p>
        </w:tc>
        <w:tc>
          <w:tcPr>
            <w:tcW w:w="2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62"/>
              <w:spacing w:after="0" w:line="171" w:lineRule="exact"/>
              <w:rPr>
                <w:sz w:val="20"/>
                <w:szCs w:val="20"/>
                <w:color w:val="auto"/>
              </w:rPr>
            </w:pPr>
            <w:r>
              <w:rPr>
                <w:rFonts w:ascii="MS PGothic" w:cs="MS PGothic" w:eastAsia="MS PGothic" w:hAnsi="MS PGothic"/>
                <w:sz w:val="17"/>
                <w:szCs w:val="17"/>
                <w:color w:val="auto"/>
                <w:highlight w:val="black"/>
                <w:w w:val="93"/>
              </w:rPr>
              <w:t>✔</w:t>
            </w: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 Cynwyd</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Bala Cynwyd, PA</w:t>
            </w:r>
          </w:p>
        </w:tc>
        <w:tc>
          <w:tcPr>
            <w:tcW w:w="2340" w:type="dxa"/>
            <w:vAlign w:val="bottom"/>
            <w:shd w:val="clear" w:color="auto" w:fill="CCEEFF"/>
          </w:tcPr>
          <w:p>
            <w:pPr>
              <w:spacing w:after="0"/>
              <w:rPr>
                <w:sz w:val="21"/>
                <w:szCs w:val="21"/>
                <w:color w:val="auto"/>
              </w:rPr>
            </w:pPr>
          </w:p>
        </w:tc>
        <w:tc>
          <w:tcPr>
            <w:tcW w:w="1920" w:type="dxa"/>
            <w:vAlign w:val="bottom"/>
            <w:shd w:val="clear" w:color="auto" w:fill="CCEEFF"/>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shd w:val="clear" w:color="auto" w:fill="CCEEFF"/>
          </w:tcPr>
          <w:p>
            <w:pPr>
              <w:jc w:val="center"/>
              <w:ind w:right="62"/>
              <w:spacing w:after="0" w:line="171" w:lineRule="exact"/>
              <w:rPr>
                <w:sz w:val="20"/>
                <w:szCs w:val="20"/>
                <w:color w:val="auto"/>
              </w:rPr>
            </w:pPr>
            <w:r>
              <w:rPr>
                <w:rFonts w:ascii="MS PGothic" w:cs="MS PGothic" w:eastAsia="MS PGothic" w:hAnsi="MS PGothic"/>
                <w:sz w:val="17"/>
                <w:szCs w:val="17"/>
                <w:color w:val="auto"/>
                <w:highlight w:val="black"/>
                <w:w w:val="93"/>
              </w:rPr>
              <w:t>✔</w:t>
            </w: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Charlottesville, VA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tcPr>
          <w:p>
            <w:pPr>
              <w:spacing w:after="0"/>
              <w:rPr>
                <w:sz w:val="21"/>
                <w:szCs w:val="21"/>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Camelback Colonnade</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Phoenix, AZ</w:t>
            </w:r>
          </w:p>
        </w:tc>
        <w:tc>
          <w:tcPr>
            <w:tcW w:w="2340" w:type="dxa"/>
            <w:vAlign w:val="bottom"/>
          </w:tcPr>
          <w:p>
            <w:pPr>
              <w:spacing w:after="0"/>
              <w:rPr>
                <w:sz w:val="19"/>
                <w:szCs w:val="19"/>
                <w:color w:val="auto"/>
              </w:rPr>
            </w:pPr>
          </w:p>
        </w:tc>
        <w:tc>
          <w:tcPr>
            <w:tcW w:w="1920" w:type="dxa"/>
            <w:vAlign w:val="bottom"/>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tcPr>
          <w:p>
            <w:pPr>
              <w:spacing w:after="0"/>
              <w:rPr>
                <w:sz w:val="19"/>
                <w:szCs w:val="19"/>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Chelsea, MA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Dedham, MA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Escondido, CA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Rockville, MD</w:t>
            </w:r>
          </w:p>
        </w:tc>
        <w:tc>
          <w:tcPr>
            <w:tcW w:w="23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right="16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2000" w:type="dxa"/>
            <w:vAlign w:val="bottom"/>
            <w:shd w:val="clear" w:color="auto" w:fill="CCEEFF"/>
          </w:tcPr>
          <w:p>
            <w:pPr>
              <w:spacing w:after="0"/>
              <w:rPr>
                <w:sz w:val="19"/>
                <w:szCs w:val="19"/>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Fourth Street</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Berkeley, CA</w:t>
            </w:r>
          </w:p>
        </w:tc>
        <w:tc>
          <w:tcPr>
            <w:tcW w:w="2340" w:type="dxa"/>
            <w:vAlign w:val="bottom"/>
          </w:tcPr>
          <w:p>
            <w:pPr>
              <w:jc w:val="center"/>
              <w:ind w:right="58"/>
              <w:spacing w:after="0" w:line="171" w:lineRule="exact"/>
              <w:rPr>
                <w:sz w:val="20"/>
                <w:szCs w:val="20"/>
                <w:color w:val="auto"/>
              </w:rPr>
            </w:pPr>
            <w:r>
              <w:rPr>
                <w:rFonts w:ascii="MS PGothic" w:cs="MS PGothic" w:eastAsia="MS PGothic" w:hAnsi="MS PGothic"/>
                <w:sz w:val="17"/>
                <w:szCs w:val="17"/>
                <w:color w:val="auto"/>
                <w:highlight w:val="black"/>
                <w:w w:val="82"/>
              </w:rPr>
              <w:t>✔</w:t>
            </w:r>
          </w:p>
        </w:tc>
        <w:tc>
          <w:tcPr>
            <w:tcW w:w="19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Queens, NY</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Washington, DC</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La Mesa, CA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Huntington, NY</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Mercer Mall</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Lawrenceville, NJ</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Pan Am</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North Bethesda, MD</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Vienna, VA</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Chicago, IL</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Santana Row - Santana West (3)</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42"/>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AVENUE at White Marsh</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White Marsh, MD</w:t>
            </w:r>
          </w:p>
        </w:tc>
        <w:tc>
          <w:tcPr>
            <w:tcW w:w="2340" w:type="dxa"/>
            <w:vAlign w:val="bottom"/>
          </w:tcPr>
          <w:p>
            <w:pPr>
              <w:spacing w:after="0"/>
              <w:rPr>
                <w:sz w:val="23"/>
                <w:szCs w:val="23"/>
                <w:color w:val="auto"/>
              </w:rPr>
            </w:pPr>
          </w:p>
        </w:tc>
        <w:tc>
          <w:tcPr>
            <w:tcW w:w="1920" w:type="dxa"/>
            <w:vAlign w:val="bottom"/>
          </w:tcPr>
          <w:p>
            <w:pPr>
              <w:jc w:val="center"/>
              <w:ind w:right="16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Arlington, VA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jc w:val="center"/>
              <w:ind w:right="16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Wildwood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Willow Grove, PA</w:t>
            </w:r>
          </w:p>
        </w:tc>
        <w:tc>
          <w:tcPr>
            <w:tcW w:w="2340" w:type="dxa"/>
            <w:vAlign w:val="bottom"/>
            <w:shd w:val="clear" w:color="auto" w:fill="CCEEFF"/>
          </w:tcPr>
          <w:p>
            <w:pPr>
              <w:jc w:val="center"/>
              <w:ind w:right="18"/>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bl>
    <w:p>
      <w:pPr>
        <w:spacing w:after="0" w:line="248" w:lineRule="exact"/>
        <w:rPr>
          <w:sz w:val="20"/>
          <w:szCs w:val="20"/>
          <w:color w:val="auto"/>
        </w:rPr>
      </w:pPr>
    </w:p>
    <w:p>
      <w:pPr>
        <w:ind w:left="320" w:right="620" w:hanging="303"/>
        <w:spacing w:after="0" w:line="235"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Assembly Row after Phase III include approximately 1.5 million square feet of commercial-use buildings and 326 residential units.</w:t>
      </w:r>
    </w:p>
    <w:p>
      <w:pPr>
        <w:spacing w:after="0" w:line="8" w:lineRule="exact"/>
        <w:rPr>
          <w:rFonts w:ascii="Times New Roman" w:cs="Times New Roman" w:eastAsia="Times New Roman" w:hAnsi="Times New Roman"/>
          <w:sz w:val="17"/>
          <w:szCs w:val="17"/>
          <w:color w:val="auto"/>
        </w:rPr>
      </w:pPr>
    </w:p>
    <w:p>
      <w:pPr>
        <w:ind w:left="320" w:right="180" w:hanging="303"/>
        <w:spacing w:after="0" w:line="235"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Pike &amp; Rose after Phase IV include approximately 530,000 square feet of commercial-use buildings, and 741 residential units.</w:t>
      </w:r>
    </w:p>
    <w:p>
      <w:pPr>
        <w:spacing w:after="0" w:line="8" w:lineRule="exact"/>
        <w:rPr>
          <w:rFonts w:ascii="Times New Roman" w:cs="Times New Roman" w:eastAsia="Times New Roman" w:hAnsi="Times New Roman"/>
          <w:sz w:val="17"/>
          <w:szCs w:val="17"/>
          <w:color w:val="auto"/>
        </w:rPr>
      </w:pPr>
    </w:p>
    <w:p>
      <w:pPr>
        <w:ind w:left="320" w:right="620" w:hanging="303"/>
        <w:spacing w:after="0" w:line="235"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Santana Row include approximately 321,000 square feet of commercial space and 395 residential units, as well as approximately 604,000 square feet of commercial space across from Santana Row.</w:t>
      </w:r>
    </w:p>
    <w:p>
      <w:pPr>
        <w:spacing w:after="0" w:line="8" w:lineRule="exact"/>
        <w:rPr>
          <w:rFonts w:ascii="Times New Roman" w:cs="Times New Roman" w:eastAsia="Times New Roman" w:hAnsi="Times New Roman"/>
          <w:sz w:val="17"/>
          <w:szCs w:val="17"/>
          <w:color w:val="auto"/>
        </w:rPr>
      </w:pPr>
    </w:p>
    <w:p>
      <w:pPr>
        <w:ind w:left="320" w:right="320" w:hanging="303"/>
        <w:spacing w:after="0" w:line="235"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muti-tenant stand alone pad buildings.</w:t>
      </w:r>
    </w:p>
    <w:p>
      <w:pPr>
        <w:spacing w:after="0" w:line="8" w:lineRule="exact"/>
        <w:rPr>
          <w:rFonts w:ascii="Times New Roman" w:cs="Times New Roman" w:eastAsia="Times New Roman" w:hAnsi="Times New Roman"/>
          <w:sz w:val="17"/>
          <w:szCs w:val="17"/>
          <w:color w:val="auto"/>
        </w:rPr>
      </w:pPr>
    </w:p>
    <w:p>
      <w:pPr>
        <w:ind w:left="320" w:hanging="303"/>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includes opportunities to add residential units to existing retail and mixed-use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660" w:top="1018" w:right="65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Acquisitions, Significant Dispositions, &amp; Other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Property Acquisitions</w:t>
            </w:r>
          </w:p>
        </w:tc>
        <w:tc>
          <w:tcPr>
            <w:tcW w:w="2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vMerge w:val="restart"/>
          </w:tcPr>
          <w:p>
            <w:pPr>
              <w:spacing w:after="0"/>
              <w:rPr>
                <w:sz w:val="24"/>
                <w:szCs w:val="24"/>
                <w:color w:val="auto"/>
              </w:rPr>
            </w:pPr>
          </w:p>
        </w:tc>
        <w:tc>
          <w:tcPr>
            <w:tcW w:w="25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2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4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GLA</w:t>
            </w:r>
          </w:p>
        </w:tc>
        <w:tc>
          <w:tcPr>
            <w:tcW w:w="140" w:type="dxa"/>
            <w:vAlign w:val="bottom"/>
          </w:tcPr>
          <w:p>
            <w:pPr>
              <w:spacing w:after="0"/>
              <w:rPr>
                <w:sz w:val="24"/>
                <w:szCs w:val="24"/>
                <w:color w:val="auto"/>
              </w:rPr>
            </w:pP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1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22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14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April 20, 2022 &amp; July</w:t>
            </w:r>
          </w:p>
        </w:tc>
        <w:tc>
          <w:tcPr>
            <w:tcW w:w="258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6"/>
                <w:szCs w:val="16"/>
                <w:color w:val="auto"/>
              </w:rPr>
              <w:t>Kingstowne Towne Center</w:t>
            </w:r>
          </w:p>
        </w:tc>
        <w:tc>
          <w:tcPr>
            <w:tcW w:w="222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6"/>
                <w:szCs w:val="16"/>
                <w:color w:val="auto"/>
              </w:rPr>
              <w:t>Kingstowne, Virginia</w:t>
            </w:r>
          </w:p>
        </w:tc>
        <w:tc>
          <w:tcPr>
            <w:tcW w:w="14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410,000</w:t>
            </w:r>
          </w:p>
        </w:tc>
        <w:tc>
          <w:tcPr>
            <w:tcW w:w="14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200.0</w:t>
            </w:r>
          </w:p>
        </w:tc>
        <w:tc>
          <w:tcPr>
            <w:tcW w:w="2240" w:type="dxa"/>
            <w:vAlign w:val="bottom"/>
            <w:shd w:val="clear" w:color="auto" w:fill="CCEEFF"/>
          </w:tcPr>
          <w:p>
            <w:pPr>
              <w:ind w:left="80"/>
              <w:spacing w:after="0" w:line="164" w:lineRule="exact"/>
              <w:rPr>
                <w:sz w:val="20"/>
                <w:szCs w:val="20"/>
                <w:color w:val="auto"/>
              </w:rPr>
            </w:pPr>
            <w:r>
              <w:rPr>
                <w:rFonts w:ascii="Times New Roman" w:cs="Times New Roman" w:eastAsia="Times New Roman" w:hAnsi="Times New Roman"/>
                <w:sz w:val="16"/>
                <w:szCs w:val="16"/>
                <w:color w:val="auto"/>
              </w:rPr>
              <w:t>Safeway / Giant / TJ Maxx /</w:t>
            </w: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27, 2022</w:t>
            </w:r>
          </w:p>
        </w:tc>
        <w:tc>
          <w:tcPr>
            <w:tcW w:w="8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Ross Dress for Less /</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Homegoods / Five Below</w:t>
            </w:r>
          </w:p>
        </w:tc>
        <w:tc>
          <w:tcPr>
            <w:tcW w:w="0" w:type="dxa"/>
            <w:vAlign w:val="bottom"/>
          </w:tcPr>
          <w:p>
            <w:pPr>
              <w:spacing w:after="0"/>
              <w:rPr>
                <w:sz w:val="1"/>
                <w:szCs w:val="1"/>
                <w:color w:val="auto"/>
              </w:rPr>
            </w:pPr>
          </w:p>
        </w:tc>
      </w:tr>
      <w:tr>
        <w:trPr>
          <w:trHeight w:val="21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18, 2022</w:t>
            </w:r>
          </w:p>
        </w:tc>
        <w:tc>
          <w:tcPr>
            <w:tcW w:w="2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Hilton Village (office building) (1)</w:t>
            </w:r>
          </w:p>
        </w:tc>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Scottsdale, Arizona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6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July 27, 2022</w:t>
            </w:r>
          </w:p>
        </w:tc>
        <w:tc>
          <w:tcPr>
            <w:tcW w:w="258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The Shops at Pembroke Gardens</w:t>
            </w:r>
          </w:p>
        </w:tc>
        <w:tc>
          <w:tcPr>
            <w:tcW w:w="22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Pembroke Pines, Florida</w:t>
            </w:r>
          </w:p>
        </w:tc>
        <w:tc>
          <w:tcPr>
            <w:tcW w:w="1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391,000</w:t>
            </w:r>
          </w:p>
        </w:tc>
        <w:tc>
          <w:tcPr>
            <w:tcW w:w="1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180.5</w:t>
            </w:r>
          </w:p>
        </w:tc>
        <w:tc>
          <w:tcPr>
            <w:tcW w:w="224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Nike / DSW / Old Navy / Barnes</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&amp; Noble</w:t>
            </w:r>
          </w:p>
        </w:tc>
        <w:tc>
          <w:tcPr>
            <w:tcW w:w="0" w:type="dxa"/>
            <w:vAlign w:val="bottom"/>
          </w:tcPr>
          <w:p>
            <w:pPr>
              <w:spacing w:after="0"/>
              <w:rPr>
                <w:sz w:val="1"/>
                <w:szCs w:val="1"/>
                <w:color w:val="auto"/>
              </w:rPr>
            </w:pPr>
          </w:p>
        </w:tc>
      </w:tr>
      <w:tr>
        <w:trPr>
          <w:trHeight w:val="21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18, 2022</w:t>
            </w:r>
          </w:p>
        </w:tc>
        <w:tc>
          <w:tcPr>
            <w:tcW w:w="2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Hoboken (301 Washington St.) (2)</w:t>
            </w:r>
          </w:p>
        </w:tc>
        <w:tc>
          <w:tcPr>
            <w:tcW w:w="2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Hoboken, New Jersey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31, 2023</w:t>
            </w: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Huntington Square (3)</w:t>
            </w:r>
          </w:p>
        </w:tc>
        <w:tc>
          <w:tcPr>
            <w:tcW w:w="2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East Northport, New York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At Home / AMC</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land is controlled under a long-term ground lease that expires on September 30, 2075.</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property, that we own a 90% ownership interest in, was acquired through our Hoboken joint venture, and is in the beginning stages of redevelopment.</w:t>
      </w:r>
    </w:p>
    <w:p>
      <w:pPr>
        <w:spacing w:after="0" w:line="8" w:lineRule="exact"/>
        <w:rPr>
          <w:rFonts w:ascii="Times New Roman" w:cs="Times New Roman" w:eastAsia="Times New Roman" w:hAnsi="Times New Roman"/>
          <w:sz w:val="16"/>
          <w:szCs w:val="16"/>
          <w:color w:val="auto"/>
        </w:rPr>
      </w:pPr>
    </w:p>
    <w:p>
      <w:pPr>
        <w:ind w:left="660" w:right="760" w:hanging="652"/>
        <w:spacing w:after="0" w:line="270"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includes the acquisition of the portions of the property not previously owned, as well as the acquisition of the fee interest in the land underneath the portion of Huntington Square shopping center which we control under a long-term ground lease.</w:t>
      </w:r>
    </w:p>
    <w:p>
      <w:pPr>
        <w:spacing w:after="0" w:line="19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On October 6, 2022, we acquired a 47.5% net interest in an unconsolidated joint venture that owns two shopping centers for a combined price of $58.9 million. The properties have combined mortgage debt of $76.1 million, of which, our share is approximately $36.2 million, a blended interest rate of 3.9%, and mature in October 2025. Additional information on the properties is listed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7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GLA</w:t>
            </w:r>
          </w:p>
        </w:tc>
        <w:tc>
          <w:tcPr>
            <w:tcW w:w="16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41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0" w:type="dxa"/>
            <w:vAlign w:val="bottom"/>
          </w:tcPr>
          <w:p>
            <w:pPr>
              <w:spacing w:after="0"/>
              <w:rPr>
                <w:sz w:val="1"/>
                <w:szCs w:val="1"/>
                <w:color w:val="auto"/>
              </w:rPr>
            </w:pPr>
          </w:p>
        </w:tc>
      </w:tr>
      <w:tr>
        <w:trPr>
          <w:trHeight w:val="214"/>
        </w:trPr>
        <w:tc>
          <w:tcPr>
            <w:tcW w:w="166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(our share)</w:t>
            </w:r>
          </w:p>
        </w:tc>
        <w:tc>
          <w:tcPr>
            <w:tcW w:w="4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Chandler Festival</w:t>
            </w:r>
          </w:p>
        </w:tc>
        <w:tc>
          <w:tcPr>
            <w:tcW w:w="2100" w:type="dxa"/>
            <w:vAlign w:val="bottom"/>
            <w:shd w:val="clear" w:color="auto" w:fill="CCEEFF"/>
          </w:tcPr>
          <w:p>
            <w:pPr>
              <w:ind w:left="400"/>
              <w:spacing w:after="0" w:line="164" w:lineRule="exact"/>
              <w:rPr>
                <w:sz w:val="20"/>
                <w:szCs w:val="20"/>
                <w:color w:val="auto"/>
              </w:rPr>
            </w:pPr>
            <w:r>
              <w:rPr>
                <w:rFonts w:ascii="Times New Roman" w:cs="Times New Roman" w:eastAsia="Times New Roman" w:hAnsi="Times New Roman"/>
                <w:sz w:val="16"/>
                <w:szCs w:val="16"/>
                <w:color w:val="auto"/>
              </w:rPr>
              <w:t>Chandler, Arizona</w:t>
            </w:r>
          </w:p>
        </w:tc>
        <w:tc>
          <w:tcPr>
            <w:tcW w:w="172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355,000</w:t>
            </w:r>
          </w:p>
        </w:tc>
        <w:tc>
          <w:tcPr>
            <w:tcW w:w="1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5360" w:type="dxa"/>
            <w:vAlign w:val="bottom"/>
            <w:gridSpan w:val="2"/>
            <w:shd w:val="clear" w:color="auto" w:fill="CCEEFF"/>
          </w:tcPr>
          <w:p>
            <w:pPr>
              <w:ind w:left="880"/>
              <w:spacing w:after="0" w:line="164" w:lineRule="exact"/>
              <w:rPr>
                <w:sz w:val="20"/>
                <w:szCs w:val="20"/>
                <w:color w:val="auto"/>
              </w:rPr>
            </w:pPr>
            <w:r>
              <w:rPr>
                <w:rFonts w:ascii="Times New Roman" w:cs="Times New Roman" w:eastAsia="Times New Roman" w:hAnsi="Times New Roman"/>
                <w:sz w:val="16"/>
                <w:szCs w:val="16"/>
                <w:color w:val="auto"/>
              </w:rPr>
              <w:t>40.8  Ross Dress for Less / Nordstrom Rack / TJ Maxx / ULTA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Petsmart</w:t>
            </w:r>
          </w:p>
        </w:tc>
        <w:tc>
          <w:tcPr>
            <w:tcW w:w="0" w:type="dxa"/>
            <w:vAlign w:val="bottom"/>
          </w:tcPr>
          <w:p>
            <w:pPr>
              <w:spacing w:after="0"/>
              <w:rPr>
                <w:sz w:val="1"/>
                <w:szCs w:val="1"/>
                <w:color w:val="auto"/>
              </w:rPr>
            </w:pPr>
          </w:p>
        </w:tc>
      </w:tr>
      <w:tr>
        <w:trPr>
          <w:trHeight w:val="21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Chandler Gateway</w:t>
            </w:r>
          </w:p>
        </w:tc>
        <w:tc>
          <w:tcPr>
            <w:tcW w:w="2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Chandler, Arizona</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3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18.1  Walmart / Hobby Lobby / Petco</w:t>
            </w:r>
          </w:p>
        </w:tc>
        <w:tc>
          <w:tcPr>
            <w:tcW w:w="0" w:type="dxa"/>
            <w:vAlign w:val="bottom"/>
          </w:tcPr>
          <w:p>
            <w:pPr>
              <w:spacing w:after="0"/>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Significant Property Dispositions</w:t>
            </w:r>
          </w:p>
        </w:tc>
        <w:tc>
          <w:tcPr>
            <w:tcW w:w="2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47"/>
        </w:trPr>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3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48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jc w:val="right"/>
              <w:ind w:right="2719"/>
              <w:spacing w:after="0"/>
              <w:rPr>
                <w:sz w:val="20"/>
                <w:szCs w:val="20"/>
                <w:color w:val="auto"/>
              </w:rPr>
            </w:pPr>
            <w:r>
              <w:rPr>
                <w:rFonts w:ascii="Times New Roman" w:cs="Times New Roman" w:eastAsia="Times New Roman" w:hAnsi="Times New Roman"/>
                <w:sz w:val="16"/>
                <w:szCs w:val="16"/>
                <w:b w:val="1"/>
                <w:bCs w:val="1"/>
                <w:color w:val="auto"/>
              </w:rPr>
              <w:t>Sales Price</w:t>
            </w:r>
          </w:p>
        </w:tc>
      </w:tr>
      <w:tr>
        <w:trPr>
          <w:trHeight w:val="211"/>
        </w:trPr>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tcPr>
          <w:p>
            <w:pPr>
              <w:jc w:val="right"/>
              <w:ind w:right="267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 2022</w:t>
            </w:r>
          </w:p>
        </w:tc>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Towson Residential (including retail pad)</w:t>
            </w:r>
          </w:p>
        </w:tc>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Towson, Maryland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6"/>
                <w:szCs w:val="16"/>
                <w:color w:val="auto"/>
              </w:rPr>
              <w:t>33.8</w:t>
            </w:r>
          </w:p>
        </w:tc>
      </w:tr>
      <w:tr>
        <w:trPr>
          <w:trHeight w:val="213"/>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2022</w:t>
            </w:r>
          </w:p>
        </w:tc>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Rockville Town Square</w:t>
            </w:r>
          </w:p>
        </w:tc>
        <w:tc>
          <w:tcPr>
            <w:tcW w:w="2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Rockville, Maryland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tcPr>
          <w:p>
            <w:pPr>
              <w:jc w:val="right"/>
              <w:ind w:right="2539"/>
              <w:spacing w:after="0"/>
              <w:rPr>
                <w:sz w:val="20"/>
                <w:szCs w:val="20"/>
                <w:color w:val="auto"/>
              </w:rPr>
            </w:pPr>
            <w:r>
              <w:rPr>
                <w:rFonts w:ascii="Times New Roman" w:cs="Times New Roman" w:eastAsia="Times New Roman" w:hAnsi="Times New Roman"/>
                <w:sz w:val="16"/>
                <w:szCs w:val="16"/>
                <w:color w:val="auto"/>
              </w:rPr>
              <w:t>33.0</w:t>
            </w:r>
          </w:p>
        </w:tc>
      </w:tr>
      <w:tr>
        <w:trPr>
          <w:trHeight w:val="21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20, 2022</w:t>
            </w:r>
          </w:p>
        </w:tc>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Rollingwood Apartments</w:t>
            </w:r>
          </w:p>
        </w:tc>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Silver Spring, Maryland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shd w:val="clear" w:color="auto" w:fill="CCEEFF"/>
          </w:tcPr>
          <w:p>
            <w:pPr>
              <w:jc w:val="right"/>
              <w:ind w:right="2539"/>
              <w:spacing w:after="0"/>
              <w:rPr>
                <w:sz w:val="20"/>
                <w:szCs w:val="20"/>
                <w:color w:val="auto"/>
              </w:rPr>
            </w:pPr>
            <w:r>
              <w:rPr>
                <w:rFonts w:ascii="Times New Roman" w:cs="Times New Roman" w:eastAsia="Times New Roman" w:hAnsi="Times New Roman"/>
                <w:sz w:val="16"/>
                <w:szCs w:val="16"/>
                <w:color w:val="auto"/>
              </w:rPr>
              <w:t>67.5</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Transactions</w:t>
      </w:r>
    </w:p>
    <w:p>
      <w:pPr>
        <w:spacing w:after="0" w:line="10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On July 13, 2022, we acquired the 21.8% redeemable noncontrolling interest in the partnership that owns our Plaza El Segundo Shopping Center for $23.6 million, bringing our ownership interest to 100%.</w:t>
      </w:r>
    </w:p>
    <w:p>
      <w:pPr>
        <w:spacing w:after="0" w:line="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On August 25, 2022, we entered into a tenancy in common ("TIC") agreement with our partner in the partnership that owned Escondido Promenade. As a result, the Company owns a 77.7% TIC interest, and our former partner owns the remaining 22.3% interest. While the Company controlled and consolidated Escondido Promenade under the previous partnership arrangement, control is shared under the TIC agreement. Accordingly, we deconsolidated the entity and recorded our TIC interest at fair value as an equity method investment resulting in a $70.4 million "gain on deconsolidation of VIE" on our consolidated statement of operations. In addition, we entered into a purchase option agreement to acquire the TIC interest from our co-owner, which was secured through an option payment of $1.5 million, and allows us to exercise our option at any time between February 1, 2023 and March 15, 2023. See Note 3 of our December 31, 2022 Form 10-K for additional information.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860"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7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Occupied(3)</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PSF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60" w:type="dxa"/>
            <w:vAlign w:val="bottom"/>
          </w:tcPr>
          <w:p>
            <w:pPr>
              <w:spacing w:after="0"/>
              <w:rPr>
                <w:sz w:val="9"/>
                <w:szCs w:val="9"/>
                <w:color w:val="auto"/>
              </w:rPr>
            </w:pPr>
          </w:p>
        </w:tc>
        <w:tc>
          <w:tcPr>
            <w:tcW w:w="880" w:type="dxa"/>
            <w:vAlign w:val="bottom"/>
            <w:vMerge w:val="restart"/>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109,254</w:t>
            </w:r>
          </w:p>
        </w:tc>
        <w:tc>
          <w:tcPr>
            <w:tcW w:w="1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9"/>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$28.48</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Ulta / 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118,443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9"/>
              <w:spacing w:after="0" w:line="122" w:lineRule="exact"/>
              <w:rPr>
                <w:sz w:val="20"/>
                <w:szCs w:val="20"/>
                <w:color w:val="auto"/>
              </w:rPr>
            </w:pPr>
            <w:r>
              <w:rPr>
                <w:rFonts w:ascii="Times New Roman" w:cs="Times New Roman" w:eastAsia="Times New Roman" w:hAnsi="Times New Roman"/>
                <w:sz w:val="13"/>
                <w:szCs w:val="13"/>
                <w:color w:val="auto"/>
              </w:rPr>
              <w:t>11,835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$23.58</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67,000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Bob's Discount Furniture</w:t>
            </w:r>
          </w:p>
        </w:tc>
        <w:tc>
          <w:tcPr>
            <w:tcW w:w="0" w:type="dxa"/>
            <w:vAlign w:val="bottom"/>
          </w:tcPr>
          <w:p>
            <w:pPr>
              <w:spacing w:after="0"/>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Colorado Blvd</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13,914</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$60.04</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True Food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Kitchen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Crow Canyon</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San Francisco-</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91,083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$29.55</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32,000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Sprouts</w:t>
            </w: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Wine &amp; More / Rite Aid /</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9"/>
              </w:rPr>
              <w:t>Oakland-Hayward,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Alamo Ace Hardware</w:t>
            </w: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Francisco-</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179,638</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$19.71</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59,000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Pak-N-Save</w:t>
            </w: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Target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9"/>
              </w:rPr>
              <w:t>Oakland-Hayward,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Nordstrom Rack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San Diego-Carlsbad,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134,417</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$29.37</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Dick’s Sporting</w:t>
            </w:r>
          </w:p>
        </w:tc>
        <w:tc>
          <w:tcPr>
            <w:tcW w:w="0" w:type="dxa"/>
            <w:vAlign w:val="bottom"/>
          </w:tcPr>
          <w:p>
            <w:pPr>
              <w:spacing w:after="0"/>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Promenade</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CA</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Goods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Bob's Discount Furniture</w:t>
            </w: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Fourth Street</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Francisco-</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27,819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$32.59</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9"/>
              </w:rPr>
              <w:t>Oakland-Hayward,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Freedom Plaza</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44,096</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$30.71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25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Smart &amp; Final Nike / Blink Fitness / Ross Dress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Grossmont</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Diego-Carlsbad,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176,436</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$14.17</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Target / Walmart / Macy's / CVS</w:t>
            </w:r>
          </w:p>
        </w:tc>
        <w:tc>
          <w:tcPr>
            <w:tcW w:w="0" w:type="dxa"/>
            <w:vAlign w:val="bottom"/>
          </w:tcPr>
          <w:p>
            <w:pPr>
              <w:spacing w:after="0"/>
              <w:rPr>
                <w:sz w:val="1"/>
                <w:szCs w:val="1"/>
                <w:color w:val="auto"/>
              </w:rPr>
            </w:pPr>
          </w:p>
        </w:tc>
      </w:tr>
      <w:tr>
        <w:trPr>
          <w:trHeight w:val="164"/>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25,717</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$8.59</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 /</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Sears</w:t>
            </w: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Hollywood Blvd</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61,890</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$36.55</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Marshalls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 Court</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11,631</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$42.31</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Lunardi's</w:t>
            </w: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Santa Clara,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41,220</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$42.99</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Santa Clara,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Teleferic 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2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82,683</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$33.26</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24 Hour Fitness / Ross</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Dress For Less</w:t>
            </w:r>
          </w:p>
        </w:tc>
        <w:tc>
          <w:tcPr>
            <w:tcW w:w="0" w:type="dxa"/>
            <w:vAlign w:val="bottom"/>
          </w:tcPr>
          <w:p>
            <w:pPr>
              <w:spacing w:after="0"/>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Sol</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17,955</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$24.22</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El Segundo</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304,431</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9"/>
              <w:spacing w:after="0" w:line="122" w:lineRule="exact"/>
              <w:rPr>
                <w:sz w:val="20"/>
                <w:szCs w:val="20"/>
                <w:color w:val="auto"/>
              </w:rPr>
            </w:pPr>
            <w:r>
              <w:rPr>
                <w:rFonts w:ascii="Times New Roman" w:cs="Times New Roman" w:eastAsia="Times New Roman" w:hAnsi="Times New Roman"/>
                <w:sz w:val="13"/>
                <w:szCs w:val="13"/>
                <w:color w:val="auto"/>
              </w:rPr>
              <w:t>125,000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$48.03</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 The Point</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Dick's Sporting Goods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San Antonio</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50,749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$16.70</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Walmart / 24 Hour Fitness</w:t>
            </w:r>
          </w:p>
        </w:tc>
        <w:tc>
          <w:tcPr>
            <w:tcW w:w="0" w:type="dxa"/>
            <w:vAlign w:val="bottom"/>
          </w:tcPr>
          <w:p>
            <w:pPr>
              <w:spacing w:after="0"/>
              <w:rPr>
                <w:sz w:val="1"/>
                <w:szCs w:val="1"/>
                <w:color w:val="auto"/>
              </w:rPr>
            </w:pPr>
          </w:p>
        </w:tc>
      </w:tr>
      <w:tr>
        <w:trPr>
          <w:trHeight w:val="164"/>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Santa Clara,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Santana Row</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1,280,100</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$56.56</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662</w:t>
            </w: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Crate &amp; Barrel / Container Store</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Santa Clara, CA</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 H&amp;M / Best Buy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46,319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$17.57</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Third Street</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Los Angeles-Long</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89,079</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$72.02</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adidas / Madewell / Patagonia /</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Beach-Anaheim, CA</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San Jose-Sunnyvale-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157,244</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$19.68</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Nordstrom Rack / Nike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Santa Clara, CA</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Factory / TJ Maxx</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40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California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3,064,118</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6,452,000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auto"/>
            </w:tcBorders>
            <w:gridSpan w:val="4"/>
            <w:shd w:val="clear" w:color="auto" w:fill="CCEEFF"/>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7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Washington-Arlington-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50,558</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$28.80</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Washington-Arlington-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256,808</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$56.39</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40,000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Apple / Equinox / Anthropologie</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 Multiple Restaurants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Washington-Arlington-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25,742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$37.94</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51,000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102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78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Occupied(3)</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PSF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15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40,939</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$26.67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Congressional</w:t>
            </w:r>
          </w:p>
        </w:tc>
        <w:tc>
          <w:tcPr>
            <w:tcW w:w="15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(5)  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109,888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$41.60</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Buy Buy Baby / Ulta / Barnes &amp;</w:t>
            </w: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Market</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Noble / Container Store</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7,204</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$25.61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15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44,140</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$24.92</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23,000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73,622</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$38.25</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Micro Center / Ross</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Dress For Less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37,561</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$33.73</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DSW / Maggiano's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39,060</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$31.11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Square</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 Ashley Furniture HomeStore /</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Graham Park</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25,214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$40.71</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18,126</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$48.07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30,000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Kingstowne</w:t>
            </w:r>
          </w:p>
        </w:tc>
        <w:tc>
          <w:tcPr>
            <w:tcW w:w="220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   209,834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$26.99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Five</w:t>
            </w: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Towne Center</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Below / Ross Dress For Less</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61,467</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61,000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L.A. Fitness /</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HomeGoods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w:t>
            </w:r>
          </w:p>
        </w:tc>
        <w:tc>
          <w:tcPr>
            <w:tcW w:w="220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   172,388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$33.72</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73,000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Marshalls / Home Depot Design</w:t>
            </w: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Crossing</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Center / Old Navy / Burlington</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15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(6)  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94,952</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$19.90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62,000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 Depot / Old</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Navy / Petsmart</w:t>
            </w:r>
          </w:p>
        </w:tc>
        <w:tc>
          <w:tcPr>
            <w:tcW w:w="0" w:type="dxa"/>
            <w:vAlign w:val="bottom"/>
          </w:tcPr>
          <w:p>
            <w:pPr>
              <w:spacing w:after="0"/>
              <w:rPr>
                <w:sz w:val="1"/>
                <w:szCs w:val="1"/>
                <w:color w:val="auto"/>
              </w:rPr>
            </w:pPr>
          </w:p>
        </w:tc>
      </w:tr>
      <w:tr>
        <w:trPr>
          <w:trHeight w:val="130"/>
        </w:trPr>
        <w:tc>
          <w:tcPr>
            <w:tcW w:w="10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1540" w:type="dxa"/>
            <w:vAlign w:val="bottom"/>
            <w:shd w:val="clear" w:color="auto" w:fill="CCEEFF"/>
          </w:tcPr>
          <w:p>
            <w:pPr>
              <w:ind w:left="340"/>
              <w:spacing w:after="0" w:line="131"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80" w:type="dxa"/>
            <w:vAlign w:val="bottom"/>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Warehouse</w:t>
            </w: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13,681</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$39.41</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31,678</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$25.71</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65,000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15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(7)  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803,342</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$42.68</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765</w:t>
            </w: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Porsche / Uniqlo / REI / H&amp;M /</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L.L Bean / Multiple Restaurants</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52,111</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$49.74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46,880</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$33.15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40,582</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84 %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$26.14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HomeGoods / L.A. Fitness /</w:t>
            </w:r>
          </w:p>
        </w:tc>
        <w:tc>
          <w:tcPr>
            <w:tcW w:w="0" w:type="dxa"/>
            <w:vAlign w:val="bottom"/>
          </w:tcPr>
          <w:p>
            <w:pPr>
              <w:spacing w:after="0"/>
              <w:rPr>
                <w:sz w:val="1"/>
                <w:szCs w:val="1"/>
                <w:color w:val="auto"/>
              </w:rPr>
            </w:pPr>
          </w:p>
        </w:tc>
      </w:tr>
      <w:tr>
        <w:trPr>
          <w:trHeight w:val="122"/>
        </w:trPr>
        <w:tc>
          <w:tcPr>
            <w:tcW w:w="1020" w:type="dxa"/>
            <w:vAlign w:val="bottom"/>
            <w:shd w:val="clear" w:color="auto" w:fill="CCEEFF"/>
          </w:tcPr>
          <w:p>
            <w:pPr>
              <w:spacing w:after="0"/>
              <w:rPr>
                <w:sz w:val="10"/>
                <w:szCs w:val="10"/>
                <w:color w:val="auto"/>
              </w:rPr>
            </w:pP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Staples</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23,122</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$27.55</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26,000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Talbots / Total Wine &amp; More</w:t>
            </w: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Center</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35,716</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$26.40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Shopping Centre</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6,456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$49.47</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15,000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15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(8)  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75,504</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6,980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$40.07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AMC / Carlyle Grand</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Shirlington</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Café</w:t>
            </w:r>
          </w:p>
        </w:tc>
        <w:tc>
          <w:tcPr>
            <w:tcW w:w="0" w:type="dxa"/>
            <w:vAlign w:val="bottom"/>
          </w:tcPr>
          <w:p>
            <w:pPr>
              <w:spacing w:after="0"/>
              <w:rPr>
                <w:sz w:val="1"/>
                <w:szCs w:val="1"/>
                <w:color w:val="auto"/>
              </w:rPr>
            </w:pPr>
          </w:p>
        </w:tc>
      </w:tr>
      <w:tr>
        <w:trPr>
          <w:trHeight w:val="169"/>
        </w:trPr>
        <w:tc>
          <w:tcPr>
            <w:tcW w:w="10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Westpost</w:t>
            </w:r>
          </w:p>
        </w:tc>
        <w:tc>
          <w:tcPr>
            <w:tcW w:w="2200" w:type="dxa"/>
            <w:vAlign w:val="bottom"/>
            <w:gridSpan w:val="2"/>
          </w:tcPr>
          <w:p>
            <w:pPr>
              <w:ind w:left="340"/>
              <w:spacing w:after="0" w:line="122" w:lineRule="exact"/>
              <w:rPr>
                <w:sz w:val="20"/>
                <w:szCs w:val="20"/>
                <w:color w:val="auto"/>
              </w:rPr>
            </w:pPr>
            <w:r>
              <w:rPr>
                <w:rFonts w:ascii="Times New Roman" w:cs="Times New Roman" w:eastAsia="Times New Roman" w:hAnsi="Times New Roman"/>
                <w:sz w:val="13"/>
                <w:szCs w:val="13"/>
                <w:color w:val="auto"/>
              </w:rPr>
              <w:t>Washington-Arlington-    114,055</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$33.49</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 TJ Maxx / DSW / Ulta</w:t>
            </w:r>
          </w:p>
        </w:tc>
        <w:tc>
          <w:tcPr>
            <w:tcW w:w="0" w:type="dxa"/>
            <w:vAlign w:val="bottom"/>
          </w:tcPr>
          <w:p>
            <w:pPr>
              <w:spacing w:after="0"/>
              <w:rPr>
                <w:sz w:val="1"/>
                <w:szCs w:val="1"/>
                <w:color w:val="auto"/>
              </w:rPr>
            </w:pPr>
          </w:p>
        </w:tc>
      </w:tr>
      <w:tr>
        <w:trPr>
          <w:trHeight w:val="122"/>
        </w:trPr>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(formerly</w:t>
            </w:r>
          </w:p>
        </w:tc>
        <w:tc>
          <w:tcPr>
            <w:tcW w:w="154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Pentagon Row)</w:t>
            </w:r>
          </w:p>
        </w:tc>
        <w:tc>
          <w:tcPr>
            <w:tcW w:w="1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6"/>
              </w:rPr>
              <w:t>Washington-Arlington-</w:t>
            </w:r>
          </w:p>
        </w:tc>
        <w:tc>
          <w:tcPr>
            <w:tcW w:w="66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27,946</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$103.94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21"/>
        </w:trPr>
        <w:tc>
          <w:tcPr>
            <w:tcW w:w="10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Shopping Center</w:t>
            </w:r>
          </w:p>
        </w:tc>
        <w:tc>
          <w:tcPr>
            <w:tcW w:w="154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Alexandria, DC-VA-</w:t>
            </w: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60" w:type="dxa"/>
            <w:vAlign w:val="bottom"/>
            <w:gridSpan w:val="2"/>
          </w:tcPr>
          <w:p>
            <w:pPr>
              <w:ind w:left="56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Washington Metropolitan Area</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2,538,576</w:t>
            </w:r>
          </w:p>
        </w:tc>
        <w:tc>
          <w:tcPr>
            <w:tcW w:w="102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6,264,000</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28" w:right="3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1028"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Occupied(3)</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520" w:type="dxa"/>
            <w:vAlign w:val="bottom"/>
            <w:gridSpan w:val="2"/>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106,884</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$21.85</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HomeGoods / Ulta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(5) (6)</w:t>
            </w: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51,097</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11,500</w:t>
            </w: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$41.89</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Gap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Darien Commons</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140,192</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$42.94</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59</w:t>
            </w: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Equinox / 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Fresh Meadows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94,587</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$39.23</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15,000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Island of Gold</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Kohl's / Michaels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85,518</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$41.49</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33,669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$19.80</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Greenlawn</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Tuesday Morning / Planet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Farms</w:t>
            </w:r>
          </w:p>
        </w:tc>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Greenwich</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Bridgeport-Stamford-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23,748</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$96.19</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Avenue</w:t>
            </w: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Norwalk, CT</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Hauppauge</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35,664</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$33.63</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61,000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320" w:type="dxa"/>
            <w:vAlign w:val="bottom"/>
            <w:shd w:val="clear" w:color="auto" w:fill="CCEEFF"/>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227,506</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85,936</w:t>
            </w: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$57.04</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129</w:t>
            </w: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New York Sports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(10)</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Sephora / Multiple Restaurants</w:t>
            </w: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79,809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$26.85</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Petsmart / Michaels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Huntington</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13,926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$30.76</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Barnes &amp; Noble</w:t>
            </w: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Square</w:t>
            </w: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104,935</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$29.75</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Dick's Sporting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Giuseppe's</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Goods / Macy's Backstage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Public Lands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Mercer Mall</w:t>
            </w:r>
          </w:p>
        </w:tc>
        <w:tc>
          <w:tcPr>
            <w:tcW w:w="320" w:type="dxa"/>
            <w:vAlign w:val="bottom"/>
            <w:shd w:val="clear" w:color="auto" w:fill="CCEEFF"/>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(8)</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132,403</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55,096</w:t>
            </w: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$26.68</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Nike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Nordstrom Rack / REI / Tesla</w:t>
            </w:r>
          </w:p>
        </w:tc>
        <w:tc>
          <w:tcPr>
            <w:tcW w:w="0" w:type="dxa"/>
            <w:vAlign w:val="bottom"/>
          </w:tcPr>
          <w:p>
            <w:pPr>
              <w:spacing w:after="0"/>
              <w:rPr>
                <w:sz w:val="1"/>
                <w:szCs w:val="1"/>
                <w:color w:val="auto"/>
              </w:rPr>
            </w:pPr>
          </w:p>
        </w:tc>
      </w:tr>
      <w:tr>
        <w:trPr>
          <w:trHeight w:val="121"/>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(5) (6)</w:t>
            </w: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130,331</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43,600</w:t>
            </w: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$49.05</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Lululemon / Anthropologie /</w:t>
            </w:r>
          </w:p>
        </w:tc>
        <w:tc>
          <w:tcPr>
            <w:tcW w:w="0" w:type="dxa"/>
            <w:vAlign w:val="bottom"/>
          </w:tcPr>
          <w:p>
            <w:pPr>
              <w:spacing w:after="0"/>
              <w:rPr>
                <w:sz w:val="1"/>
                <w:szCs w:val="1"/>
                <w:color w:val="auto"/>
              </w:rPr>
            </w:pPr>
          </w:p>
        </w:tc>
      </w:tr>
      <w:tr>
        <w:trPr>
          <w:trHeight w:val="164"/>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Pottery Barn / 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Troy</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41,510</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$23.02</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L.A. Fitness / Michaels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Jersey City, NY-NJ-PA</w:t>
            </w:r>
          </w:p>
        </w:tc>
        <w:tc>
          <w:tcPr>
            <w:tcW w:w="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2"/>
              </w:rPr>
              <w:t>Total NY Metro/New</w:t>
            </w:r>
            <w:r>
              <w:rPr>
                <w:rFonts w:ascii="Times New Roman" w:cs="Times New Roman" w:eastAsia="Times New Roman" w:hAnsi="Times New Roman"/>
                <w:sz w:val="25"/>
                <w:szCs w:val="25"/>
                <w:b w:val="1"/>
                <w:bCs w:val="1"/>
                <w:color w:val="auto"/>
                <w:w w:val="72"/>
                <w:vertAlign w:val="subscript"/>
              </w:rPr>
              <w:t>Jersey</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1,301,779</w:t>
            </w:r>
          </w:p>
        </w:tc>
        <w:tc>
          <w:tcPr>
            <w:tcW w:w="1020" w:type="dxa"/>
            <w:vAlign w:val="bottom"/>
          </w:tcPr>
          <w:p>
            <w:pPr>
              <w:spacing w:after="0"/>
              <w:rPr>
                <w:sz w:val="24"/>
                <w:szCs w:val="24"/>
                <w:color w:val="auto"/>
              </w:rPr>
            </w:pPr>
          </w:p>
        </w:tc>
        <w:tc>
          <w:tcPr>
            <w:tcW w:w="4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2,961,000</w:t>
            </w:r>
          </w:p>
        </w:tc>
        <w:tc>
          <w:tcPr>
            <w:tcW w:w="8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24"/>
                <w:szCs w:val="2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$33.76</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320" w:type="dxa"/>
            <w:vAlign w:val="bottom"/>
            <w:shd w:val="clear" w:color="auto" w:fill="CCEEFF"/>
          </w:tcPr>
          <w:p>
            <w:pPr>
              <w:jc w:val="center"/>
              <w:ind w:left="37"/>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1,118,816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9"/>
              </w:rPr>
              <w:t>1,178,000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$35.30</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947</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AMC / Nike /</w:t>
            </w:r>
          </w:p>
        </w:tc>
        <w:tc>
          <w:tcPr>
            <w:tcW w:w="0" w:type="dxa"/>
            <w:vAlign w:val="bottom"/>
          </w:tcPr>
          <w:p>
            <w:pPr>
              <w:spacing w:after="0"/>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Assembly Square</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Campus Plaza</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30,859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$16.83</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Chelsea</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31,280</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4,446</w:t>
            </w: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$12.94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Planet Fitness /</w:t>
            </w:r>
          </w:p>
        </w:tc>
        <w:tc>
          <w:tcPr>
            <w:tcW w:w="0" w:type="dxa"/>
            <w:vAlign w:val="bottom"/>
          </w:tcPr>
          <w:p>
            <w:pPr>
              <w:spacing w:after="0"/>
              <w:rPr>
                <w:sz w:val="1"/>
                <w:szCs w:val="1"/>
                <w:color w:val="auto"/>
              </w:rPr>
            </w:pPr>
          </w:p>
        </w:tc>
      </w:tr>
      <w:tr>
        <w:trPr>
          <w:trHeight w:val="16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1"/>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Dedham Plaza</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49,376</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$18.14</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80,000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Star Market</w:t>
            </w:r>
          </w:p>
        </w:tc>
        <w:tc>
          <w:tcPr>
            <w:tcW w:w="17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Linden Square</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157,732</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$50.56</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7</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Roche Bros.</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 Dartmouth</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Providence-Warwick,</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9,369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$17.22</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48,000</w:t>
            </w:r>
          </w:p>
        </w:tc>
        <w:tc>
          <w:tcPr>
            <w:tcW w:w="8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RI-MA</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Queen Anne</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19,318</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4"/>
              </w:rPr>
              <w:t>$20.42</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Big Y Foods</w:t>
            </w:r>
          </w:p>
        </w:tc>
        <w:tc>
          <w:tcPr>
            <w:tcW w:w="17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89"/>
        </w:trPr>
        <w:tc>
          <w:tcPr>
            <w:tcW w:w="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Newton, MA-NH</w:t>
            </w:r>
          </w:p>
        </w:tc>
        <w:tc>
          <w:tcPr>
            <w:tcW w:w="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1,416,750</w:t>
            </w:r>
          </w:p>
        </w:tc>
        <w:tc>
          <w:tcPr>
            <w:tcW w:w="1020" w:type="dxa"/>
            <w:vAlign w:val="bottom"/>
          </w:tcPr>
          <w:p>
            <w:pPr>
              <w:spacing w:after="0"/>
              <w:rPr>
                <w:sz w:val="14"/>
                <w:szCs w:val="14"/>
                <w:color w:val="auto"/>
              </w:rPr>
            </w:pPr>
          </w:p>
        </w:tc>
        <w:tc>
          <w:tcPr>
            <w:tcW w:w="4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2,184,000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4"/>
              </w:rPr>
              <w:t>$30.44</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8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0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Occupied(3)</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33,406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$14.82</w:t>
            </w:r>
          </w:p>
        </w:tc>
        <w:tc>
          <w:tcPr>
            <w:tcW w:w="660" w:type="dxa"/>
            <w:vAlign w:val="bottom"/>
            <w:shd w:val="clear" w:color="auto" w:fill="CCEEFF"/>
          </w:tcPr>
          <w:p>
            <w:pPr>
              <w:spacing w:after="0"/>
              <w:rPr>
                <w:sz w:val="10"/>
                <w:szCs w:val="10"/>
                <w:color w:val="auto"/>
              </w:rPr>
            </w:pPr>
          </w:p>
        </w:tc>
        <w:tc>
          <w:tcPr>
            <w:tcW w:w="3080" w:type="dxa"/>
            <w:vAlign w:val="bottom"/>
            <w:gridSpan w:val="3"/>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24,000   Acme Markets TJ Maxx / Kohl's / L.A. Fitness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Five 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72,789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$37.51</w:t>
            </w:r>
          </w:p>
        </w:tc>
        <w:tc>
          <w:tcPr>
            <w:tcW w:w="66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25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 Michaels / L.A.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37,359</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$18.20</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Buy Buy Baby / RH Outlet</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18,306</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$22.58</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24,738</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$18.68</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Square</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61,769</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$23.57</w:t>
            </w:r>
          </w:p>
        </w:tc>
        <w:tc>
          <w:tcPr>
            <w:tcW w:w="660" w:type="dxa"/>
            <w:vAlign w:val="bottom"/>
          </w:tcPr>
          <w:p>
            <w:pPr>
              <w:spacing w:after="0"/>
              <w:rPr>
                <w:sz w:val="10"/>
                <w:szCs w:val="10"/>
                <w:color w:val="auto"/>
              </w:rPr>
            </w:pPr>
          </w:p>
        </w:tc>
        <w:tc>
          <w:tcPr>
            <w:tcW w:w="308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3"/>
                <w:szCs w:val="13"/>
                <w:color w:val="auto"/>
              </w:rPr>
              <w:t>53,000   Acme Markets TJ Maxx / HomeGoods / Barnes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&amp; 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35,259</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214,000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$21.57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Ulta / Skechers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Crunch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Town Center of</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17,786</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$10.08</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36,000</w:t>
            </w:r>
          </w:p>
        </w:tc>
        <w:tc>
          <w:tcPr>
            <w:tcW w:w="8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Rite Aid / Dollar Tree</w:t>
            </w: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New Britain</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37,181</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$22.37</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Philadelphia-Camden-</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43,817</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$29.27</w:t>
            </w:r>
          </w:p>
        </w:tc>
        <w:tc>
          <w:tcPr>
            <w:tcW w:w="660" w:type="dxa"/>
            <w:vAlign w:val="bottom"/>
          </w:tcPr>
          <w:p>
            <w:pPr>
              <w:jc w:val="right"/>
              <w:ind w:right="257"/>
              <w:spacing w:after="0" w:line="122" w:lineRule="exact"/>
              <w:rPr>
                <w:sz w:val="20"/>
                <w:szCs w:val="20"/>
                <w:color w:val="auto"/>
              </w:rPr>
            </w:pPr>
            <w:r>
              <w:rPr>
                <w:rFonts w:ascii="Times New Roman" w:cs="Times New Roman" w:eastAsia="Times New Roman" w:hAnsi="Times New Roman"/>
                <w:sz w:val="13"/>
                <w:szCs w:val="13"/>
                <w:color w:val="auto"/>
              </w:rPr>
              <w:t>9</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8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Wilmington, PA-NJ-</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3"/>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40" w:type="dxa"/>
            <w:vAlign w:val="bottom"/>
            <w:gridSpan w:val="6"/>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w w:val="94"/>
              </w:rPr>
              <w:t>Total Philadelphia Metropolitan Area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382,410</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rPr>
              <w:t>2,130,000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$22.06</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6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3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200,886</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$45.17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Cinepolis Theaters / Youfit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(11)</w:t>
            </w: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Lauderdale-West Palm</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Health Club / Multiple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75,197</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$23.44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44,000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Lauderdale-West Palm</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Shops at</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180,958</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391,000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$30.66</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DSW / Old Navy / Nike Factory</w:t>
            </w: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Pembroke</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Lauderdale-West Palm</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 Barnes &amp; Noble</w:t>
            </w:r>
          </w:p>
        </w:tc>
        <w:tc>
          <w:tcPr>
            <w:tcW w:w="0" w:type="dxa"/>
            <w:vAlign w:val="bottom"/>
          </w:tcPr>
          <w:p>
            <w:pPr>
              <w:spacing w:after="0"/>
              <w:rPr>
                <w:sz w:val="1"/>
                <w:szCs w:val="1"/>
                <w:color w:val="auto"/>
              </w:rPr>
            </w:pPr>
          </w:p>
        </w:tc>
      </w:tr>
      <w:tr>
        <w:trPr>
          <w:trHeight w:val="164"/>
        </w:trPr>
        <w:tc>
          <w:tcPr>
            <w:tcW w:w="9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Gardens</w:t>
            </w: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Miami-Fort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102,425</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430,000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$27.06</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TJ Maxx / Ross Dress For Less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Lauderdale-West Palm</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Best Buy / Ulta</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Beach, FL</w:t>
            </w:r>
          </w:p>
        </w:tc>
        <w:tc>
          <w:tcPr>
            <w:tcW w:w="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559,466</w:t>
            </w:r>
          </w:p>
        </w:tc>
        <w:tc>
          <w:tcPr>
            <w:tcW w:w="1020" w:type="dxa"/>
            <w:vAlign w:val="bottom"/>
          </w:tcPr>
          <w:p>
            <w:pPr>
              <w:spacing w:after="0"/>
              <w:rPr>
                <w:sz w:val="14"/>
                <w:szCs w:val="14"/>
                <w:color w:val="auto"/>
              </w:rPr>
            </w:pPr>
          </w:p>
        </w:tc>
        <w:tc>
          <w:tcPr>
            <w:tcW w:w="4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9"/>
              </w:rPr>
              <w:t>1,281,000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$31.51</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Baltimore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33,644</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$20.44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16,500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Dick's Sporting Goods / Ross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Dress for Less / Petco</w:t>
            </w:r>
          </w:p>
        </w:tc>
        <w:tc>
          <w:tcPr>
            <w:tcW w:w="0" w:type="dxa"/>
            <w:vAlign w:val="bottom"/>
          </w:tcPr>
          <w:p>
            <w:pPr>
              <w:spacing w:after="0"/>
              <w:rPr>
                <w:sz w:val="1"/>
                <w:szCs w:val="1"/>
                <w:color w:val="auto"/>
              </w:rPr>
            </w:pPr>
          </w:p>
        </w:tc>
      </w:tr>
      <w:tr>
        <w:trPr>
          <w:trHeight w:val="121"/>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35,444</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$19.04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8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w:t>
            </w:r>
          </w:p>
        </w:tc>
        <w:tc>
          <w:tcPr>
            <w:tcW w:w="17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Home Depot / Micro Center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Warehouse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THE AVENUE at</w:t>
            </w:r>
          </w:p>
        </w:tc>
        <w:tc>
          <w:tcPr>
            <w:tcW w:w="3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w:t>
            </w: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127,186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$27.59</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19,498</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$51.91</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Nottingham</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Square</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27,004</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$23.62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54,000</w:t>
            </w:r>
          </w:p>
        </w:tc>
        <w:tc>
          <w:tcPr>
            <w:tcW w:w="8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White Marsh</w:t>
            </w:r>
          </w:p>
        </w:tc>
        <w:tc>
          <w:tcPr>
            <w:tcW w:w="320" w:type="dxa"/>
            <w:vAlign w:val="bottom"/>
          </w:tcPr>
          <w:p>
            <w:pPr>
              <w:spacing w:after="0"/>
              <w:rPr>
                <w:sz w:val="10"/>
                <w:szCs w:val="10"/>
                <w:color w:val="auto"/>
              </w:rPr>
            </w:pPr>
          </w:p>
        </w:tc>
        <w:tc>
          <w:tcPr>
            <w:tcW w:w="1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27,915</w:t>
            </w:r>
          </w:p>
        </w:tc>
        <w:tc>
          <w:tcPr>
            <w:tcW w:w="1020" w:type="dxa"/>
            <w:vAlign w:val="bottom"/>
          </w:tcPr>
          <w:p>
            <w:pPr>
              <w:spacing w:after="0"/>
              <w:rPr>
                <w:sz w:val="10"/>
                <w:szCs w:val="10"/>
                <w:color w:val="auto"/>
              </w:rPr>
            </w:pPr>
          </w:p>
        </w:tc>
        <w:tc>
          <w:tcPr>
            <w:tcW w:w="4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$33.44</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Towson, 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270,691</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9"/>
              </w:rPr>
              <w:t>1,125,000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$24.07</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98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36,203</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$23.48</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Elgin, IL-IN-WI</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7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Ferguson's Bath, Kitchen &amp;</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Lighting Gallery</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40" w:top="1028"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Rent</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7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Occupied(3)</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PSF (4)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40" w:type="dxa"/>
            <w:vAlign w:val="bottom"/>
          </w:tcPr>
          <w:p>
            <w:pPr>
              <w:spacing w:after="0"/>
              <w:rPr>
                <w:sz w:val="12"/>
                <w:szCs w:val="12"/>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4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Finley Square</w:t>
            </w:r>
          </w:p>
        </w:tc>
        <w:tc>
          <w:tcPr>
            <w:tcW w:w="15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Chicago-Naperville-</w:t>
            </w:r>
          </w:p>
        </w:tc>
        <w:tc>
          <w:tcPr>
            <w:tcW w:w="740" w:type="dxa"/>
            <w:vAlign w:val="bottom"/>
          </w:tcPr>
          <w:p>
            <w:pPr>
              <w:jc w:val="right"/>
              <w:ind w:right="18"/>
              <w:spacing w:after="0" w:line="144" w:lineRule="exact"/>
              <w:rPr>
                <w:sz w:val="20"/>
                <w:szCs w:val="20"/>
                <w:color w:val="auto"/>
              </w:rPr>
            </w:pPr>
            <w:r>
              <w:rPr>
                <w:rFonts w:ascii="Times New Roman" w:cs="Times New Roman" w:eastAsia="Times New Roman" w:hAnsi="Times New Roman"/>
                <w:sz w:val="13"/>
                <w:szCs w:val="13"/>
                <w:color w:val="auto"/>
              </w:rPr>
              <w:t>42,326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281,000</w:t>
            </w:r>
          </w:p>
        </w:tc>
        <w:tc>
          <w:tcPr>
            <w:tcW w:w="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1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0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$17.13</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Bed, Bath &amp; Beyond / Buy Buy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Elgin, IL-IN-WI</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Baby / Michaels / Portillo's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158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Chicago-Naperville-</w:t>
            </w:r>
          </w:p>
        </w:tc>
        <w:tc>
          <w:tcPr>
            <w:tcW w:w="74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15,365</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$13.92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63,000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w:t>
            </w:r>
          </w:p>
        </w:tc>
        <w:tc>
          <w:tcPr>
            <w:tcW w:w="16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Elgin, IL-IN-WI</w:t>
            </w: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Fresh Market</w:t>
            </w:r>
          </w:p>
        </w:tc>
        <w:tc>
          <w:tcPr>
            <w:tcW w:w="1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Riverpoint</w:t>
            </w:r>
          </w:p>
        </w:tc>
        <w:tc>
          <w:tcPr>
            <w:tcW w:w="158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Chicago-Naperville-</w:t>
            </w:r>
          </w:p>
        </w:tc>
        <w:tc>
          <w:tcPr>
            <w:tcW w:w="7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122,167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$21.21</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86,000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Jewel Osco</w:t>
            </w:r>
          </w:p>
        </w:tc>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64"/>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Elgin, IL-IN-WI</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Chicago</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216,061</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$18.94</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54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158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73,320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497,000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$27.77</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Anthropologie / Bed, Bath &amp;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Kroger</w:t>
            </w:r>
          </w:p>
        </w:tc>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Beyond / Old Navy / Ulta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Bristol Plaza</w:t>
            </w:r>
          </w:p>
        </w:tc>
        <w:tc>
          <w:tcPr>
            <w:tcW w:w="158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Hartford-West</w:t>
            </w:r>
          </w:p>
        </w:tc>
        <w:tc>
          <w:tcPr>
            <w:tcW w:w="74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36,302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$14.24</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74,000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Stop &amp; Shop</w:t>
            </w:r>
          </w:p>
        </w:tc>
        <w:tc>
          <w:tcPr>
            <w:tcW w:w="16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58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w w:val="99"/>
              </w:rPr>
              <w:t>Hartford-East Hartford,</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CT</w:t>
            </w: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15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(5)  Phoenix-Mesa-</w:t>
            </w:r>
          </w:p>
        </w:tc>
        <w:tc>
          <w:tcPr>
            <w:tcW w:w="7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180,038</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$18.14</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82,000</w:t>
            </w: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w:t>
            </w:r>
          </w:p>
        </w:tc>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&amp; Décor / Marshalls /</w:t>
            </w:r>
          </w:p>
        </w:tc>
        <w:tc>
          <w:tcPr>
            <w:tcW w:w="0" w:type="dxa"/>
            <w:vAlign w:val="bottom"/>
          </w:tcPr>
          <w:p>
            <w:pPr>
              <w:spacing w:after="0"/>
              <w:rPr>
                <w:sz w:val="1"/>
                <w:szCs w:val="1"/>
                <w:color w:val="auto"/>
              </w:rPr>
            </w:pPr>
          </w:p>
        </w:tc>
      </w:tr>
      <w:tr>
        <w:trPr>
          <w:trHeight w:val="121"/>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Colonnade</w:t>
            </w:r>
          </w:p>
        </w:tc>
        <w:tc>
          <w:tcPr>
            <w:tcW w:w="1580" w:type="dxa"/>
            <w:vAlign w:val="bottom"/>
          </w:tcPr>
          <w:p>
            <w:pPr>
              <w:ind w:left="340"/>
              <w:spacing w:after="0" w:line="122" w:lineRule="exact"/>
              <w:rPr>
                <w:sz w:val="20"/>
                <w:szCs w:val="20"/>
                <w:color w:val="auto"/>
              </w:rPr>
            </w:pPr>
            <w:r>
              <w:rPr>
                <w:rFonts w:ascii="Times New Roman" w:cs="Times New Roman" w:eastAsia="Times New Roman" w:hAnsi="Times New Roman"/>
                <w:sz w:val="13"/>
                <w:szCs w:val="13"/>
                <w:color w:val="auto"/>
              </w:rPr>
              <w:t>Chandler, AZ</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Drug</w:t>
            </w:r>
          </w:p>
        </w:tc>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Nordstrom Last Chance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94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158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3"/>
                <w:szCs w:val="13"/>
                <w:color w:val="auto"/>
              </w:rPr>
              <w:t>Detroit-Warren-</w:t>
            </w:r>
          </w:p>
        </w:tc>
        <w:tc>
          <w:tcPr>
            <w:tcW w:w="740" w:type="dxa"/>
            <w:vAlign w:val="bottom"/>
            <w:shd w:val="clear" w:color="auto" w:fill="CCEEFF"/>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20,706</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215,000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3"/>
                <w:szCs w:val="13"/>
                <w:color w:val="auto"/>
              </w:rPr>
              <w:t>$12.82</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69,000</w:t>
            </w:r>
          </w:p>
        </w:tc>
        <w:tc>
          <w:tcPr>
            <w:tcW w:w="7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16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Bed, Bath &amp; Beyond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Dearborn, MI</w:t>
            </w: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Buy / DSW</w:t>
            </w:r>
          </w:p>
        </w:tc>
        <w:tc>
          <w:tcPr>
            <w:tcW w:w="0" w:type="dxa"/>
            <w:vAlign w:val="bottom"/>
          </w:tcPr>
          <w:p>
            <w:pPr>
              <w:spacing w:after="0"/>
              <w:rPr>
                <w:sz w:val="1"/>
                <w:szCs w:val="1"/>
                <w:color w:val="auto"/>
              </w:rPr>
            </w:pPr>
          </w:p>
        </w:tc>
      </w:tr>
      <w:tr>
        <w:trPr>
          <w:trHeight w:val="122"/>
        </w:trPr>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Hilton Village</w:t>
            </w:r>
          </w:p>
        </w:tc>
        <w:tc>
          <w:tcPr>
            <w:tcW w:w="15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(5)  Phoenix-Mesa-</w:t>
            </w:r>
          </w:p>
        </w:tc>
        <w:tc>
          <w:tcPr>
            <w:tcW w:w="7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85,649</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305,000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$33.87</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Chandler, AZ</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(8)  Lancaster, PA</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13,631</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$19.01</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70"/>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15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40,701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$20.35</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32,000</w:t>
            </w: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Lidl</w:t>
            </w:r>
          </w:p>
        </w:tc>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7"/>
        </w:trPr>
        <w:tc>
          <w:tcPr>
            <w:tcW w:w="94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Willow Lawn</w:t>
            </w:r>
          </w:p>
        </w:tc>
        <w:tc>
          <w:tcPr>
            <w:tcW w:w="158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3"/>
                <w:szCs w:val="13"/>
                <w:color w:val="auto"/>
              </w:rPr>
              <w:t>Richmond, VA</w:t>
            </w:r>
          </w:p>
        </w:tc>
        <w:tc>
          <w:tcPr>
            <w:tcW w:w="740" w:type="dxa"/>
            <w:vAlign w:val="bottom"/>
            <w:shd w:val="clear" w:color="auto" w:fill="CCEEFF"/>
          </w:tcPr>
          <w:p>
            <w:pPr>
              <w:jc w:val="right"/>
              <w:ind w:right="18"/>
              <w:spacing w:after="0" w:line="128" w:lineRule="exact"/>
              <w:rPr>
                <w:sz w:val="20"/>
                <w:szCs w:val="20"/>
                <w:color w:val="auto"/>
              </w:rPr>
            </w:pPr>
            <w:r>
              <w:rPr>
                <w:rFonts w:ascii="Times New Roman" w:cs="Times New Roman" w:eastAsia="Times New Roman" w:hAnsi="Times New Roman"/>
                <w:sz w:val="13"/>
                <w:szCs w:val="13"/>
                <w:color w:val="auto"/>
              </w:rPr>
              <w:t>106,021</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$21.85</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66,000</w:t>
            </w:r>
          </w:p>
        </w:tc>
        <w:tc>
          <w:tcPr>
            <w:tcW w:w="78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Kroger</w:t>
            </w:r>
          </w:p>
        </w:tc>
        <w:tc>
          <w:tcPr>
            <w:tcW w:w="16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Old Navy / Ross Dress For</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Less / Gold's Gym / Dick's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Sporting 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556,368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2,681,000</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$21.67</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15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gridSpan w:val="2"/>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gridSpan w:val="2"/>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16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1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$ 10,306,219</w:t>
            </w: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389,977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2,054</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25,877,000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93 %</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$30.36</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3,039</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580" w:right="8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4" w:lineRule="exact"/>
        <w:rPr>
          <w:rFonts w:ascii="Times New Roman" w:cs="Times New Roman" w:eastAsia="Times New Roman" w:hAnsi="Times New Roman"/>
          <w:sz w:val="14"/>
          <w:szCs w:val="14"/>
          <w:color w:val="auto"/>
        </w:rPr>
      </w:pPr>
    </w:p>
    <w:p>
      <w:pPr>
        <w:ind w:left="580" w:right="32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right="6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Calculated as the aggregate, annualized in-place contractual (defined as cash basis excluding rent abatements) minimum rents for all occupied spaces divided by the aggregate GLA of all occupied spaces.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right="36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580" w:right="120" w:hanging="561"/>
        <w:spacing w:after="0" w:line="239" w:lineRule="auto"/>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Amounts represent 100% of the property - we own a 77.7% TIC interest. Real estate at cost represents the fair value of the property at the time of the TIC arrangement, plus subsequent real estate related additions. See page 20 for additional information.</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interests in four buildings in addition to our initial acquisition.</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40" w:top="1028"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Rent (3) Per</w:t>
            </w: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1,624,898</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12,991,578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562,859</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540,007</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14,564,905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562,111</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20,791,119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444,398</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1,092,294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14,464,187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4,142,868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62,811,789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934,794</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10,896,153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215,351</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21,602</w:t>
            </w:r>
          </w:p>
        </w:tc>
        <w:tc>
          <w:tcPr>
            <w:tcW w:w="12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13,415,915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218,493</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518,577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176,322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13,866,932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2,421,499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56,837,319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690,104</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347,508</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518,405</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1,148,990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343,618</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367,092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2,132,800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268,076</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145,768</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1,721,369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Contractual Rent</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960" w:type="dxa"/>
            <w:vAlign w:val="bottom"/>
            <w:gridSpan w:val="3"/>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6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2022</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425,159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43.76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13,601,431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584,949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16,825,343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577,338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20,922,719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460,062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18,669,766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2,047,508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70,019,259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620" w:right="100" w:hanging="567"/>
        <w:spacing w:after="0" w:line="251" w:lineRule="auto"/>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and Escondido Promenade; office and residential spaces are not included. Contractual option exercises are not included. See Glossary of Terms for further discussion of information included above.</w:t>
      </w: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620" w:right="80" w:hanging="567"/>
        <w:spacing w:after="0" w:line="231" w:lineRule="auto"/>
        <w:tabs>
          <w:tab w:leader="none" w:pos="6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28" w:right="339" w:bottom="1440" w:gutter="0" w:footer="0" w:header="0"/>
        </w:sectPr>
      </w:pPr>
    </w:p>
    <w:bookmarkStart w:id="28" w:name="page29"/>
    <w:bookmarkEnd w:id="28"/>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794,000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3,288,000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3,392,000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2,221,000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13 %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2,987,000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2,549,000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487,000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1,707,000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985,000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1,042,000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2,081,000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288,000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2,090,000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16,095,000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7,847,000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23,942,000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1,251,000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1,538,000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1,125,000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1,264,000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735,000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825,000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66 %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2,602,000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33 %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13,267,000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16,095,000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7,847,000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23,942,000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180" w:hanging="781"/>
        <w:spacing w:after="0" w:line="245" w:lineRule="auto"/>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December 31, 2022.</w:t>
      </w:r>
    </w:p>
    <w:p>
      <w:pPr>
        <w:spacing w:after="0" w:line="2" w:lineRule="exact"/>
        <w:rPr>
          <w:rFonts w:ascii="Times New Roman" w:cs="Times New Roman" w:eastAsia="Times New Roman" w:hAnsi="Times New Roman"/>
          <w:sz w:val="16"/>
          <w:szCs w:val="16"/>
          <w:color w:val="auto"/>
        </w:rPr>
      </w:pPr>
    </w:p>
    <w:p>
      <w:pPr>
        <w:ind w:left="781" w:right="240" w:hanging="781"/>
        <w:spacing w:after="0" w:line="245" w:lineRule="auto"/>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December 31, 2022 and includes our 77.7% pro-rata share of Escondido Promenade.</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1"/>
          </w:cols>
          <w:pgMar w:left="359" w:top="1022" w:right="35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Overall Portfolio Statistics (1)</w:t>
            </w:r>
          </w:p>
        </w:tc>
        <w:tc>
          <w:tcPr>
            <w:tcW w:w="840" w:type="dxa"/>
            <w:vAlign w:val="bottom"/>
          </w:tcPr>
          <w:p>
            <w:pPr>
              <w:spacing w:after="0"/>
              <w:rPr>
                <w:sz w:val="16"/>
                <w:szCs w:val="16"/>
                <w:color w:val="auto"/>
              </w:rPr>
            </w:pPr>
          </w:p>
        </w:tc>
        <w:tc>
          <w:tcPr>
            <w:tcW w:w="1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26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(4) (5) (SF)</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94.5 %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25,102,000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23,494,000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93.6 %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(units) (6)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96.1 %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91.1 %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Comparable Property Statistics (1)</w:t>
            </w:r>
          </w:p>
        </w:tc>
        <w:tc>
          <w:tcPr>
            <w:tcW w:w="840" w:type="dxa"/>
            <w:vAlign w:val="bottom"/>
          </w:tcPr>
          <w:p>
            <w:pPr>
              <w:spacing w:after="0"/>
              <w:rPr>
                <w:sz w:val="24"/>
                <w:szCs w:val="24"/>
                <w:color w:val="auto"/>
              </w:rPr>
            </w:pPr>
          </w:p>
        </w:tc>
        <w:tc>
          <w:tcPr>
            <w:tcW w:w="1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26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(3) (4) (SF)</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23,727,000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22,368,000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94.3 %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23,571,000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93.9 %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96.3 %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96.9 %</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02" w:lineRule="exact"/>
        <w:rPr>
          <w:sz w:val="20"/>
          <w:szCs w:val="20"/>
          <w:color w:val="auto"/>
        </w:rPr>
      </w:pPr>
    </w:p>
    <w:p>
      <w:pPr>
        <w:ind w:left="600" w:hanging="574"/>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commercial properties at December 31, 2022 includes our 77.7% pro-rata share of Escondido Promenade.</w:t>
      </w:r>
    </w:p>
    <w:p>
      <w:pPr>
        <w:spacing w:after="0" w:line="32" w:lineRule="exact"/>
        <w:rPr>
          <w:rFonts w:ascii="Times New Roman" w:cs="Times New Roman" w:eastAsia="Times New Roman" w:hAnsi="Times New Roman"/>
          <w:sz w:val="16"/>
          <w:szCs w:val="16"/>
          <w:color w:val="auto"/>
        </w:rPr>
      </w:pPr>
    </w:p>
    <w:p>
      <w:pPr>
        <w:ind w:left="600" w:right="100" w:hanging="574"/>
        <w:spacing w:after="0" w:line="245" w:lineRule="auto"/>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92.8% and 91.1% at December 31, 2022 and 2021, respectively, and comparable property occupied percentage was 92.5% and 91.4% at December 31, 2022 and 2021, respectively.</w:t>
      </w:r>
    </w:p>
    <w:p>
      <w:pPr>
        <w:spacing w:after="0" w:line="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2022, leased percentage was 96.9% for anchor tenants and 90.0% for small shop tenants.</w:t>
      </w:r>
    </w:p>
    <w:p>
      <w:pPr>
        <w:spacing w:after="0" w:line="32" w:lineRule="exact"/>
        <w:rPr>
          <w:rFonts w:ascii="Times New Roman" w:cs="Times New Roman" w:eastAsia="Times New Roman" w:hAnsi="Times New Roman"/>
          <w:sz w:val="16"/>
          <w:szCs w:val="16"/>
          <w:color w:val="auto"/>
        </w:rPr>
      </w:pPr>
    </w:p>
    <w:p>
      <w:pPr>
        <w:ind w:left="600" w:hanging="574"/>
        <w:spacing w:after="0" w:line="232" w:lineRule="auto"/>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residential metrics exclude our new residential building at Darien Commons that opened in 4Q22, and is currently in the process of being leased-up for the first time. If these units were included, our total residential units would be 3,039 and our percentage leased would be 95.7%. At December 31, 2022, this building was 73.7% leased.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Top 25 Tenants (1)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100" w:type="dxa"/>
            <w:vAlign w:val="bottom"/>
            <w:vMerge w:val="restart"/>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2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4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18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(S&amp;P/Moody's/Fitch) (2)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w:t>
            </w:r>
          </w:p>
        </w:tc>
        <w:tc>
          <w:tcPr>
            <w:tcW w:w="9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GLA (4)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TJX Companies, The</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w w:val="99"/>
              </w:rPr>
              <w:t>A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Ahold Delhaize</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2.85 %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NetApp,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14,339,000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Splunk,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12,271,000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Gap, Inc., The</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CVS Corporation</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10,942,000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 / B3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78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2100" w:type="dxa"/>
            <w:vAlign w:val="bottom"/>
          </w:tcPr>
          <w:p>
            <w:pPr>
              <w:jc w:val="center"/>
              <w:ind w:left="160"/>
              <w:spacing w:after="0" w:line="162" w:lineRule="exact"/>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7,716,000</w:t>
            </w:r>
          </w:p>
        </w:tc>
        <w:tc>
          <w:tcPr>
            <w:tcW w:w="1640" w:type="dxa"/>
            <w:vAlign w:val="bottom"/>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0.93 %</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568,000</w:t>
            </w:r>
          </w:p>
        </w:tc>
        <w:tc>
          <w:tcPr>
            <w:tcW w:w="1180" w:type="dxa"/>
            <w:vAlign w:val="bottom"/>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1.98 %</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Balducci's Safeway)</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Ross Stores,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BBB+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7,453,000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Depot,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1.67 %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Kroger Co., The</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Michaels Stores,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B- / B2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Bank of America, N.A.</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A- / A2 / AA-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Bed, Bath &amp; Beyond,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SD / Ca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0.83 %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PUMA North America,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Target Corporation</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2.19 %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Dick's Sporting Goods,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BBB / Baa3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Ulta Beauty,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0.59 %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DSW,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AMC Entertainment Inc.</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CC / Caa2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0.81 %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Hudson's Bay Company (Saks)</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Wells Fargo Bank, N.A.</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w w:val="99"/>
              </w:rPr>
              <w:t>BBB+ / A1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0.62 %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Whole Foods Market,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AA- / 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Starbucks Corporation</w:t>
            </w:r>
          </w:p>
        </w:tc>
        <w:tc>
          <w:tcPr>
            <w:tcW w:w="2100" w:type="dxa"/>
            <w:vAlign w:val="bottom"/>
          </w:tcPr>
          <w:p>
            <w:pPr>
              <w:jc w:val="center"/>
              <w:ind w:left="16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0.59 %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Best Buy Co., Inc.</w:t>
            </w:r>
          </w:p>
        </w:tc>
        <w:tc>
          <w:tcPr>
            <w:tcW w:w="2100" w:type="dxa"/>
            <w:vAlign w:val="bottom"/>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BBB+ / A3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0.59 %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0.66 %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Totals - Top 25 Tenants</w:t>
            </w:r>
          </w:p>
        </w:tc>
        <w:tc>
          <w:tcPr>
            <w:tcW w:w="2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209,513,000</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25.37 %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8,712,000</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30.42 %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(6):</w:t>
            </w:r>
          </w:p>
        </w:tc>
        <w:tc>
          <w:tcPr>
            <w:tcW w:w="2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825,906,000</w:t>
            </w:r>
          </w:p>
        </w:tc>
        <w:tc>
          <w:tcPr>
            <w:tcW w:w="1640" w:type="dxa"/>
            <w:vAlign w:val="bottom"/>
          </w:tcPr>
          <w:p>
            <w:pPr>
              <w:jc w:val="right"/>
              <w:ind w:right="1340"/>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28,639,000</w:t>
            </w:r>
          </w:p>
        </w:tc>
        <w:tc>
          <w:tcPr>
            <w:tcW w:w="118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leased locations is based on the gross number of locations. All other top tenant data is reported including our 77.7% share of Escondido Promenade.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December 31, 2022.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40" w:top="1022" w:right="35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the range of estimated earnings per diluted share to estimated FFO per diluted share for the full year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do not include the impact from potential acquisitions or dispositions which have not closed as of January 31, 2023.</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960" w:type="dxa"/>
            <w:vAlign w:val="bottom"/>
            <w:tcBorders>
              <w:top w:val="single" w:sz="8" w:color="auto"/>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Full Year 2023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72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gain on sale of real estate, net</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7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7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6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65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 (1):</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1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 - 4%</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Comparable properties growth excluding prior period rents and term fees</w:t>
            </w:r>
          </w:p>
        </w:tc>
        <w:tc>
          <w:tcPr>
            <w:tcW w:w="1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- 5%</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redevelopment/expansion POI (2)</w:t>
            </w:r>
          </w:p>
        </w:tc>
        <w:tc>
          <w:tcPr>
            <w:tcW w:w="26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$15 - $18 million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$52 - $56 million (annual)</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Dispositions POI</w:t>
            </w:r>
          </w:p>
        </w:tc>
        <w:tc>
          <w:tcPr>
            <w:tcW w:w="26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 million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32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$175 - $200 million (annual)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be issued</w:t>
            </w:r>
          </w:p>
        </w:tc>
        <w:tc>
          <w:tcPr>
            <w:tcW w:w="32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$175 - $225 million (annual)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6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$20 - $22 million (annual)</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any material changes of tenants moving to or from a cash basis of accounting.</w:t>
      </w:r>
    </w:p>
    <w:p>
      <w:pPr>
        <w:spacing w:after="0" w:line="9" w:lineRule="exact"/>
        <w:rPr>
          <w:rFonts w:ascii="Times New Roman" w:cs="Times New Roman" w:eastAsia="Times New Roman" w:hAnsi="Times New Roman"/>
          <w:sz w:val="18"/>
          <w:szCs w:val="18"/>
          <w:color w:val="auto"/>
        </w:rPr>
      </w:pPr>
    </w:p>
    <w:p>
      <w:pPr>
        <w:ind w:left="340" w:right="300" w:hanging="332"/>
        <w:spacing w:after="0" w:line="26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expected additional POI to be recognized in 2023 compared to the amount recognized in 2022 from all of the redevelopments listed on pages 16 and 17. Does not include any additional POI from "Active Property Improvement Projects."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2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2022 and 2021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420" w:type="dxa"/>
            <w:vAlign w:val="bottom"/>
            <w:gridSpan w:val="3"/>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6"/>
                <w:szCs w:val="16"/>
                <w:color w:val="auto"/>
              </w:rPr>
            </w:pPr>
          </w:p>
        </w:tc>
      </w:tr>
      <w:tr>
        <w:trPr>
          <w:trHeight w:val="203"/>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269,081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127,698</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279,976</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deconsolidation of VIE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(89,950)</w:t>
            </w: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3,678</w:t>
            </w:r>
          </w:p>
        </w:tc>
      </w:tr>
      <w:tr>
        <w:trPr>
          <w:trHeight w:val="235"/>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174,251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155,135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677,320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589,792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8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the for the consolidated property portfolio except where noted.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2023-02-08T15:19:48Z</dcterms:created>
  <dcterms:modified xsi:type="dcterms:W3CDTF">2023-02-08T15:19:48Z</dcterms:modified>
</cp:coreProperties>
</file>