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6"/>
        </w:rPr>
      </w:pPr>
      <w:r>
        <w:rPr>
          <w:rFonts w:ascii="Times New Roman;serif" w:hAnsi="Times New Roman;serif"/>
          <w:b/>
          <w:color w:val="000000"/>
          <w:sz w:val="26"/>
        </w:rPr>
        <w:t xml:space="preserve">CURRENT REPORT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Securities Exchange Act of 1934 </w:t>
      </w:r>
    </w:p>
    <w:p>
      <w:pPr>
        <w:pStyle w:val="TextBody"/>
        <w:bidi w:val="0"/>
        <w:spacing w:lineRule="auto" w:line="288" w:before="180" w:after="283"/>
        <w:jc w:val="center"/>
        <w:rPr/>
      </w:pPr>
      <w:r>
        <w:rPr>
          <w:rFonts w:ascii="Times New Roman;serif" w:hAnsi="Times New Roman;serif"/>
          <w:b/>
          <w:color w:val="000000"/>
          <w:sz w:val="22"/>
        </w:rPr>
        <w:t>Date of Report (Date of earliest event reported) July 31, 2026</w:t>
      </w:r>
      <w:r>
        <w:rPr>
          <w:color w:val="000000"/>
        </w:rPr>
        <w:t xml:space="preserve">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Federal Realty Investment Trust</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Federal Realty OP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7162" w:type="dxa"/>
        <w:jc w:val="center"/>
        <w:tblInd w:w="0" w:type="dxa"/>
        <w:tblLayout w:type="fixed"/>
        <w:tblCellMar>
          <w:top w:w="28" w:type="dxa"/>
          <w:left w:w="28" w:type="dxa"/>
          <w:bottom w:w="28" w:type="dxa"/>
          <w:right w:w="28" w:type="dxa"/>
        </w:tblCellMar>
      </w:tblPr>
      <w:tblGrid>
        <w:gridCol w:w="1408"/>
        <w:gridCol w:w="1234"/>
        <w:gridCol w:w="1242"/>
        <w:gridCol w:w="109"/>
        <w:gridCol w:w="109"/>
        <w:gridCol w:w="109"/>
        <w:gridCol w:w="458"/>
        <w:gridCol w:w="458"/>
        <w:gridCol w:w="464"/>
        <w:gridCol w:w="109"/>
        <w:gridCol w:w="109"/>
        <w:gridCol w:w="109"/>
        <w:gridCol w:w="363"/>
        <w:gridCol w:w="363"/>
        <w:gridCol w:w="518"/>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1-07533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333-262016-01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tbl>
      <w:tblPr>
        <w:tblW w:w="6440" w:type="dxa"/>
        <w:jc w:val="center"/>
        <w:tblInd w:w="0" w:type="dxa"/>
        <w:tblLayout w:type="fixed"/>
        <w:tblCellMar>
          <w:top w:w="28" w:type="dxa"/>
          <w:left w:w="28" w:type="dxa"/>
          <w:bottom w:w="28" w:type="dxa"/>
          <w:right w:w="28" w:type="dxa"/>
        </w:tblCellMar>
      </w:tblPr>
      <w:tblGrid>
        <w:gridCol w:w="124"/>
        <w:gridCol w:w="109"/>
        <w:gridCol w:w="109"/>
        <w:gridCol w:w="739"/>
        <w:gridCol w:w="739"/>
        <w:gridCol w:w="742"/>
        <w:gridCol w:w="454"/>
        <w:gridCol w:w="454"/>
        <w:gridCol w:w="456"/>
        <w:gridCol w:w="290"/>
        <w:gridCol w:w="290"/>
        <w:gridCol w:w="291"/>
        <w:gridCol w:w="109"/>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909 Rose Avenue, Suite 200</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Bethesda,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20852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301/998-8100 </w:t>
      </w:r>
    </w:p>
    <w:p>
      <w:pPr>
        <w:pStyle w:val="TextBody"/>
        <w:bidi w:val="0"/>
        <w:spacing w:lineRule="auto" w:line="288" w:before="9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10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18"/>
        <w:gridCol w:w="1665"/>
        <w:gridCol w:w="1663"/>
        <w:gridCol w:w="448"/>
        <w:gridCol w:w="448"/>
        <w:gridCol w:w="444"/>
        <w:gridCol w:w="1057"/>
        <w:gridCol w:w="1057"/>
        <w:gridCol w:w="1505"/>
      </w:tblGrid>
      <w:tr>
        <w:trPr/>
        <w:tc>
          <w:tcPr>
            <w:tcW w:w="191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Federal Realty Investment Trust</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FRT</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 par value per share, with associated Common Share Purchase Rights</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Depositary Shares, each representing 1/1000 of a 5.00% </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FRT-C</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C Cumulative Redeemable Preferred Stock, $.01 par value per share</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Federal Realty OP LP</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tbl>
      <w:tblPr>
        <w:tblW w:w="10205" w:type="dxa"/>
        <w:jc w:val="center"/>
        <w:tblInd w:w="0" w:type="dxa"/>
        <w:tblLayout w:type="fixed"/>
        <w:tblCellMar>
          <w:top w:w="28" w:type="dxa"/>
          <w:left w:w="28" w:type="dxa"/>
          <w:bottom w:w="28" w:type="dxa"/>
          <w:right w:w="28" w:type="dxa"/>
        </w:tblCellMar>
      </w:tblPr>
      <w:tblGrid>
        <w:gridCol w:w="1341"/>
        <w:gridCol w:w="1043"/>
        <w:gridCol w:w="1043"/>
        <w:gridCol w:w="1127"/>
        <w:gridCol w:w="1043"/>
        <w:gridCol w:w="1043"/>
        <w:gridCol w:w="1043"/>
        <w:gridCol w:w="1043"/>
        <w:gridCol w:w="1479"/>
      </w:tblGrid>
      <w:tr>
        <w:trPr/>
        <w:tc>
          <w:tcPr>
            <w:tcW w:w="1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or Rule 12b-2 of the Securities Exchange Act of 1934.</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Yes ☐ No ☒</w:t>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Yes ☐ No ☒</w:t>
            </w:r>
          </w:p>
        </w:tc>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2"/>
        <w:gridCol w:w="1025"/>
        <w:gridCol w:w="1025"/>
        <w:gridCol w:w="1170"/>
        <w:gridCol w:w="1025"/>
        <w:gridCol w:w="1025"/>
        <w:gridCol w:w="1025"/>
        <w:gridCol w:w="1025"/>
        <w:gridCol w:w="1453"/>
      </w:tblGrid>
      <w:tr>
        <w:trPr/>
        <w:tc>
          <w:tcPr>
            <w:tcW w:w="143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w:t>
            </w:r>
          </w:p>
        </w:tc>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The information under this Item 2.02-Results of Operations and Financial Condition and the exhibits attached hereto, are being furnished and shall not be deemed “filed” for any purpose, including for the purposes of Section 18 of the Securities Exchange Act of 1934, as amended (the “Exchange Act”), or otherwise subject to the liabilities of that Section. The information under this Item 2.02 and the exhibits attached hereto shall not be deemed incorporated by reference into any filing under the Securities Act of 1933, as amended, or under the Exchange Act,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On July 31, 2026, Federal Realty Investment Trust issued supplemental data pertaining to its operations, as well as a press release, to report its financial results for the quarter ended June 30, 2026. The supplemental data and press release are furnished as Exhibit 99.1 hereto.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Exhibits</w:t>
      </w:r>
    </w:p>
    <w:p>
      <w:pPr>
        <w:pStyle w:val="TextBody"/>
        <w:bidi w:val="0"/>
        <w:spacing w:before="0" w:after="0"/>
        <w:jc w:val="left"/>
        <w:rPr/>
      </w:pPr>
      <w:r>
        <w:rPr/>
      </w:r>
    </w:p>
    <w:p>
      <w:pPr>
        <w:pStyle w:val="TextBody"/>
        <w:bidi w:val="0"/>
        <w:spacing w:lineRule="auto" w:line="288" w:before="0" w:after="0"/>
        <w:ind w:left="0" w:right="0" w:hanging="1440"/>
        <w:jc w:val="left"/>
        <w:rPr/>
      </w:pPr>
      <w:r>
        <w:rPr>
          <w:color w:val="000000"/>
        </w:rPr>
        <w:t>    </w:t>
      </w:r>
      <w:r>
        <w:rPr>
          <w:rFonts w:ascii="Times New Roman;serif" w:hAnsi="Times New Roman;serif"/>
          <w:b w:val="false"/>
          <w:color w:val="000000"/>
          <w:sz w:val="24"/>
        </w:rPr>
        <w:t>99.1</w:t>
      </w:r>
      <w:r>
        <w:rPr>
          <w:color w:val="000000"/>
        </w:rPr>
        <w:t>    </w:t>
      </w:r>
      <w:r>
        <w:rPr>
          <w:rFonts w:ascii="Times New Roman;serif" w:hAnsi="Times New Roman;serif"/>
          <w:b w:val="false"/>
          <w:color w:val="000000"/>
          <w:sz w:val="24"/>
        </w:rPr>
        <w:t>Supplemental information at June 30, 2026 (including press release dated July 31, 2026)</w: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Pursuant to the requirements of the Securities Exchange Act of 1934, the registrants have duly caused this report to be signed on their behalf by the undersigned hereunto duly authorized.</w:t>
      </w:r>
    </w:p>
    <w:p>
      <w:pPr>
        <w:pStyle w:val="TextBody"/>
        <w:bidi w:val="0"/>
        <w:spacing w:before="0" w:after="0"/>
        <w:jc w:val="left"/>
        <w:rPr/>
      </w:pPr>
      <w:r>
        <w:rPr/>
      </w:r>
    </w:p>
    <w:tbl>
      <w:tblPr>
        <w:tblW w:w="7376" w:type="dxa"/>
        <w:jc w:val="center"/>
        <w:tblInd w:w="0" w:type="dxa"/>
        <w:tblLayout w:type="fixed"/>
        <w:tblCellMar>
          <w:top w:w="28" w:type="dxa"/>
          <w:left w:w="28" w:type="dxa"/>
          <w:bottom w:w="28" w:type="dxa"/>
          <w:right w:w="28" w:type="dxa"/>
        </w:tblCellMar>
      </w:tblPr>
      <w:tblGrid>
        <w:gridCol w:w="228"/>
        <w:gridCol w:w="200"/>
        <w:gridCol w:w="202"/>
        <w:gridCol w:w="464"/>
        <w:gridCol w:w="464"/>
        <w:gridCol w:w="467"/>
        <w:gridCol w:w="109"/>
        <w:gridCol w:w="109"/>
        <w:gridCol w:w="109"/>
        <w:gridCol w:w="1470"/>
        <w:gridCol w:w="1470"/>
        <w:gridCol w:w="208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FEDERAL REALTY INVESTMENT TRUST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FEDERAL REALTY OP LP</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4"/>
                <w:u w:val="single"/>
              </w:rPr>
              <w:t>/s/ 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 and Treasurer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INDEX</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501"/>
        <w:gridCol w:w="440"/>
        <w:gridCol w:w="442"/>
        <w:gridCol w:w="109"/>
        <w:gridCol w:w="109"/>
        <w:gridCol w:w="109"/>
        <w:gridCol w:w="2476"/>
        <w:gridCol w:w="2476"/>
        <w:gridCol w:w="3543"/>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rt-6302026x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Information at June 30, 2026</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Interactive Data File is embedded within the Inline XBRL document)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874" w:type="dxa"/>
        <w:jc w:val="center"/>
        <w:tblInd w:w="0" w:type="dxa"/>
        <w:tblLayout w:type="fixed"/>
        <w:tblCellMar>
          <w:top w:w="28" w:type="dxa"/>
          <w:left w:w="28" w:type="dxa"/>
          <w:bottom w:w="28" w:type="dxa"/>
          <w:right w:w="28" w:type="dxa"/>
        </w:tblCellMar>
      </w:tblPr>
      <w:tblGrid>
        <w:gridCol w:w="360"/>
        <w:gridCol w:w="317"/>
        <w:gridCol w:w="317"/>
        <w:gridCol w:w="617"/>
        <w:gridCol w:w="617"/>
        <w:gridCol w:w="617"/>
        <w:gridCol w:w="1980"/>
        <w:gridCol w:w="1980"/>
        <w:gridCol w:w="1980"/>
        <w:gridCol w:w="317"/>
        <w:gridCol w:w="317"/>
        <w:gridCol w:w="455"/>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98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8880" w:type="dxa"/>
            <w:gridSpan w:val="9"/>
            <w:tcBorders/>
          </w:tcPr>
          <w:p>
            <w:pPr>
              <w:pStyle w:val="TableContents"/>
              <w:bidi w:val="0"/>
              <w:spacing w:before="0" w:after="283"/>
              <w:jc w:val="left"/>
              <w:rPr>
                <w:sz w:val="4"/>
                <w:szCs w:val="4"/>
              </w:rPr>
            </w:pPr>
            <w:r>
              <w:rPr>
                <w:sz w:val="4"/>
                <w:szCs w:val="4"/>
              </w:rPr>
            </w:r>
          </w:p>
        </w:tc>
      </w:tr>
      <w:tr>
        <w:trPr/>
        <w:tc>
          <w:tcPr>
            <w:tcW w:w="98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SUPPLEMENTAL INFORMATION</w:t>
            </w:r>
          </w:p>
        </w:tc>
      </w:tr>
      <w:tr>
        <w:trPr/>
        <w:tc>
          <w:tcPr>
            <w:tcW w:w="98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2026 Earnings Press Release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7">
              <w:r>
                <w:rPr>
                  <w:rStyle w:val="InternetLink"/>
                  <w:rFonts w:ascii="Times New Roman;serif" w:hAnsi="Times New Roman;serif"/>
                  <w:b w:val="false"/>
                  <w:color w:val="0000FF"/>
                  <w:sz w:val="20"/>
                  <w:u w:val="single"/>
                </w:rPr>
                <w:t>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Highlights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Statements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10">
              <w:r>
                <w:rPr>
                  <w:rStyle w:val="InternetLink"/>
                  <w:rFonts w:ascii="Times New Roman;serif" w:hAnsi="Times New Roman;serif"/>
                  <w:b w:val="false"/>
                  <w:color w:val="0000FF"/>
                  <w:sz w:val="20"/>
                  <w:u w:val="single"/>
                </w:rPr>
                <w:t>7</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13">
              <w:r>
                <w:rPr>
                  <w:rStyle w:val="InternetLink"/>
                  <w:rFonts w:ascii="Times New Roman;serif" w:hAnsi="Times New Roman;serif"/>
                  <w:b w:val="false"/>
                  <w:color w:val="0000FF"/>
                  <w:sz w:val="20"/>
                  <w:u w:val="single"/>
                </w:rPr>
                <w:t>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16">
              <w:r>
                <w:rPr>
                  <w:rStyle w:val="InternetLink"/>
                  <w:rFonts w:ascii="Times New Roman;serif" w:hAnsi="Times New Roman;serif"/>
                  <w:b w:val="false"/>
                  <w:color w:val="0000FF"/>
                  <w:sz w:val="20"/>
                  <w:u w:val="single"/>
                </w:rPr>
                <w:t>9</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Supplemental Information</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19">
              <w:r>
                <w:rPr>
                  <w:rStyle w:val="InternetLink"/>
                  <w:rFonts w:ascii="Times New Roman;serif" w:hAnsi="Times New Roman;serif"/>
                  <w:b w:val="false"/>
                  <w:color w:val="0000FF"/>
                  <w:sz w:val="20"/>
                  <w:u w:val="single"/>
                </w:rPr>
                <w:t>10</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 of Rental Income</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22">
              <w:r>
                <w:rPr>
                  <w:rStyle w:val="InternetLink"/>
                  <w:rFonts w:ascii="Times New Roman;serif" w:hAnsi="Times New Roman;serif"/>
                  <w:b w:val="false"/>
                  <w:color w:val="0000FF"/>
                  <w:sz w:val="20"/>
                  <w:u w:val="single"/>
                </w:rPr>
                <w:t>11</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Property Information</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25">
              <w:r>
                <w:rPr>
                  <w:rStyle w:val="InternetLink"/>
                  <w:rFonts w:ascii="Times New Roman;serif" w:hAnsi="Times New Roman;serif"/>
                  <w:b w:val="false"/>
                  <w:color w:val="0000FF"/>
                  <w:sz w:val="20"/>
                  <w:u w:val="single"/>
                </w:rPr>
                <w:t>12</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 Debt Metrics, and Senior Notes and Debentures Covenants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31">
              <w:r>
                <w:rPr>
                  <w:rStyle w:val="InternetLink"/>
                  <w:rFonts w:ascii="Times New Roman;serif" w:hAnsi="Times New Roman;serif"/>
                  <w:b w:val="false"/>
                  <w:color w:val="0000FF"/>
                  <w:sz w:val="20"/>
                  <w:u w:val="single"/>
                </w:rPr>
                <w:t>13</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77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Debt</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Outstanding Debt</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34">
              <w:r>
                <w:rPr>
                  <w:rStyle w:val="InternetLink"/>
                  <w:rFonts w:ascii="Times New Roman;serif" w:hAnsi="Times New Roman;serif"/>
                  <w:b w:val="false"/>
                  <w:color w:val="0000FF"/>
                  <w:sz w:val="20"/>
                  <w:u w:val="single"/>
                </w:rPr>
                <w:t>14</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Debt Maturities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37">
              <w:r>
                <w:rPr>
                  <w:rStyle w:val="InternetLink"/>
                  <w:rFonts w:ascii="Times New Roman;serif" w:hAnsi="Times New Roman;serif"/>
                  <w:b w:val="false"/>
                  <w:color w:val="0000FF"/>
                  <w:sz w:val="20"/>
                  <w:u w:val="single"/>
                </w:rPr>
                <w:t>15</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77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Redevelopment and Expansion Opportunities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40">
              <w:r>
                <w:rPr>
                  <w:rStyle w:val="InternetLink"/>
                  <w:rFonts w:ascii="Times New Roman;serif" w:hAnsi="Times New Roman;serif"/>
                  <w:b w:val="false"/>
                  <w:color w:val="0000FF"/>
                  <w:sz w:val="20"/>
                  <w:u w:val="single"/>
                </w:rPr>
                <w:t>16</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77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Redevelopment and Expansion Opportunities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43">
              <w:r>
                <w:rPr>
                  <w:rStyle w:val="InternetLink"/>
                  <w:rFonts w:ascii="Times New Roman;serif" w:hAnsi="Times New Roman;serif"/>
                  <w:b w:val="false"/>
                  <w:color w:val="0000FF"/>
                  <w:sz w:val="20"/>
                  <w:u w:val="single"/>
                </w:rPr>
                <w:t>17</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77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Transactions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46">
              <w:r>
                <w:rPr>
                  <w:rStyle w:val="InternetLink"/>
                  <w:rFonts w:ascii="Times New Roman;serif" w:hAnsi="Times New Roman;serif"/>
                  <w:b w:val="false"/>
                  <w:color w:val="0000FF"/>
                  <w:sz w:val="20"/>
                  <w:u w:val="single"/>
                </w:rPr>
                <w:t>18</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77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Status Report</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49">
              <w:r>
                <w:rPr>
                  <w:rStyle w:val="InternetLink"/>
                  <w:rFonts w:ascii="Times New Roman;serif" w:hAnsi="Times New Roman;serif"/>
                  <w:b w:val="false"/>
                  <w:color w:val="0000FF"/>
                  <w:sz w:val="20"/>
                  <w:u w:val="single"/>
                </w:rPr>
                <w:t>19</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77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Leasing Summary</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52">
              <w:r>
                <w:rPr>
                  <w:rStyle w:val="InternetLink"/>
                  <w:rFonts w:ascii="Times New Roman;serif" w:hAnsi="Times New Roman;serif"/>
                  <w:b w:val="false"/>
                  <w:color w:val="0000FF"/>
                  <w:sz w:val="20"/>
                  <w:u w:val="single"/>
                </w:rPr>
                <w:t>23</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77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Expirations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55">
              <w:r>
                <w:rPr>
                  <w:rStyle w:val="InternetLink"/>
                  <w:rFonts w:ascii="Times New Roman;serif" w:hAnsi="Times New Roman;serif"/>
                  <w:b w:val="false"/>
                  <w:color w:val="0000FF"/>
                  <w:sz w:val="20"/>
                  <w:u w:val="single"/>
                </w:rPr>
                <w:t>24</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77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Leased Statistics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58">
              <w:r>
                <w:rPr>
                  <w:rStyle w:val="InternetLink"/>
                  <w:rFonts w:ascii="Times New Roman;serif" w:hAnsi="Times New Roman;serif"/>
                  <w:b w:val="false"/>
                  <w:color w:val="0000FF"/>
                  <w:sz w:val="20"/>
                  <w:u w:val="single"/>
                </w:rPr>
                <w:t>25</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77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Top 25 Tenants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61">
              <w:r>
                <w:rPr>
                  <w:rStyle w:val="InternetLink"/>
                  <w:rFonts w:ascii="Times New Roman;serif" w:hAnsi="Times New Roman;serif"/>
                  <w:b w:val="false"/>
                  <w:color w:val="0000FF"/>
                  <w:sz w:val="20"/>
                  <w:u w:val="single"/>
                </w:rPr>
                <w:t>26</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77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Guidance</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64">
              <w:r>
                <w:rPr>
                  <w:rStyle w:val="InternetLink"/>
                  <w:rFonts w:ascii="Times New Roman;serif" w:hAnsi="Times New Roman;serif"/>
                  <w:b w:val="false"/>
                  <w:color w:val="0000FF"/>
                  <w:sz w:val="20"/>
                  <w:u w:val="single"/>
                </w:rPr>
                <w:t>27</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77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Glossary of Terms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a7d766638e4af6a5b4df60aa0386d6_67">
              <w:r>
                <w:rPr>
                  <w:rStyle w:val="InternetLink"/>
                  <w:rFonts w:ascii="Times New Roman;serif" w:hAnsi="Times New Roman;serif"/>
                  <w:b w:val="false"/>
                  <w:color w:val="0000FF"/>
                  <w:sz w:val="20"/>
                  <w:u w:val="single"/>
                </w:rPr>
                <w:t>28</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909 Rose Avenue, Suite 200</w:t>
            </w:r>
          </w:p>
        </w:tc>
      </w:tr>
      <w:tr>
        <w:trPr/>
        <w:tc>
          <w:tcPr>
            <w:tcW w:w="987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Bethesda, Maryland 20852</w:t>
            </w:r>
          </w:p>
        </w:tc>
      </w:tr>
      <w:tr>
        <w:trPr/>
        <w:tc>
          <w:tcPr>
            <w:tcW w:w="987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301-998-8100</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Safe Harbor Language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2026,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general economic conditions, including inflation, tariffs, and local economic conditions in our geographic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2026 and subsequent quarterly reports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drawing>
          <wp:inline distT="0" distB="0" distL="0" distR="0">
            <wp:extent cx="2724150" cy="10668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724150" cy="1066800"/>
                    </a:xfrm>
                    <a:prstGeom prst="rect">
                      <a:avLst/>
                    </a:prstGeom>
                  </pic:spPr>
                </pic:pic>
              </a:graphicData>
            </a:graphic>
          </wp:inline>
        </w:drawing>
      </w:r>
    </w:p>
    <w:tbl>
      <w:tblPr>
        <w:tblW w:w="7618" w:type="dxa"/>
        <w:jc w:val="left"/>
        <w:tblInd w:w="0" w:type="dxa"/>
        <w:tblLayout w:type="fixed"/>
        <w:tblCellMar>
          <w:top w:w="28" w:type="dxa"/>
          <w:left w:w="28" w:type="dxa"/>
          <w:bottom w:w="28" w:type="dxa"/>
          <w:right w:w="28" w:type="dxa"/>
        </w:tblCellMar>
      </w:tblPr>
      <w:tblGrid>
        <w:gridCol w:w="1342"/>
        <w:gridCol w:w="1177"/>
        <w:gridCol w:w="1185"/>
        <w:gridCol w:w="1145"/>
        <w:gridCol w:w="1145"/>
        <w:gridCol w:w="1624"/>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NEWS RELEASE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www.federalrealty.com</w:t>
            </w:r>
          </w:p>
        </w:tc>
      </w:tr>
      <w:tr>
        <w:trPr/>
        <w:tc>
          <w:tcPr>
            <w:tcW w:w="37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FOR IMMEDIATE RELEASE</w:t>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Investor Inquiries: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Media Inquiries:</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Jill Sawyer</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Brenda Pomar</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Investor Relations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Senior Director, Corporate Communications</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301.998.8265</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301.998.8316</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jsawyer@federalrealty.com</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bpomar@federalrealty.com</w:t>
            </w:r>
          </w:p>
        </w:tc>
      </w:tr>
    </w:tbl>
    <w:p>
      <w:pPr>
        <w:pStyle w:val="TextBody"/>
        <w:bidi w:val="0"/>
        <w:spacing w:before="0" w:after="0"/>
        <w:jc w:val="center"/>
        <w:rPr/>
      </w:pPr>
      <w:r>
        <w:rPr/>
      </w:r>
    </w:p>
    <w:p>
      <w:pPr>
        <w:pStyle w:val="TextBody"/>
        <w:bidi w:val="0"/>
        <w:spacing w:lineRule="auto" w:line="417" w:before="0" w:after="160"/>
        <w:jc w:val="center"/>
        <w:rPr>
          <w:rFonts w:ascii="Arial;sans-serif" w:hAnsi="Arial;sans-serif"/>
          <w:b/>
          <w:color w:val="000000"/>
          <w:sz w:val="20"/>
        </w:rPr>
      </w:pPr>
      <w:r>
        <w:rPr>
          <w:rFonts w:ascii="Arial;sans-serif" w:hAnsi="Arial;sans-serif"/>
          <w:b/>
          <w:color w:val="000000"/>
          <w:sz w:val="20"/>
        </w:rPr>
        <w:t>Federal Realty Investment Trust Reports Second Quarter 2026 Results and Guidance Raise</w:t>
      </w:r>
    </w:p>
    <w:p>
      <w:pPr>
        <w:pStyle w:val="TextBody"/>
        <w:bidi w:val="0"/>
        <w:spacing w:lineRule="auto" w:line="288" w:before="0" w:after="240"/>
        <w:jc w:val="left"/>
        <w:rPr/>
      </w:pPr>
      <w:r>
        <w:rPr>
          <w:rFonts w:ascii="Arial;sans-serif" w:hAnsi="Arial;sans-serif"/>
          <w:b w:val="false"/>
          <w:color w:val="000000"/>
          <w:sz w:val="19"/>
        </w:rPr>
        <w:t xml:space="preserve">NORTH BETHESDA, Md. (July 31, 2026) – </w:t>
      </w:r>
      <w:r>
        <w:rPr>
          <w:rFonts w:ascii="Arial;sans-serif" w:hAnsi="Arial;sans-serif"/>
          <w:b w:val="false"/>
          <w:color w:val="000000"/>
          <w:sz w:val="19"/>
          <w:u w:val="single"/>
        </w:rPr>
        <w:t>Federal Realty Investment Trust</w:t>
      </w:r>
      <w:r>
        <w:rPr>
          <w:color w:val="000000"/>
        </w:rPr>
        <w:t xml:space="preserve"> </w:t>
      </w:r>
      <w:r>
        <w:rPr>
          <w:rFonts w:ascii="Arial;sans-serif" w:hAnsi="Arial;sans-serif"/>
          <w:b w:val="false"/>
          <w:color w:val="000000"/>
          <w:sz w:val="19"/>
        </w:rPr>
        <w:t>(NYSE:FRT) today reported its results for the second quarter ended June 30, 2026. For the three months ended June 30, 2026 and 2025, net income available for common shareholders per diluted share was $0.97 and $1.78, respectively, with the year-over-year decline primarily driven by a lower gain on the sale of real estate compared to the prior year period, as well as the absence of a one-time tax credit benefit recognized in the second quarter of 2025. Operating income for the same periods was $138.7 million and $202.7 million, respectively.</w:t>
      </w:r>
    </w:p>
    <w:p>
      <w:pPr>
        <w:pStyle w:val="TextBody"/>
        <w:bidi w:val="0"/>
        <w:spacing w:lineRule="auto" w:line="288" w:before="0" w:after="160"/>
        <w:jc w:val="left"/>
        <w:rPr>
          <w:rFonts w:ascii="Arial;sans-serif" w:hAnsi="Arial;sans-serif"/>
          <w:b w:val="false"/>
          <w:color w:val="000000"/>
          <w:sz w:val="19"/>
        </w:rPr>
      </w:pPr>
      <w:r>
        <w:rPr>
          <w:rFonts w:ascii="Arial;sans-serif" w:hAnsi="Arial;sans-serif"/>
          <w:b w:val="false"/>
          <w:color w:val="000000"/>
          <w:sz w:val="19"/>
        </w:rPr>
        <w:t>Highlights for the second quarter include:</w:t>
      </w:r>
    </w:p>
    <w:p>
      <w:pPr>
        <w:pStyle w:val="TextBody"/>
        <w:bidi w:val="0"/>
        <w:spacing w:lineRule="auto" w:line="288" w:before="0" w:after="0"/>
        <w:ind w:left="0" w:right="0" w:hanging="360"/>
        <w:jc w:val="left"/>
        <w:rPr/>
      </w:pPr>
      <w:r>
        <w:rPr>
          <w:color w:val="000000"/>
        </w:rPr>
        <w:t>•</w:t>
      </w:r>
      <w:r>
        <w:rPr>
          <w:rFonts w:ascii="Arial;sans-serif" w:hAnsi="Arial;sans-serif"/>
          <w:b w:val="false"/>
          <w:color w:val="262626"/>
          <w:sz w:val="19"/>
        </w:rPr>
        <w:t>Generated Core funds from operations available to common shareholders (Core FFO) per diluted share of $1.88 for the quarter, a 6.8% increase year-over-year.</w:t>
      </w:r>
    </w:p>
    <w:p>
      <w:pPr>
        <w:pStyle w:val="TextBody"/>
        <w:bidi w:val="0"/>
        <w:spacing w:lineRule="auto" w:line="276" w:before="0" w:after="0"/>
        <w:ind w:left="0" w:right="0" w:hanging="360"/>
        <w:jc w:val="both"/>
        <w:rPr/>
      </w:pPr>
      <w:r>
        <w:rPr>
          <w:color w:val="262626"/>
        </w:rPr>
        <w:t>•</w:t>
      </w:r>
      <w:r>
        <w:rPr>
          <w:rFonts w:ascii="Arial;sans-serif" w:hAnsi="Arial;sans-serif"/>
          <w:b w:val="false"/>
          <w:color w:val="262626"/>
          <w:sz w:val="19"/>
        </w:rPr>
        <w:t>Signed 124 leases for 819,273 square feet of comparable retail space — an all-time volume record — with rent growth of 15% on a cash basis and 28% on a straight-line basis.</w:t>
      </w:r>
    </w:p>
    <w:p>
      <w:pPr>
        <w:pStyle w:val="TextBody"/>
        <w:bidi w:val="0"/>
        <w:spacing w:lineRule="auto" w:line="276" w:before="0" w:after="0"/>
        <w:ind w:left="0" w:right="0" w:hanging="360"/>
        <w:jc w:val="both"/>
        <w:rPr/>
      </w:pPr>
      <w:r>
        <w:rPr>
          <w:color w:val="000000"/>
        </w:rPr>
        <w:t>•</w:t>
      </w:r>
      <w:r>
        <w:rPr>
          <w:rFonts w:ascii="Arial;sans-serif" w:hAnsi="Arial;sans-serif"/>
          <w:b w:val="false"/>
          <w:color w:val="262626"/>
          <w:sz w:val="19"/>
        </w:rPr>
        <w:t xml:space="preserve">Generated Adjusted Comparable Property Operating Income (POI) growth (excluding straight-line rents and amortization of in-place leases) of 4.2%. </w:t>
      </w:r>
    </w:p>
    <w:p>
      <w:pPr>
        <w:pStyle w:val="TextBody"/>
        <w:bidi w:val="0"/>
        <w:spacing w:lineRule="auto" w:line="276" w:before="0" w:after="0"/>
        <w:ind w:left="0" w:right="0" w:hanging="360"/>
        <w:jc w:val="both"/>
        <w:rPr/>
      </w:pPr>
      <w:r>
        <w:rPr>
          <w:color w:val="000000"/>
        </w:rPr>
        <w:t>•</w:t>
      </w:r>
      <w:r>
        <w:rPr>
          <w:rFonts w:ascii="Arial;sans-serif" w:hAnsi="Arial;sans-serif"/>
          <w:b w:val="false"/>
          <w:color w:val="262626"/>
          <w:sz w:val="19"/>
        </w:rPr>
        <w:t>Comparable POI growth was 2.8%.</w:t>
      </w:r>
    </w:p>
    <w:p>
      <w:pPr>
        <w:pStyle w:val="TextBody"/>
        <w:bidi w:val="0"/>
        <w:spacing w:lineRule="auto" w:line="276" w:before="0" w:after="0"/>
        <w:ind w:left="0" w:right="0" w:hanging="360"/>
        <w:jc w:val="both"/>
        <w:rPr/>
      </w:pPr>
      <w:r>
        <w:rPr>
          <w:color w:val="000000"/>
        </w:rPr>
        <w:t>•</w:t>
      </w:r>
      <w:r>
        <w:rPr>
          <w:rFonts w:ascii="Arial;sans-serif" w:hAnsi="Arial;sans-serif"/>
          <w:b w:val="false"/>
          <w:color w:val="262626"/>
          <w:sz w:val="19"/>
        </w:rPr>
        <w:t>Reported overall portfolio occupancy of 93.8% and a leased rate of 96.1% at quarter end, with:</w:t>
      </w:r>
    </w:p>
    <w:p>
      <w:pPr>
        <w:pStyle w:val="TextBody"/>
        <w:bidi w:val="0"/>
        <w:spacing w:lineRule="auto" w:line="276" w:before="0" w:after="0"/>
        <w:ind w:left="0" w:right="0" w:hanging="360"/>
        <w:jc w:val="both"/>
        <w:rPr/>
      </w:pPr>
      <w:r>
        <w:rPr>
          <w:color w:val="000000"/>
        </w:rPr>
        <w:t>•</w:t>
      </w:r>
      <w:r>
        <w:rPr>
          <w:rFonts w:ascii="Arial;sans-serif" w:hAnsi="Arial;sans-serif"/>
          <w:b w:val="false"/>
          <w:color w:val="262626"/>
          <w:sz w:val="19"/>
        </w:rPr>
        <w:t>Occupancy and leased rate both flat sequentially.</w:t>
      </w:r>
    </w:p>
    <w:p>
      <w:pPr>
        <w:pStyle w:val="TextBody"/>
        <w:bidi w:val="0"/>
        <w:spacing w:lineRule="auto" w:line="276" w:before="0" w:after="0"/>
        <w:ind w:left="0" w:right="0" w:hanging="360"/>
        <w:jc w:val="both"/>
        <w:rPr/>
      </w:pPr>
      <w:r>
        <w:rPr>
          <w:color w:val="000000"/>
        </w:rPr>
        <w:t>•</w:t>
      </w:r>
      <w:r>
        <w:rPr>
          <w:rFonts w:ascii="Arial;sans-serif" w:hAnsi="Arial;sans-serif"/>
          <w:b w:val="false"/>
          <w:color w:val="262626"/>
          <w:sz w:val="19"/>
        </w:rPr>
        <w:t>Occupancy up 20 basis points and leased rate up 70 basis points year-over-year.</w:t>
      </w:r>
    </w:p>
    <w:p>
      <w:pPr>
        <w:pStyle w:val="TextBody"/>
        <w:bidi w:val="0"/>
        <w:spacing w:lineRule="auto" w:line="276" w:before="0" w:after="0"/>
        <w:ind w:left="0" w:right="0" w:hanging="360"/>
        <w:jc w:val="both"/>
        <w:rPr/>
      </w:pPr>
      <w:r>
        <w:rPr>
          <w:color w:val="000000"/>
        </w:rPr>
        <w:t>•</w:t>
      </w:r>
      <w:r>
        <w:rPr>
          <w:rFonts w:ascii="Arial;sans-serif" w:hAnsi="Arial;sans-serif"/>
          <w:b w:val="false"/>
          <w:color w:val="262626"/>
          <w:sz w:val="19"/>
        </w:rPr>
        <w:t>Continued strong small shop leased rate, ending the quarter at 93.9% leased — representing an increase of 50 basis points year-over-year and 10 basis points sequentially.</w:t>
      </w:r>
    </w:p>
    <w:p>
      <w:pPr>
        <w:pStyle w:val="TextBody"/>
        <w:bidi w:val="0"/>
        <w:spacing w:lineRule="auto" w:line="276" w:before="0" w:after="0"/>
        <w:ind w:left="0" w:right="0" w:hanging="360"/>
        <w:jc w:val="both"/>
        <w:rPr/>
      </w:pPr>
      <w:r>
        <w:rPr>
          <w:color w:val="000000"/>
        </w:rPr>
        <w:t>•</w:t>
      </w:r>
      <w:r>
        <w:rPr>
          <w:rFonts w:ascii="Arial;sans-serif" w:hAnsi="Arial;sans-serif"/>
          <w:b w:val="false"/>
          <w:color w:val="262626"/>
          <w:sz w:val="19"/>
        </w:rPr>
        <w:t>Acquired an adjacent retail parcel at Kingstowne Towne Center in Alexandria, VA for $19.7 million on April 17, 2026, completing the retail assemblage at the center.</w:t>
      </w:r>
    </w:p>
    <w:p>
      <w:pPr>
        <w:pStyle w:val="TextBody"/>
        <w:bidi w:val="0"/>
        <w:spacing w:lineRule="auto" w:line="276" w:before="0" w:after="0"/>
        <w:ind w:left="0" w:right="0" w:hanging="360"/>
        <w:jc w:val="both"/>
        <w:rPr/>
      </w:pPr>
      <w:r>
        <w:rPr>
          <w:color w:val="000000"/>
        </w:rPr>
        <w:t>•</w:t>
      </w:r>
      <w:r>
        <w:rPr>
          <w:rFonts w:ascii="Arial;sans-serif" w:hAnsi="Arial;sans-serif"/>
          <w:b w:val="false"/>
          <w:color w:val="262626"/>
          <w:sz w:val="19"/>
        </w:rPr>
        <w:t>Sold two properties during the second quarter for a combined $66.1 million.</w:t>
      </w:r>
    </w:p>
    <w:p>
      <w:pPr>
        <w:pStyle w:val="TextBody"/>
        <w:bidi w:val="0"/>
        <w:spacing w:lineRule="auto" w:line="276" w:before="0" w:after="0"/>
        <w:ind w:left="0" w:right="0" w:hanging="360"/>
        <w:jc w:val="both"/>
        <w:rPr/>
      </w:pPr>
      <w:r>
        <w:rPr>
          <w:color w:val="000000"/>
        </w:rPr>
        <w:t>•</w:t>
      </w:r>
      <w:r>
        <w:rPr>
          <w:rFonts w:ascii="Arial;sans-serif" w:hAnsi="Arial;sans-serif"/>
          <w:b w:val="false"/>
          <w:color w:val="262626"/>
          <w:sz w:val="19"/>
        </w:rPr>
        <w:t>Increased the regular quarterly cash dividend by 3% to $1.16 per common share, resulting in an indicated annual rate of $4.64 per common share. This marks the 59th consecutive year that Federal Realty has increased its common dividend, the longest record of consecutive annual dividend increases in the REIT sector.</w:t>
      </w:r>
    </w:p>
    <w:p>
      <w:pPr>
        <w:pStyle w:val="TextBody"/>
        <w:bidi w:val="0"/>
        <w:spacing w:lineRule="auto" w:line="276" w:before="0" w:after="0"/>
        <w:ind w:left="0" w:right="0" w:hanging="360"/>
        <w:jc w:val="both"/>
        <w:rPr/>
      </w:pPr>
      <w:r>
        <w:rPr>
          <w:color w:val="000000"/>
        </w:rPr>
        <w:t>•</w:t>
      </w:r>
      <w:r>
        <w:rPr>
          <w:rFonts w:ascii="Arial;sans-serif" w:hAnsi="Arial;sans-serif"/>
          <w:b w:val="false"/>
          <w:color w:val="262626"/>
          <w:sz w:val="19"/>
        </w:rPr>
        <w:t>Hosted an Investor Day at Federal Realty’s flagship Santana Row property, where management introduced a framework for long-term FFO and AFFO per share growth targets through 2028.</w:t>
      </w:r>
    </w:p>
    <w:p>
      <w:pPr>
        <w:pStyle w:val="TextBody"/>
        <w:bidi w:val="0"/>
        <w:spacing w:lineRule="auto" w:line="276" w:before="0" w:after="0"/>
        <w:ind w:left="0" w:right="0" w:hanging="360"/>
        <w:jc w:val="both"/>
        <w:rPr/>
      </w:pPr>
      <w:r>
        <w:rPr>
          <w:color w:val="000000"/>
        </w:rPr>
        <w:t>•</w:t>
      </w:r>
      <w:r>
        <w:rPr>
          <w:rFonts w:ascii="Arial;sans-serif" w:hAnsi="Arial;sans-serif"/>
          <w:b w:val="false"/>
          <w:color w:val="262626"/>
          <w:sz w:val="19"/>
        </w:rPr>
        <w:t>Raised and tightened guidance for 2026 earnings per diluted share to $4.22 to $4.30.</w:t>
      </w:r>
    </w:p>
    <w:p>
      <w:pPr>
        <w:pStyle w:val="TextBody"/>
        <w:bidi w:val="0"/>
        <w:spacing w:lineRule="auto" w:line="288" w:before="0" w:after="240"/>
        <w:ind w:left="0" w:right="0" w:hanging="360"/>
        <w:jc w:val="both"/>
        <w:rPr/>
      </w:pPr>
      <w:r>
        <w:rPr>
          <w:color w:val="000000"/>
        </w:rPr>
        <w:t>•</w:t>
      </w:r>
      <w:r>
        <w:rPr>
          <w:rFonts w:ascii="Arial;sans-serif" w:hAnsi="Arial;sans-serif"/>
          <w:b w:val="false"/>
          <w:color w:val="262626"/>
          <w:sz w:val="19"/>
        </w:rPr>
        <w:t>Raised and tightened guidance for both 2026 Nareit FFO and Core FFO per diluted share to $7.48 to $7.56, representing 6.5% Core FFO growth at the midpoint year-over-year.</w:t>
      </w:r>
    </w:p>
    <w:p>
      <w:pPr>
        <w:pStyle w:val="TextBody"/>
        <w:bidi w:val="0"/>
        <w:spacing w:lineRule="auto" w:line="288" w:before="0" w:after="240"/>
        <w:jc w:val="left"/>
        <w:rPr/>
      </w:pPr>
      <w:r>
        <w:rPr>
          <w:color w:val="000000"/>
        </w:rPr>
        <w:t>“</w:t>
      </w:r>
      <w:r>
        <w:rPr>
          <w:rFonts w:ascii="Arial;sans-serif" w:hAnsi="Arial;sans-serif"/>
          <w:b w:val="false"/>
          <w:color w:val="262626"/>
          <w:sz w:val="19"/>
        </w:rPr>
        <w:t>This was another quarter of record leasing activity and outsized FFO growth, extending a trend we've sustained for several quarters now, and it's exactly why we're confident executing against the long-term plan we shared with investors at Santana Row,</w:t>
      </w:r>
      <w:r>
        <w:rPr>
          <w:color w:val="000000"/>
        </w:rPr>
        <w:t>”</w:t>
      </w:r>
      <w:r>
        <w:rPr>
          <w:color w:val="262626"/>
        </w:rPr>
        <w:t xml:space="preserve"> </w:t>
      </w:r>
      <w:r>
        <w:rPr>
          <w:rFonts w:ascii="Arial;sans-serif" w:hAnsi="Arial;sans-serif"/>
          <w:b w:val="false"/>
          <w:color w:val="262626"/>
          <w:sz w:val="19"/>
        </w:rPr>
        <w:t>said Donald C. Wood, President and Chief Executive Officer of Federal Realty.</w:t>
      </w:r>
      <w:r>
        <w:rPr>
          <w:color w:val="000000"/>
        </w:rPr>
        <w:t xml:space="preserve"> “</w:t>
      </w:r>
      <w:r>
        <w:rPr>
          <w:rFonts w:ascii="Arial;sans-serif" w:hAnsi="Arial;sans-serif"/>
          <w:b w:val="false"/>
          <w:color w:val="262626"/>
          <w:sz w:val="19"/>
        </w:rPr>
        <w:t>It all comes back to productivity — getting more out of the exceptional real estate we already own — and that discipline is what's translating into durable growth for our shareholders</w:t>
      </w:r>
      <w:r>
        <w:rPr>
          <w:rFonts w:ascii="Arial;sans-serif" w:hAnsi="Arial;sans-serif"/>
          <w:b w:val="false"/>
          <w:color w:val="000000"/>
          <w:sz w:val="19"/>
        </w:rPr>
        <w:t>.”</w:t>
      </w:r>
    </w:p>
    <w:p>
      <w:pPr>
        <w:pStyle w:val="TextBody"/>
        <w:bidi w:val="0"/>
        <w:spacing w:before="0" w:after="0"/>
        <w:jc w:val="right"/>
        <w:rPr/>
      </w:pPr>
      <w:r>
        <w:rPr/>
        <w:drawing>
          <wp:inline distT="0" distB="0" distL="0" distR="0">
            <wp:extent cx="895350" cy="3524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both"/>
        <w:rPr>
          <w:rFonts w:ascii="Arial;sans-serif" w:hAnsi="Arial;sans-serif"/>
          <w:b/>
          <w:color w:val="000000"/>
          <w:sz w:val="19"/>
        </w:rPr>
      </w:pPr>
      <w:r>
        <w:rPr>
          <w:rFonts w:ascii="Arial;sans-serif" w:hAnsi="Arial;sans-serif"/>
          <w:b/>
          <w:color w:val="000000"/>
          <w:sz w:val="19"/>
        </w:rPr>
        <w:t>Financial Results</w:t>
      </w:r>
    </w:p>
    <w:p>
      <w:pPr>
        <w:pStyle w:val="TextBody"/>
        <w:bidi w:val="0"/>
        <w:spacing w:lineRule="auto" w:line="288" w:before="0" w:after="240"/>
        <w:jc w:val="left"/>
        <w:rPr/>
      </w:pPr>
      <w:r>
        <w:rPr>
          <w:rFonts w:ascii="Arial;sans-serif" w:hAnsi="Arial;sans-serif"/>
          <w:b w:val="false"/>
          <w:i/>
          <w:color w:val="000000"/>
          <w:sz w:val="19"/>
        </w:rPr>
        <w:t>Net Incom</w:t>
      </w:r>
      <w:r>
        <w:rPr>
          <w:rFonts w:ascii="Arial;sans-serif" w:hAnsi="Arial;sans-serif"/>
          <w:b w:val="false"/>
          <w:color w:val="000000"/>
          <w:sz w:val="19"/>
        </w:rPr>
        <w:t>e</w:t>
      </w:r>
    </w:p>
    <w:p>
      <w:pPr>
        <w:pStyle w:val="TextBody"/>
        <w:bidi w:val="0"/>
        <w:spacing w:lineRule="auto" w:line="288" w:before="0" w:after="160"/>
        <w:jc w:val="left"/>
        <w:rPr>
          <w:rFonts w:ascii="Arial;sans-serif" w:hAnsi="Arial;sans-serif"/>
          <w:b w:val="false"/>
          <w:color w:val="000000"/>
          <w:sz w:val="19"/>
        </w:rPr>
      </w:pPr>
      <w:r>
        <w:rPr>
          <w:rFonts w:ascii="Arial;sans-serif" w:hAnsi="Arial;sans-serif"/>
          <w:b w:val="false"/>
          <w:color w:val="000000"/>
          <w:sz w:val="19"/>
        </w:rPr>
        <w:t>For the second quarter of 2026, net income available for common shareholders was $83.7 million and earnings per diluted share was $0.97 versus $153.9 million and $1.78, respectively, for the second quarter of 2025, with the year-over-year decline primarily driven by a lower gain on the sale of real estate this quarter ($20.6 million compared to $76.5 million in the prior year period) and, to a lesser extent, the absence of a one-time tax credit benefit recognized in the second quarter of 2025.</w:t>
      </w:r>
    </w:p>
    <w:p>
      <w:pPr>
        <w:pStyle w:val="TextBody"/>
        <w:bidi w:val="0"/>
        <w:spacing w:lineRule="auto" w:line="288" w:before="0" w:after="160"/>
        <w:jc w:val="both"/>
        <w:rPr>
          <w:rFonts w:ascii="Arial;sans-serif" w:hAnsi="Arial;sans-serif"/>
          <w:b w:val="false"/>
          <w:i/>
          <w:color w:val="000000"/>
          <w:sz w:val="19"/>
        </w:rPr>
      </w:pPr>
      <w:r>
        <w:rPr>
          <w:rFonts w:ascii="Arial;sans-serif" w:hAnsi="Arial;sans-serif"/>
          <w:b w:val="false"/>
          <w:i/>
          <w:color w:val="000000"/>
          <w:sz w:val="19"/>
        </w:rPr>
        <w:t>FFO</w:t>
      </w:r>
    </w:p>
    <w:p>
      <w:pPr>
        <w:pStyle w:val="TextBody"/>
        <w:bidi w:val="0"/>
        <w:spacing w:lineRule="auto" w:line="288" w:before="0" w:after="160"/>
        <w:jc w:val="left"/>
        <w:rPr>
          <w:rFonts w:ascii="Arial;sans-serif" w:hAnsi="Arial;sans-serif"/>
          <w:b w:val="false"/>
          <w:color w:val="000000"/>
          <w:sz w:val="19"/>
        </w:rPr>
      </w:pPr>
      <w:r>
        <w:rPr>
          <w:rFonts w:ascii="Arial;sans-serif" w:hAnsi="Arial;sans-serif"/>
          <w:b w:val="false"/>
          <w:color w:val="000000"/>
          <w:sz w:val="19"/>
        </w:rPr>
        <w:t>Nareit FFO was $162.8 million, or $1.88 per diluted share, for the second quarter of 2026, compared to $165.5 million, or $1.91 per diluted share, in the second quarter of 2025, a 1.6% per share decline. The year-over-year decline is due to a one-time $13.0 million, or $0.15 per share, of new market tax credit transaction income recognized in the second quarter of 2025.</w:t>
      </w:r>
    </w:p>
    <w:p>
      <w:pPr>
        <w:pStyle w:val="TextBody"/>
        <w:bidi w:val="0"/>
        <w:spacing w:lineRule="auto" w:line="288" w:before="0" w:after="160"/>
        <w:jc w:val="left"/>
        <w:rPr>
          <w:rFonts w:ascii="Arial;sans-serif" w:hAnsi="Arial;sans-serif"/>
          <w:b w:val="false"/>
          <w:color w:val="000000"/>
          <w:sz w:val="19"/>
        </w:rPr>
      </w:pPr>
      <w:r>
        <w:rPr>
          <w:rFonts w:ascii="Arial;sans-serif" w:hAnsi="Arial;sans-serif"/>
          <w:b w:val="false"/>
          <w:color w:val="000000"/>
          <w:sz w:val="19"/>
        </w:rPr>
        <w:t xml:space="preserve">Core FFO was $162.8 million, or $1.88 per diluted share, for the second quarter of 2026, compared to $152.5 million, or $1.76 per diluted share, in the second quarter of 2025, a 6.8% per-share increase. </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Nareit FFO is a non-GAAP supplemental earnings measure which the Trust considers meaningful in measuring its operating performance. Core FFO adjusts Nareit FFO to exclude the impact of certain items that management considers are not indicative of the company’s ongoing operating and financial performance. See attachments for a reconciliation of Nareit FFO and Core FFO and a full definition of Core FFO.</w:t>
      </w:r>
    </w:p>
    <w:p>
      <w:pPr>
        <w:pStyle w:val="TextBody"/>
        <w:bidi w:val="0"/>
        <w:spacing w:lineRule="auto" w:line="288" w:before="0" w:after="240"/>
        <w:jc w:val="both"/>
        <w:rPr>
          <w:rFonts w:ascii="Arial;sans-serif" w:hAnsi="Arial;sans-serif"/>
          <w:b/>
          <w:color w:val="000000"/>
          <w:sz w:val="19"/>
        </w:rPr>
      </w:pPr>
      <w:r>
        <w:rPr>
          <w:rFonts w:ascii="Arial;sans-serif" w:hAnsi="Arial;sans-serif"/>
          <w:b/>
          <w:color w:val="000000"/>
          <w:sz w:val="19"/>
        </w:rPr>
        <w:t>Operational Update</w:t>
      </w:r>
    </w:p>
    <w:p>
      <w:pPr>
        <w:pStyle w:val="TextBody"/>
        <w:bidi w:val="0"/>
        <w:spacing w:lineRule="auto" w:line="288" w:before="0" w:after="240"/>
        <w:jc w:val="left"/>
        <w:rPr>
          <w:rFonts w:ascii="Arial;sans-serif" w:hAnsi="Arial;sans-serif"/>
          <w:b w:val="false"/>
          <w:i/>
          <w:color w:val="000000"/>
          <w:sz w:val="19"/>
        </w:rPr>
      </w:pPr>
      <w:r>
        <w:rPr>
          <w:rFonts w:ascii="Arial;sans-serif" w:hAnsi="Arial;sans-serif"/>
          <w:b w:val="false"/>
          <w:i/>
          <w:color w:val="000000"/>
          <w:sz w:val="19"/>
        </w:rPr>
        <w:t>Occupancy</w:t>
      </w:r>
    </w:p>
    <w:p>
      <w:pPr>
        <w:pStyle w:val="TextBody"/>
        <w:bidi w:val="0"/>
        <w:spacing w:lineRule="auto" w:line="288" w:before="0" w:after="160"/>
        <w:jc w:val="both"/>
        <w:rPr>
          <w:rFonts w:ascii="Arial;sans-serif" w:hAnsi="Arial;sans-serif"/>
          <w:b w:val="false"/>
          <w:color w:val="000000"/>
          <w:sz w:val="19"/>
        </w:rPr>
      </w:pPr>
      <w:r>
        <w:rPr>
          <w:rFonts w:ascii="Arial;sans-serif" w:hAnsi="Arial;sans-serif"/>
          <w:b w:val="false"/>
          <w:color w:val="000000"/>
          <w:sz w:val="19"/>
        </w:rPr>
        <w:t xml:space="preserve">The following operational metrics for the commercial portfolio are as of June 30, 2026: </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Overall portfolio occupancy was 93.8%, flat sequentially and up 20 basis points year-over-year.</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Overall portfolio leased rate was 96.1%, flat sequentially and up 70 basis points year-over-year.</w:t>
      </w:r>
    </w:p>
    <w:p>
      <w:pPr>
        <w:pStyle w:val="TextBody"/>
        <w:bidi w:val="0"/>
        <w:spacing w:lineRule="auto" w:line="288" w:before="0" w:after="160"/>
        <w:ind w:left="0" w:right="0" w:hanging="360"/>
        <w:jc w:val="both"/>
        <w:rPr/>
      </w:pPr>
      <w:r>
        <w:rPr>
          <w:color w:val="000000"/>
        </w:rPr>
        <w:t>•</w:t>
      </w:r>
      <w:r>
        <w:rPr>
          <w:rFonts w:ascii="Arial;sans-serif" w:hAnsi="Arial;sans-serif"/>
          <w:b w:val="false"/>
          <w:color w:val="262626"/>
          <w:sz w:val="19"/>
        </w:rPr>
        <w:t>Small shop leased rate was 93.9%, up 10 basis points sequentially and up 50 basis points year-over-year.</w:t>
      </w:r>
    </w:p>
    <w:p>
      <w:pPr>
        <w:pStyle w:val="TextBody"/>
        <w:bidi w:val="0"/>
        <w:spacing w:lineRule="auto" w:line="288" w:before="0" w:after="160"/>
        <w:jc w:val="both"/>
        <w:rPr>
          <w:rFonts w:ascii="Arial;sans-serif" w:hAnsi="Arial;sans-serif"/>
          <w:b w:val="false"/>
          <w:color w:val="000000"/>
          <w:sz w:val="19"/>
        </w:rPr>
      </w:pPr>
      <w:r>
        <w:rPr>
          <w:rFonts w:ascii="Arial;sans-serif" w:hAnsi="Arial;sans-serif"/>
          <w:b w:val="false"/>
          <w:color w:val="000000"/>
          <w:sz w:val="19"/>
        </w:rPr>
        <w:t>The residential leased rate for comparable properties was 97.0% as of June 30, 2026, down 20 basis points year-over-year.</w:t>
      </w:r>
    </w:p>
    <w:p>
      <w:pPr>
        <w:pStyle w:val="TextBody"/>
        <w:bidi w:val="0"/>
        <w:spacing w:lineRule="auto" w:line="288" w:before="0" w:after="240"/>
        <w:jc w:val="left"/>
        <w:rPr>
          <w:rFonts w:ascii="Arial;sans-serif" w:hAnsi="Arial;sans-serif"/>
          <w:b w:val="false"/>
          <w:i/>
          <w:color w:val="000000"/>
          <w:sz w:val="19"/>
        </w:rPr>
      </w:pPr>
      <w:r>
        <w:rPr>
          <w:rFonts w:ascii="Arial;sans-serif" w:hAnsi="Arial;sans-serif"/>
          <w:b w:val="false"/>
          <w:i/>
          <w:color w:val="000000"/>
          <w:sz w:val="19"/>
        </w:rPr>
        <w:t>Leasing Activity</w:t>
      </w:r>
    </w:p>
    <w:p>
      <w:pPr>
        <w:pStyle w:val="TextBody"/>
        <w:bidi w:val="0"/>
        <w:spacing w:lineRule="auto" w:line="288" w:before="0" w:after="160"/>
        <w:jc w:val="left"/>
        <w:rPr>
          <w:rFonts w:ascii="Arial;sans-serif" w:hAnsi="Arial;sans-serif"/>
          <w:b w:val="false"/>
          <w:color w:val="000000"/>
          <w:sz w:val="19"/>
        </w:rPr>
      </w:pPr>
      <w:r>
        <w:rPr>
          <w:rFonts w:ascii="Arial;sans-serif" w:hAnsi="Arial;sans-serif"/>
          <w:b w:val="false"/>
          <w:color w:val="000000"/>
          <w:sz w:val="19"/>
        </w:rPr>
        <w:t xml:space="preserve">During the second quarter of 2026, Federal Realty signed 131 leases totaling 852,051 square feet of retail space. On a comparable space basis, the company signed 124 leases for 819,273 square feet — an all-time volume record — at an average rent of $33.68 per square foot, compared to $29.23 under prior leases, representing a 15% increase on a cash basis and 28% increase on a straight-line basis. </w:t>
      </w:r>
    </w:p>
    <w:p>
      <w:pPr>
        <w:pStyle w:val="TextBody"/>
        <w:bidi w:val="0"/>
        <w:spacing w:lineRule="auto" w:line="288" w:before="0" w:after="160"/>
        <w:jc w:val="left"/>
        <w:rPr>
          <w:rFonts w:ascii="Arial;sans-serif" w:hAnsi="Arial;sans-serif"/>
          <w:b w:val="false"/>
          <w:color w:val="000000"/>
          <w:sz w:val="19"/>
        </w:rPr>
      </w:pPr>
      <w:r>
        <w:rPr>
          <w:rFonts w:ascii="Arial;sans-serif" w:hAnsi="Arial;sans-serif"/>
          <w:b w:val="false"/>
          <w:color w:val="000000"/>
          <w:sz w:val="19"/>
        </w:rPr>
        <w:t xml:space="preserve">On a trailing twelve-month basis, Federal Realty signed 453 comparable leases totaling 2,796,064 square feet — also a volume record for any 12-month period — representing 17% rent spreads on a cash basis and 29% on a straight-line basis. </w:t>
      </w:r>
    </w:p>
    <w:p>
      <w:pPr>
        <w:pStyle w:val="TextBody"/>
        <w:bidi w:val="0"/>
        <w:spacing w:lineRule="auto" w:line="288" w:before="0" w:after="240"/>
        <w:jc w:val="both"/>
        <w:rPr>
          <w:rFonts w:ascii="Arial;sans-serif" w:hAnsi="Arial;sans-serif"/>
          <w:b w:val="false"/>
          <w:i/>
          <w:color w:val="000000"/>
          <w:sz w:val="19"/>
        </w:rPr>
      </w:pPr>
      <w:r>
        <w:rPr>
          <w:rFonts w:ascii="Arial;sans-serif" w:hAnsi="Arial;sans-serif"/>
          <w:b w:val="false"/>
          <w:i/>
          <w:color w:val="000000"/>
          <w:sz w:val="19"/>
        </w:rPr>
        <w:t>Transaction Activity</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u w:val="single"/>
        </w:rPr>
        <w:t>April 17, 2026</w:t>
      </w:r>
      <w:r>
        <w:rPr>
          <w:color w:val="262626"/>
        </w:rPr>
        <w:t xml:space="preserve"> — </w:t>
      </w:r>
      <w:r>
        <w:rPr>
          <w:rFonts w:ascii="Arial;sans-serif" w:hAnsi="Arial;sans-serif"/>
          <w:b w:val="false"/>
          <w:color w:val="262626"/>
          <w:sz w:val="19"/>
        </w:rPr>
        <w:t>acquired an adjacent 88,000-square-foot retail parcel at Kingstowne Towne Center in Alexandria, VA for $19.7 million, completing the retail assemblage at the center, which Federal Realty originally acquired in 2022.</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u w:val="single"/>
        </w:rPr>
        <w:t>May 8, 2026</w:t>
      </w:r>
      <w:r>
        <w:rPr>
          <w:color w:val="262626"/>
        </w:rPr>
        <w:t xml:space="preserve"> — </w:t>
      </w:r>
      <w:r>
        <w:rPr>
          <w:rFonts w:ascii="Arial;sans-serif" w:hAnsi="Arial;sans-serif"/>
          <w:b w:val="false"/>
          <w:color w:val="262626"/>
          <w:sz w:val="19"/>
        </w:rPr>
        <w:t>sold 3131 Commodore Plaza in Coconut Grove, FL for $8.1 million.</w:t>
      </w:r>
    </w:p>
    <w:p>
      <w:pPr>
        <w:pStyle w:val="TextBody"/>
        <w:bidi w:val="0"/>
        <w:spacing w:lineRule="auto" w:line="288" w:before="0" w:after="160"/>
        <w:ind w:left="0" w:right="0" w:hanging="360"/>
        <w:jc w:val="both"/>
        <w:rPr/>
      </w:pPr>
      <w:r>
        <w:rPr>
          <w:color w:val="000000"/>
        </w:rPr>
        <w:t>•</w:t>
      </w:r>
      <w:r>
        <w:rPr>
          <w:rFonts w:ascii="Arial;sans-serif" w:hAnsi="Arial;sans-serif"/>
          <w:b w:val="false"/>
          <w:color w:val="262626"/>
          <w:sz w:val="19"/>
          <w:u w:val="single"/>
        </w:rPr>
        <w:t>May 21, 2026</w:t>
      </w:r>
      <w:r>
        <w:rPr>
          <w:color w:val="262626"/>
        </w:rPr>
        <w:t xml:space="preserve"> — </w:t>
      </w:r>
      <w:r>
        <w:rPr>
          <w:rFonts w:ascii="Arial;sans-serif" w:hAnsi="Arial;sans-serif"/>
          <w:b w:val="false"/>
          <w:color w:val="262626"/>
          <w:sz w:val="19"/>
        </w:rPr>
        <w:t>sold Barcroft Plaza in Falls Church, VA for $58.0 million.</w:t>
      </w:r>
    </w:p>
    <w:p>
      <w:pPr>
        <w:pStyle w:val="TextBody"/>
        <w:bidi w:val="0"/>
        <w:spacing w:lineRule="auto" w:line="288" w:before="0" w:after="160"/>
        <w:jc w:val="both"/>
        <w:rPr>
          <w:rFonts w:ascii="Arial;sans-serif" w:hAnsi="Arial;sans-serif"/>
          <w:b w:val="false"/>
          <w:i/>
          <w:color w:val="262626"/>
          <w:sz w:val="19"/>
        </w:rPr>
      </w:pPr>
      <w:r>
        <w:rPr>
          <w:rFonts w:ascii="Arial;sans-serif" w:hAnsi="Arial;sans-serif"/>
          <w:b w:val="false"/>
          <w:i/>
          <w:color w:val="262626"/>
          <w:sz w:val="19"/>
        </w:rPr>
        <w:t>Development Activity</w:t>
      </w:r>
    </w:p>
    <w:p>
      <w:pPr>
        <w:pStyle w:val="TextBody"/>
        <w:bidi w:val="0"/>
        <w:spacing w:lineRule="auto" w:line="288" w:before="0" w:after="160"/>
        <w:jc w:val="both"/>
        <w:rPr>
          <w:rFonts w:ascii="Arial;sans-serif" w:hAnsi="Arial;sans-serif"/>
          <w:b w:val="false"/>
          <w:color w:val="262626"/>
          <w:sz w:val="19"/>
        </w:rPr>
      </w:pPr>
      <w:r>
        <w:rPr>
          <w:rFonts w:ascii="Arial;sans-serif" w:hAnsi="Arial;sans-serif"/>
          <w:b w:val="false"/>
          <w:color w:val="262626"/>
          <w:sz w:val="19"/>
        </w:rPr>
        <w:t>Fully delivered the residential units at Blayr, a mixed-use development on City Avenue in Bala Cynwyd, PA, featuring 217 residential units, 19,000 square feet of ground-floor retail, and on-site parking.</w:t>
      </w:r>
    </w:p>
    <w:p>
      <w:pPr>
        <w:pStyle w:val="TextBody"/>
        <w:bidi w:val="0"/>
        <w:spacing w:lineRule="auto" w:line="288" w:before="0" w:after="160"/>
        <w:jc w:val="both"/>
        <w:rPr>
          <w:rFonts w:ascii="Arial;sans-serif" w:hAnsi="Arial;sans-serif"/>
          <w:b w:val="false"/>
          <w:i/>
          <w:color w:val="262626"/>
          <w:sz w:val="19"/>
        </w:rPr>
      </w:pPr>
      <w:r>
        <w:rPr>
          <w:rFonts w:ascii="Arial;sans-serif" w:hAnsi="Arial;sans-serif"/>
          <w:b w:val="false"/>
          <w:i/>
          <w:color w:val="262626"/>
          <w:sz w:val="19"/>
        </w:rPr>
        <w:t>Other Activity*</w:t>
      </w:r>
    </w:p>
    <w:p>
      <w:pPr>
        <w:pStyle w:val="TextBody"/>
        <w:bidi w:val="0"/>
        <w:spacing w:lineRule="auto" w:line="288"/>
        <w:ind w:left="0" w:right="0" w:hanging="360"/>
        <w:jc w:val="left"/>
        <w:rPr/>
      </w:pPr>
      <w:r>
        <w:rPr>
          <w:color w:val="000000"/>
        </w:rPr>
        <w:t>•</w:t>
      </w:r>
      <w:r>
        <w:rPr>
          <w:rFonts w:ascii="Arial;sans-serif" w:hAnsi="Arial;sans-serif"/>
          <w:b w:val="false"/>
          <w:color w:val="000000"/>
          <w:sz w:val="19"/>
        </w:rPr>
        <w:t>Hosted an Investor Day on May 21, 2026 at the company's flagship Santana Row property, where management provided an update on the company's long-term growth strategy and introduced a framework for long-term FFO and AFFO per share growth targets through 2028. A replay of the webcast, along with the presentation and tour books, is available at: https://www.federalrealty.com/investor-day-2026</w:t>
      </w:r>
    </w:p>
    <w:p>
      <w:pPr>
        <w:pStyle w:val="TextBody"/>
        <w:bidi w:val="0"/>
        <w:spacing w:before="0" w:after="0"/>
        <w:jc w:val="right"/>
        <w:rPr/>
      </w:pPr>
      <w:r>
        <w:rPr/>
        <w:drawing>
          <wp:inline distT="0" distB="0" distL="0" distR="0">
            <wp:extent cx="895350" cy="3524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19"/>
        </w:rPr>
        <w:t>Released the company’s 2025 Sustainability Report, available at:</w:t>
        <w:br/>
        <w:t>https://www.federalrealty.com/sustainability-report-2025</w:t>
      </w:r>
    </w:p>
    <w:p>
      <w:pPr>
        <w:pStyle w:val="TextBody"/>
        <w:bidi w:val="0"/>
        <w:spacing w:lineRule="auto" w:line="288" w:before="0" w:after="160"/>
        <w:ind w:left="0" w:right="0" w:hanging="720"/>
        <w:jc w:val="left"/>
        <w:rPr>
          <w:rFonts w:ascii="Arial;sans-serif" w:hAnsi="Arial;sans-serif"/>
          <w:b w:val="false"/>
          <w:i/>
          <w:color w:val="262626"/>
          <w:sz w:val="19"/>
        </w:rPr>
      </w:pPr>
      <w:r>
        <w:rPr>
          <w:rFonts w:ascii="Arial;sans-serif" w:hAnsi="Arial;sans-serif"/>
          <w:b w:val="false"/>
          <w:i/>
          <w:color w:val="262626"/>
          <w:sz w:val="19"/>
        </w:rPr>
        <w:t>* The contents of our website are not included in or incorporated by reference into this press release.</w:t>
      </w:r>
    </w:p>
    <w:p>
      <w:pPr>
        <w:pStyle w:val="TextBody"/>
        <w:bidi w:val="0"/>
        <w:spacing w:lineRule="auto" w:line="288" w:before="0" w:after="240"/>
        <w:jc w:val="both"/>
        <w:rPr>
          <w:rFonts w:ascii="Arial;sans-serif" w:hAnsi="Arial;sans-serif"/>
          <w:b/>
          <w:color w:val="000000"/>
          <w:sz w:val="19"/>
        </w:rPr>
      </w:pPr>
      <w:r>
        <w:rPr>
          <w:rFonts w:ascii="Arial;sans-serif" w:hAnsi="Arial;sans-serif"/>
          <w:b/>
          <w:color w:val="000000"/>
          <w:sz w:val="19"/>
        </w:rPr>
        <w:t>Financing Activity</w:t>
      </w:r>
    </w:p>
    <w:p>
      <w:pPr>
        <w:pStyle w:val="TextBody"/>
        <w:bidi w:val="0"/>
        <w:spacing w:lineRule="auto" w:line="288" w:before="0" w:after="0"/>
        <w:ind w:left="0" w:right="0" w:hanging="360"/>
        <w:jc w:val="both"/>
        <w:rPr/>
      </w:pPr>
      <w:r>
        <w:rPr>
          <w:color w:val="000000"/>
        </w:rPr>
        <w:t>•</w:t>
      </w:r>
      <w:r>
        <w:rPr>
          <w:rFonts w:ascii="Arial;sans-serif" w:hAnsi="Arial;sans-serif"/>
          <w:b w:val="false"/>
          <w:color w:val="262626"/>
          <w:sz w:val="19"/>
        </w:rPr>
        <w:t>On April 14, 2026, the company amended and restated the $1.25 billion revolving credit facility, increasing the borrowing capacity to $1.4 billion, reducing the SOFR spread to 72.5 basis points, and extending the maturity date to April 12, 2030, plus two optional six-month extensions.</w:t>
      </w:r>
    </w:p>
    <w:p>
      <w:pPr>
        <w:pStyle w:val="TextBody"/>
        <w:bidi w:val="0"/>
        <w:spacing w:lineRule="auto" w:line="288" w:before="0" w:after="160"/>
        <w:ind w:left="0" w:right="0" w:hanging="360"/>
        <w:jc w:val="both"/>
        <w:rPr/>
      </w:pPr>
      <w:r>
        <w:rPr>
          <w:color w:val="000000"/>
        </w:rPr>
        <w:t>•</w:t>
      </w:r>
      <w:r>
        <w:rPr>
          <w:rFonts w:ascii="Arial;sans-serif" w:hAnsi="Arial;sans-serif"/>
          <w:b w:val="false"/>
          <w:color w:val="262626"/>
          <w:sz w:val="19"/>
        </w:rPr>
        <w:t>During the second quarter, the company issued 493,374 common shares under its at-the-market (ATM) equity offering program at a weighted average price of $123.92 per share, generating gross proceeds of $61.1 million</w:t>
      </w:r>
      <w:r>
        <w:rPr>
          <w:rFonts w:ascii="Aptos;sans-serif" w:hAnsi="Aptos;sans-serif"/>
          <w:b w:val="false"/>
          <w:color w:val="262626"/>
          <w:sz w:val="18"/>
        </w:rPr>
        <w:t>.</w:t>
      </w:r>
    </w:p>
    <w:p>
      <w:pPr>
        <w:pStyle w:val="TextBody"/>
        <w:bidi w:val="0"/>
        <w:spacing w:lineRule="auto" w:line="288" w:before="0" w:after="240"/>
        <w:jc w:val="both"/>
        <w:rPr>
          <w:rFonts w:ascii="Arial;sans-serif" w:hAnsi="Arial;sans-serif"/>
          <w:b/>
          <w:color w:val="000000"/>
          <w:sz w:val="19"/>
        </w:rPr>
      </w:pPr>
      <w:r>
        <w:rPr>
          <w:rFonts w:ascii="Arial;sans-serif" w:hAnsi="Arial;sans-serif"/>
          <w:b/>
          <w:color w:val="000000"/>
          <w:sz w:val="19"/>
        </w:rPr>
        <w:t>Regular Quarterly Dividends</w:t>
      </w:r>
    </w:p>
    <w:p>
      <w:pPr>
        <w:pStyle w:val="TextBody"/>
        <w:bidi w:val="0"/>
        <w:spacing w:lineRule="auto" w:line="288" w:before="0" w:after="160"/>
        <w:jc w:val="both"/>
        <w:rPr>
          <w:rFonts w:ascii="Arial;sans-serif" w:hAnsi="Arial;sans-serif"/>
          <w:b w:val="false"/>
          <w:color w:val="262626"/>
          <w:sz w:val="19"/>
        </w:rPr>
      </w:pPr>
      <w:r>
        <w:rPr>
          <w:rFonts w:ascii="Arial;sans-serif" w:hAnsi="Arial;sans-serif"/>
          <w:b w:val="false"/>
          <w:color w:val="262626"/>
          <w:sz w:val="19"/>
        </w:rPr>
        <w:t>Federal Realty announced today that its Board of Trustees increased the regular quarterly cash dividend to $1.16 per common share, resulting in an indicated annual rate of $4.64 per common share. The regular common dividend will be payable on October 15, 2026 to common shareholders of record as of October 1, 2026. This increase represents the 59th consecutive year that Federal Realty has increased its common dividend, the longest record of consecutive annual dividend increases in the REIT sector.</w:t>
      </w:r>
    </w:p>
    <w:p>
      <w:pPr>
        <w:pStyle w:val="TextBody"/>
        <w:bidi w:val="0"/>
        <w:spacing w:lineRule="auto" w:line="288" w:before="0" w:after="160"/>
        <w:jc w:val="both"/>
        <w:rPr>
          <w:rFonts w:ascii="Arial;sans-serif" w:hAnsi="Arial;sans-serif"/>
          <w:b w:val="false"/>
          <w:color w:val="262626"/>
          <w:sz w:val="19"/>
        </w:rPr>
      </w:pPr>
      <w:r>
        <w:rPr>
          <w:rFonts w:ascii="Arial;sans-serif" w:hAnsi="Arial;sans-serif"/>
          <w:b w:val="false"/>
          <w:color w:val="262626"/>
          <w:sz w:val="19"/>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October 15, 2026 to shareholders of record as of October 1, 2026.</w:t>
      </w:r>
    </w:p>
    <w:p>
      <w:pPr>
        <w:pStyle w:val="TextBody"/>
        <w:bidi w:val="0"/>
        <w:spacing w:lineRule="auto" w:line="288" w:before="0" w:after="240"/>
        <w:jc w:val="both"/>
        <w:rPr>
          <w:rFonts w:ascii="Arial;sans-serif" w:hAnsi="Arial;sans-serif"/>
          <w:b/>
          <w:color w:val="000000"/>
          <w:sz w:val="19"/>
        </w:rPr>
      </w:pPr>
      <w:r>
        <w:rPr>
          <w:rFonts w:ascii="Arial;sans-serif" w:hAnsi="Arial;sans-serif"/>
          <w:b/>
          <w:color w:val="000000"/>
          <w:sz w:val="19"/>
        </w:rPr>
        <w:t>2026 Guidance</w:t>
      </w:r>
    </w:p>
    <w:p>
      <w:pPr>
        <w:pStyle w:val="TextBody"/>
        <w:bidi w:val="0"/>
        <w:spacing w:lineRule="auto" w:line="288" w:before="0" w:after="240"/>
        <w:jc w:val="both"/>
        <w:rPr/>
      </w:pPr>
      <w:r>
        <w:rPr>
          <w:rFonts w:ascii="Arial;sans-serif" w:hAnsi="Arial;sans-serif"/>
          <w:b w:val="false"/>
          <w:color w:val="000000"/>
          <w:sz w:val="19"/>
        </w:rPr>
        <w:t>Federal Realty has raised and tightened its 2026 earnings per diluted share, Nareit FFO, and Core FFO guidance, as summarized in the table below:</w:t>
      </w:r>
      <w:r>
        <w:rPr>
          <w:color w:val="000000"/>
        </w:rPr>
        <w:t xml:space="preserve"> </w:t>
      </w:r>
    </w:p>
    <w:tbl>
      <w:tblPr>
        <w:tblW w:w="9237" w:type="dxa"/>
        <w:jc w:val="left"/>
        <w:tblInd w:w="0" w:type="dxa"/>
        <w:tblLayout w:type="fixed"/>
        <w:tblCellMar>
          <w:top w:w="28" w:type="dxa"/>
          <w:left w:w="28" w:type="dxa"/>
          <w:bottom w:w="28" w:type="dxa"/>
          <w:right w:w="28" w:type="dxa"/>
        </w:tblCellMar>
      </w:tblPr>
      <w:tblGrid>
        <w:gridCol w:w="2063"/>
        <w:gridCol w:w="1812"/>
        <w:gridCol w:w="1824"/>
        <w:gridCol w:w="594"/>
        <w:gridCol w:w="594"/>
        <w:gridCol w:w="596"/>
        <w:gridCol w:w="513"/>
        <w:gridCol w:w="513"/>
        <w:gridCol w:w="728"/>
      </w:tblGrid>
      <w:tr>
        <w:trPr/>
        <w:tc>
          <w:tcPr>
            <w:tcW w:w="2063"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u w:val="single"/>
              </w:rPr>
            </w:pPr>
            <w:r>
              <w:rPr>
                <w:rFonts w:ascii="Arial;sans-serif" w:hAnsi="Arial;sans-serif"/>
                <w:b/>
                <w:color w:val="000000"/>
                <w:sz w:val="19"/>
                <w:u w:val="single"/>
              </w:rPr>
              <w:t>Full Year 2026 Guidance</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u w:val="single"/>
              </w:rPr>
            </w:pPr>
            <w:r>
              <w:rPr>
                <w:rFonts w:ascii="Arial;sans-serif" w:hAnsi="Arial;sans-serif"/>
                <w:b/>
                <w:color w:val="000000"/>
                <w:sz w:val="19"/>
                <w:u w:val="single"/>
              </w:rPr>
              <w:t>Revised Guidance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u w:val="single"/>
              </w:rPr>
            </w:pPr>
            <w:r>
              <w:rPr>
                <w:rFonts w:ascii="Arial;sans-serif" w:hAnsi="Arial;sans-serif"/>
                <w:b/>
                <w:color w:val="000000"/>
                <w:sz w:val="19"/>
                <w:u w:val="single"/>
              </w:rPr>
              <w:t>Prior Guidance</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available for common shareholders per diluted share</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$4.22 to $4.30</w:t>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$3.94 to $4.03</w:t>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Nareit FFO per diluted share</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$7.48 to $7.56</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$7.46 to $7.55</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Core FFO per diluted share</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$7.48 to $7.56</w:t>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$7.46 to $7.55</w:t>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Comparable Property POI Growth</w:t>
            </w:r>
            <w:r>
              <w:rPr>
                <w:rFonts w:ascii="Arial;sans-serif" w:hAnsi="Arial;sans-serif"/>
                <w:b w:val="false"/>
                <w:color w:val="000000"/>
                <w:sz w:val="12"/>
              </w:rPr>
              <w:t>1</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3.25% to 3.75%</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3.125% to 3.625%</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Core FFO growth over the prior year</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5.9% - 7.1%</w:t>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5.7% - 6.9%</w:t>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Arial;sans-serif" w:hAnsi="Arial;sans-serif"/>
          <w:b w:val="false"/>
          <w:color w:val="69696A"/>
          <w:sz w:val="12"/>
        </w:rPr>
        <w:t>1</w:t>
      </w:r>
      <w:r>
        <w:rPr>
          <w:rFonts w:ascii="Arial;sans-serif" w:hAnsi="Arial;sans-serif"/>
          <w:b w:val="false"/>
          <w:color w:val="69696A"/>
          <w:sz w:val="19"/>
        </w:rPr>
        <w:t>Adjusted Comparable Property POI growth estimated to be approximately 75 basis points higher than Comparable Property POI growth in 2026 (see appendix).</w:t>
      </w:r>
    </w:p>
    <w:p>
      <w:pPr>
        <w:pStyle w:val="TextBody"/>
        <w:bidi w:val="0"/>
        <w:spacing w:lineRule="auto" w:line="288" w:before="160" w:after="240"/>
        <w:jc w:val="both"/>
        <w:rPr>
          <w:rFonts w:ascii="Arial;sans-serif" w:hAnsi="Arial;sans-serif"/>
          <w:b/>
          <w:color w:val="000000"/>
          <w:sz w:val="19"/>
        </w:rPr>
      </w:pPr>
      <w:r>
        <w:rPr>
          <w:rFonts w:ascii="Arial;sans-serif" w:hAnsi="Arial;sans-serif"/>
          <w:b/>
          <w:color w:val="000000"/>
          <w:sz w:val="19"/>
        </w:rPr>
        <w:t>Conference Call Information</w:t>
      </w:r>
    </w:p>
    <w:p>
      <w:pPr>
        <w:pStyle w:val="TextBody"/>
        <w:bidi w:val="0"/>
        <w:spacing w:lineRule="auto" w:line="288" w:before="0" w:after="160"/>
        <w:jc w:val="left"/>
        <w:rPr/>
      </w:pPr>
      <w:r>
        <w:rPr>
          <w:rFonts w:ascii="Arial;sans-serif" w:hAnsi="Arial;sans-serif"/>
          <w:b w:val="false"/>
          <w:color w:val="262626"/>
          <w:sz w:val="19"/>
        </w:rPr>
        <w:t xml:space="preserve">Federal Realty’s management team will present an in-depth discussion of Federal Realty’s operating performance on its </w:t>
      </w:r>
      <w:r>
        <w:rPr>
          <w:rFonts w:ascii="Arial;sans-serif" w:hAnsi="Arial;sans-serif"/>
          <w:b w:val="false"/>
          <w:color w:val="000000"/>
          <w:sz w:val="19"/>
        </w:rPr>
        <w:t>second quarter 2026 earnings conference call, which is scheduled for Friday, July 31, 2026 at 9:00 AM ET. To participate, please call 833-821-4548 or 412-652-1258 prior to the call start time. The teleconference can also be accessed via a live webcast at www.federalrealty.com in the Investors section. A replay of the webcast will be available on Federal Realty’s website at www.federalrealty.com. A telephonic replay of the conference call will also be available through August 14, 2026 by dialing 844-512-2921 or 412-317-6671; Passcode: 10209822.</w:t>
      </w:r>
    </w:p>
    <w:p>
      <w:pPr>
        <w:pStyle w:val="TextBody"/>
        <w:bidi w:val="0"/>
        <w:spacing w:lineRule="auto" w:line="288" w:before="0" w:after="160"/>
        <w:jc w:val="both"/>
        <w:rPr>
          <w:rFonts w:ascii="Arial;sans-serif" w:hAnsi="Arial;sans-serif"/>
          <w:b/>
          <w:color w:val="000000"/>
          <w:sz w:val="19"/>
        </w:rPr>
      </w:pPr>
      <w:r>
        <w:rPr>
          <w:rFonts w:ascii="Arial;sans-serif" w:hAnsi="Arial;sans-serif"/>
          <w:b/>
          <w:color w:val="000000"/>
          <w:sz w:val="19"/>
        </w:rPr>
        <w:t>About Federal Realty</w:t>
      </w:r>
    </w:p>
    <w:p>
      <w:pPr>
        <w:pStyle w:val="TextBody"/>
        <w:bidi w:val="0"/>
        <w:spacing w:lineRule="auto" w:line="319" w:before="0" w:after="160"/>
        <w:jc w:val="left"/>
        <w:rPr>
          <w:rFonts w:ascii="Arial;sans-serif" w:hAnsi="Arial;sans-serif"/>
          <w:b w:val="false"/>
          <w:color w:val="000000"/>
          <w:sz w:val="19"/>
        </w:rPr>
      </w:pPr>
      <w:r>
        <w:rPr>
          <w:rFonts w:ascii="Arial;sans-serif" w:hAnsi="Arial;sans-serif"/>
          <w:b w:val="false"/>
          <w:color w:val="000000"/>
          <w:sz w:val="19"/>
        </w:rPr>
        <w:t>Federal Realty is a recognized leader in the ownership, operation and redevelopment of high-quality retail-based properties located primarily in major coastal markets and select underserved regions with strong economic and demographic fundamentals. Founded in 1962, Federal Realty's mission is to deliver long-term, sustainable growth through investing in communities where retail demand exceeds supply. This includes a portfolio of open-air shopping centers and mixed-use destinations—such as Santana Row, Pike &amp; Rose, and Assembly Row—which together reflect the company's ability to create distinctive, high-performing environments that serve as vibrant destinations for their communities. Federal Realty's 103 properties include approximately 3,700 tenants in 28.8 million commercial square feet, and approximately 2,500 residential units.</w:t>
      </w:r>
    </w:p>
    <w:p>
      <w:pPr>
        <w:pStyle w:val="TextBody"/>
        <w:bidi w:val="0"/>
        <w:spacing w:before="0" w:after="0"/>
        <w:jc w:val="right"/>
        <w:rPr/>
      </w:pPr>
      <w:r>
        <w:rPr/>
        <w:drawing>
          <wp:inline distT="0" distB="0" distL="0" distR="0">
            <wp:extent cx="895350" cy="3524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19" w:before="0" w:after="160"/>
        <w:jc w:val="left"/>
        <w:rPr>
          <w:rFonts w:ascii="Arial;sans-serif" w:hAnsi="Arial;sans-serif"/>
          <w:b w:val="false"/>
          <w:color w:val="000000"/>
          <w:sz w:val="19"/>
        </w:rPr>
      </w:pPr>
      <w:r>
        <w:rPr>
          <w:rFonts w:ascii="Arial;sans-serif" w:hAnsi="Arial;sans-serif"/>
          <w:b w:val="false"/>
          <w:color w:val="000000"/>
          <w:sz w:val="19"/>
        </w:rPr>
        <w:t>Federal Realty has increased its quarterly dividends to its shareholders for 59 consecutive years, the longest record in the REIT industry. The company is an S&amp;P 500 index member and its shares are traded on the NYSE under the symbol FRT. For additional information about Federal Realty and its properties, visit www.federalrealty.com.</w:t>
      </w:r>
    </w:p>
    <w:p>
      <w:pPr>
        <w:pStyle w:val="TextBody"/>
        <w:bidi w:val="0"/>
        <w:spacing w:lineRule="auto" w:line="288" w:before="0" w:after="160"/>
        <w:jc w:val="both"/>
        <w:rPr>
          <w:rFonts w:ascii="Arial;sans-serif" w:hAnsi="Arial;sans-serif"/>
          <w:b/>
          <w:color w:val="000000"/>
          <w:sz w:val="19"/>
        </w:rPr>
      </w:pPr>
      <w:r>
        <w:rPr>
          <w:rFonts w:ascii="Arial;sans-serif" w:hAnsi="Arial;sans-serif"/>
          <w:b/>
          <w:color w:val="000000"/>
          <w:sz w:val="19"/>
        </w:rPr>
        <w:t>Safe Harbor Language</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2026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associated with general economic conditions, including inflation, tariffs, and local economic conditions in our geographic markets;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160"/>
        <w:jc w:val="both"/>
        <w:rPr/>
      </w:pPr>
      <w:r>
        <w:rPr/>
      </w:r>
    </w:p>
    <w:p>
      <w:pPr>
        <w:pStyle w:val="TextBody"/>
        <w:bidi w:val="0"/>
        <w:spacing w:lineRule="auto" w:line="268" w:before="0" w:after="0"/>
        <w:jc w:val="left"/>
        <w:rPr>
          <w:rFonts w:ascii="Arial;sans-serif" w:hAnsi="Arial;sans-serif"/>
          <w:b w:val="false"/>
          <w:i/>
          <w:color w:val="000000"/>
          <w:sz w:val="16"/>
        </w:rPr>
      </w:pPr>
      <w:r>
        <w:rPr>
          <w:rFonts w:ascii="Arial;sans-serif" w:hAnsi="Arial;sans-serif"/>
          <w:b w:val="false"/>
          <w:i/>
          <w:color w:val="000000"/>
          <w:sz w:val="16"/>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2026 and subsequent quarterly reports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42"/>
        <w:gridCol w:w="1421"/>
        <w:gridCol w:w="143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4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Income Statements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TRUST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BASIC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86,300 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879"/>
        <w:gridCol w:w="1948"/>
        <w:gridCol w:w="1919"/>
        <w:gridCol w:w="222"/>
        <w:gridCol w:w="1142"/>
        <w:gridCol w:w="114"/>
        <w:gridCol w:w="114"/>
        <w:gridCol w:w="114"/>
        <w:gridCol w:w="114"/>
        <w:gridCol w:w="222"/>
        <w:gridCol w:w="1142"/>
        <w:gridCol w:w="114"/>
        <w:gridCol w:w="161"/>
      </w:tblGrid>
      <w:tr>
        <w:trPr/>
        <w:tc>
          <w:tcPr>
            <w:tcW w:w="287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Balance Sheets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at cost</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(including $1,901,302 and $1,832,190 of consolidated variable interest entities, respectively)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11,348,512 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11,265,167 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Construction-in-progress (including $37,695 and $28,418 of consolidated variable interest entities,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11,678,315 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11,639,902 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 (including $487,052 and $468,725 of consolidated variable interest entities,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(3,444,324)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(3,351,881)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 estate</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8,233,991 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8,288,021 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receivable,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 of use assets,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9,059,119 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9,130,460 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Mortgages payable, net (including $190,863 and $194,176 of consolidated variable interest entities, respectively)</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1,057,331 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2,966,685 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3,364,010 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 payable</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5,441,428 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5,629,819 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shares, authorized 15,000,000 shares, $0.01 par:</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 Series C Cumulative Redeemable Preferred Shares, (stated at liquidation preference $25,000 per share), 6,000 shares issued and outstanding</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Shares, (stated at liquidation preference $25 per share), 392,878 shares issued and outstanding</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$0.01 par, 200,000,000 shares authorized, 86,883,595 and 86,266,009 shares issued and outstanding,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4,374,872 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4,310,365 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dividends in excess of net income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(1,179,380)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(1,224,372)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 of the Trust</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3,364,530 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3,248,731 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3,434,572 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3,318,986 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9,059,119 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9,130,460 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52"/>
        <w:gridCol w:w="1185"/>
        <w:gridCol w:w="119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45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4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Funds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4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Nareit Funds from Operations available for common shareholders (Nareit FFO)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initial direct costs of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shares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downREIT operating partnership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unvested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diluted (2)(3)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 per diluted share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Core Funds from Operations (Core FFO)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429" w:type="dxa"/>
            <w:gridSpan w:val="16"/>
            <w:tcBorders/>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market tax credit transaction income,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of prior period rents deferred during COVID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 per diluted share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(1)See Glossary of Terms.</w:t>
      </w:r>
    </w:p>
    <w:p>
      <w:pPr>
        <w:pStyle w:val="TextBody"/>
        <w:bidi w:val="0"/>
        <w:spacing w:lineRule="auto" w:line="288" w:before="0" w:after="0"/>
        <w:ind w:left="0" w:right="0" w:hanging="720"/>
        <w:jc w:val="left"/>
        <w:rPr/>
      </w:pPr>
      <w:r>
        <w:rPr>
          <w:rFonts w:ascii="Times New Roman;serif" w:hAnsi="Times New Roman;serif"/>
          <w:b w:val="false"/>
          <w:color w:val="000000"/>
          <w:sz w:val="18"/>
        </w:rPr>
        <w:t>(2)For the three and six months</w:t>
      </w:r>
      <w:r>
        <w:rPr>
          <w:color w:val="000000"/>
        </w:rPr>
        <w:t xml:space="preserve"> </w:t>
      </w:r>
      <w:r>
        <w:rPr>
          <w:rFonts w:ascii="Times New Roman;serif" w:hAnsi="Times New Roman;serif"/>
          <w:b w:val="false"/>
          <w:color w:val="000000"/>
          <w:sz w:val="18"/>
        </w:rPr>
        <w:t xml:space="preserve">ended June 30, 2026 and 2025, dividends on our Series 1 preferred stock were not deducted in the calculation of FFO available to common shareholders, as the related shares were dilutive and are included in "weighted average number of common shares, diluted." </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(3)The weighted average common shares used to compute Nareit and Core FFO per diluted common share includes downREIT operating partnership units that were excluded from the computation of diluted EPS for the three months ended June 30, 2026. Conversion of these operating partnership units is dilutive in the computation of Nareit and Core FFO per diluted share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66"/>
        <w:gridCol w:w="1129"/>
        <w:gridCol w:w="113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5"/>
      </w:tblGrid>
      <w:tr>
        <w:trPr/>
        <w:tc>
          <w:tcPr>
            <w:tcW w:w="156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50"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Supplemental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ratios)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EBITDA for Real Estate (EBITDAre)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of EBITDAre of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EBITDAre to combined fixed charges and preferred share dividends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Dividends and Payout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 common 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payout ratio as a percentage of Nareit 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Summary of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redevelopment and expansions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improvements and incentives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(non-cash)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Noncontrolling Interests Supplemental Information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(1)See Glossary of Terms.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(2)Fixed charges consist of interest on borrowed funds and finance leases (including capitalized interest), amortization of debt discount/premium and debt costs, and the portion of rent expense representing an interest factor.</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(3)Amounts reflect the components of "net income attributable to noncontrolling interests," but excludes "income attributable to downREIT operating partnership units."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8535" w:type="dxa"/>
        <w:jc w:val="center"/>
        <w:tblInd w:w="0" w:type="dxa"/>
        <w:tblLayout w:type="fixed"/>
        <w:tblCellMar>
          <w:top w:w="28" w:type="dxa"/>
          <w:left w:w="28" w:type="dxa"/>
          <w:bottom w:w="28" w:type="dxa"/>
          <w:right w:w="28" w:type="dxa"/>
        </w:tblCellMar>
      </w:tblPr>
      <w:tblGrid>
        <w:gridCol w:w="540"/>
        <w:gridCol w:w="476"/>
        <w:gridCol w:w="476"/>
        <w:gridCol w:w="476"/>
        <w:gridCol w:w="476"/>
        <w:gridCol w:w="48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Rental Income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Components of Rental Income (1)</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Minimum rents (2)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Residential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reimbursements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Percentage rents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lease related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Collectibility related impacts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rental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658,554 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604,771 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Notes:</w:t>
      </w:r>
    </w:p>
    <w:p>
      <w:pPr>
        <w:pStyle w:val="TextBody"/>
        <w:bidi w:val="0"/>
        <w:spacing w:lineRule="auto" w:line="288" w:before="60" w:after="283"/>
        <w:ind w:left="0" w:right="0" w:hanging="720"/>
        <w:jc w:val="left"/>
        <w:rPr>
          <w:rFonts w:ascii="Times New Roman;serif" w:hAnsi="Times New Roman;serif"/>
          <w:b w:val="false"/>
          <w:color w:val="000000"/>
          <w:sz w:val="19"/>
        </w:rPr>
      </w:pPr>
      <w:r>
        <w:rPr>
          <w:rFonts w:ascii="Times New Roman;serif" w:hAnsi="Times New Roman;serif"/>
          <w:b w:val="false"/>
          <w:color w:val="000000"/>
          <w:sz w:val="19"/>
        </w:rPr>
        <w:t>(1)All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pStyle w:val="TextBody"/>
        <w:bidi w:val="0"/>
        <w:spacing w:lineRule="auto" w:line="288" w:before="60" w:after="283"/>
        <w:ind w:left="0" w:right="0" w:hanging="720"/>
        <w:jc w:val="left"/>
        <w:rPr>
          <w:rFonts w:ascii="Times New Roman;serif" w:hAnsi="Times New Roman;serif"/>
          <w:b w:val="false"/>
          <w:color w:val="000000"/>
          <w:sz w:val="19"/>
        </w:rPr>
      </w:pPr>
      <w:r>
        <w:rPr>
          <w:rFonts w:ascii="Times New Roman;serif" w:hAnsi="Times New Roman;serif"/>
          <w:b w:val="false"/>
          <w:color w:val="000000"/>
          <w:sz w:val="19"/>
        </w:rPr>
        <w:t>(2)Minimum rents include the following:</w:t>
      </w:r>
    </w:p>
    <w:tbl>
      <w:tblPr>
        <w:tblW w:w="7106" w:type="dxa"/>
        <w:jc w:val="center"/>
        <w:tblInd w:w="0" w:type="dxa"/>
        <w:tblLayout w:type="fixed"/>
        <w:tblCellMar>
          <w:top w:w="28" w:type="dxa"/>
          <w:left w:w="28" w:type="dxa"/>
          <w:bottom w:w="28" w:type="dxa"/>
          <w:right w:w="28" w:type="dxa"/>
        </w:tblCellMar>
      </w:tblPr>
      <w:tblGrid>
        <w:gridCol w:w="124"/>
        <w:gridCol w:w="109"/>
        <w:gridCol w:w="109"/>
        <w:gridCol w:w="436"/>
        <w:gridCol w:w="436"/>
        <w:gridCol w:w="436"/>
        <w:gridCol w:w="436"/>
        <w:gridCol w:w="436"/>
        <w:gridCol w:w="444"/>
        <w:gridCol w:w="211"/>
        <w:gridCol w:w="406"/>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Straight-line rents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in-place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9"/>
        </w:rPr>
        <w:t xml:space="preserve">(3)Includes lease termination fees of $4.6 million and $1.1 million for the three months ended June 30, 2026 and 2025, respectively, and $8.7 million and $2.4 million for the </w:t>
      </w:r>
      <w:r>
        <w:rPr>
          <w:rFonts w:ascii="Times New Roman;serif" w:hAnsi="Times New Roman;serif"/>
          <w:b w:val="false"/>
          <w:color w:val="000000"/>
          <w:sz w:val="18"/>
        </w:rPr>
        <w:t>six</w:t>
      </w:r>
      <w:r>
        <w:rPr>
          <w:color w:val="000000"/>
        </w:rPr>
        <w:t xml:space="preserve"> </w:t>
      </w:r>
      <w:r>
        <w:rPr>
          <w:rFonts w:ascii="Times New Roman;serif" w:hAnsi="Times New Roman;serif"/>
          <w:b w:val="false"/>
          <w:color w:val="000000"/>
          <w:sz w:val="19"/>
        </w:rPr>
        <w:t>months ended June 30, 2026 and 2025, respectively.</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35"/>
        <w:gridCol w:w="1486"/>
        <w:gridCol w:w="1495"/>
        <w:gridCol w:w="233"/>
        <w:gridCol w:w="233"/>
        <w:gridCol w:w="233"/>
        <w:gridCol w:w="233"/>
        <w:gridCol w:w="233"/>
        <w:gridCol w:w="233"/>
        <w:gridCol w:w="233"/>
        <w:gridCol w:w="202"/>
        <w:gridCol w:w="759"/>
        <w:gridCol w:w="109"/>
        <w:gridCol w:w="109"/>
        <w:gridCol w:w="109"/>
        <w:gridCol w:w="109"/>
        <w:gridCol w:w="202"/>
        <w:gridCol w:w="759"/>
        <w:gridCol w:w="109"/>
        <w:gridCol w:w="235"/>
        <w:gridCol w:w="235"/>
        <w:gridCol w:w="236"/>
        <w:gridCol w:w="109"/>
        <w:gridCol w:w="109"/>
        <w:gridCol w:w="109"/>
        <w:gridCol w:w="158"/>
      </w:tblGrid>
      <w:tr>
        <w:trPr/>
        <w:tc>
          <w:tcPr>
            <w:tcW w:w="1935"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Comparable Property Information</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47" w:type="dxa"/>
            <w:gridSpan w:val="1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Q2 include: Bala Cynwyd on City Avenue residential - Blayr, Friendship Center, Grossmont Center, Pike &amp; Rose Phase IV, Santana West, Willow Grove Shopping Center, and all properties acquired, disposed of, or not consolidated from Q2 2025 to Q2 2026. Comparable Property property operating income ("Comparable Property POI") and Adjusted Comparable Property POI are non-GAAP measures used by management in evaluating the operating performance of our properties period over period. Adjusted Comparable Property POI excludes the impact of straight-line rents and amortization of in-place leases from Comparable Property POI.</w:t>
            </w:r>
          </w:p>
        </w:tc>
        <w:tc>
          <w:tcPr>
            <w:tcW w:w="3658" w:type="dxa"/>
            <w:gridSpan w:val="16"/>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47" w:type="dxa"/>
            <w:gridSpan w:val="1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Reconciliation of GAAP operating income to Comparable Property POI and Adjusted Comparable Property POI</w:t>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 </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market tax credit transaction income</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operating income (POI)</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Non-comparable POI - acquisitions/dispositions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Non-comparable POI - redevelopment, development &amp; other</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Comparable Property POI</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Straight-line rents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Amortization of in-place leases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Comparable Property POI</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Additional information regarding the components of Comparable Property POI</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rents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reimbursements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Collectibility related impacts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revenue</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expenses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expenses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Comparable Property POI</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Adjusted Comparable Property POI </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Comparable Property - Summary of Capital Expenditures (2)</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Redevelopment and tenant improvements and incentives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Maintenance capital expenditures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Comparable Property - Occupancy Statistics (2)</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GLA - comparable commercial properties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 - comparable commercial properties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 - comparable commercial properties</w:t>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w:t>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(1)Includes lease termination fees of $4.2 million and $1.1 million for the three months ended June 30, 2026 and 2025, respectively.</w:t>
      </w:r>
    </w:p>
    <w:p>
      <w:pPr>
        <w:pStyle w:val="TextBody"/>
        <w:bidi w:val="0"/>
        <w:spacing w:lineRule="auto" w:line="288" w:before="0" w:after="0"/>
        <w:ind w:left="0" w:right="0" w:hanging="450"/>
        <w:jc w:val="left"/>
        <w:rPr/>
      </w:pPr>
      <w:r>
        <w:rPr>
          <w:rFonts w:ascii="Times New Roman;serif" w:hAnsi="Times New Roman;serif"/>
          <w:b w:val="false"/>
          <w:color w:val="000000"/>
          <w:sz w:val="18"/>
        </w:rPr>
        <w:t xml:space="preserve">(2)See page </w:t>
      </w:r>
      <w:hyperlink w:anchor="i3fa7d766638e4af6a5b4df60aa0386d6_19">
        <w:r>
          <w:rPr>
            <w:rStyle w:val="InternetLink"/>
            <w:rFonts w:ascii="Times New Roman;serif" w:hAnsi="Times New Roman;serif"/>
            <w:b w:val="false"/>
            <w:strike w:val="false"/>
            <w:dstrike w:val="false"/>
            <w:color w:val="000000"/>
            <w:sz w:val="18"/>
            <w:u w:val="none"/>
            <w:effect w:val="none"/>
          </w:rPr>
          <w:t>10</w:t>
        </w:r>
      </w:hyperlink>
      <w:r>
        <w:rPr>
          <w:rFonts w:ascii="Times New Roman;serif" w:hAnsi="Times New Roman;serif"/>
          <w:b w:val="false"/>
          <w:color w:val="000000"/>
          <w:sz w:val="18"/>
        </w:rPr>
        <w:t xml:space="preserve"> for "Summary of Capital Expenditures" and page </w:t>
      </w:r>
      <w:hyperlink w:anchor="i3fa7d766638e4af6a5b4df60aa0386d6_58">
        <w:r>
          <w:rPr>
            <w:rStyle w:val="InternetLink"/>
            <w:rFonts w:ascii="Times New Roman;serif" w:hAnsi="Times New Roman;serif"/>
            <w:b w:val="false"/>
            <w:strike w:val="false"/>
            <w:dstrike w:val="false"/>
            <w:color w:val="000000"/>
            <w:sz w:val="18"/>
            <w:u w:val="none"/>
            <w:effect w:val="none"/>
          </w:rPr>
          <w:t>25</w:t>
        </w:r>
      </w:hyperlink>
      <w:r>
        <w:rPr>
          <w:rFonts w:ascii="Times New Roman;serif" w:hAnsi="Times New Roman;serif"/>
          <w:b w:val="false"/>
          <w:color w:val="000000"/>
          <w:sz w:val="18"/>
        </w:rPr>
        <w:t xml:space="preserve"> for portfolio occupancy statistics for our entire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0"/>
        <w:gridCol w:w="154"/>
        <w:gridCol w:w="154"/>
        <w:gridCol w:w="1722"/>
        <w:gridCol w:w="1626"/>
        <w:gridCol w:w="1630"/>
        <w:gridCol w:w="141"/>
        <w:gridCol w:w="141"/>
        <w:gridCol w:w="141"/>
        <w:gridCol w:w="274"/>
        <w:gridCol w:w="1409"/>
        <w:gridCol w:w="141"/>
        <w:gridCol w:w="141"/>
        <w:gridCol w:w="141"/>
        <w:gridCol w:w="141"/>
        <w:gridCol w:w="298"/>
        <w:gridCol w:w="1531"/>
        <w:gridCol w:w="230"/>
      </w:tblGrid>
      <w:tr>
        <w:trPr/>
        <w:tc>
          <w:tcPr>
            <w:tcW w:w="1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Market Data, Debt Metrics, and Senior Notes and Debentures Covenants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r>
      <w:tr>
        <w:trPr/>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54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 and downREIT operating partnership units (1)</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86,790 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price per common share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market capitalization including downREIT operating partnership units</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10,789,890 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8,244,182 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shares outstanding</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Liquidation price per Series C preferred share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equity market capitalization</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1 preferred shares outstanding (2)</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Liquidation price per Series 1 preferred share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1 preferred equity market capitalization</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9,825 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market capitalization</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10,949,715 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8,404,007 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4,767,912 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4,487,507 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(177,003)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debt (3)</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4,660,666 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4,310,504 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 capitalization</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15,610,381 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12,714,511 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and Liquidity Ratio</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debt to market capitalization at market price per common share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Covenants (4)</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Covenant Threshold (5)</w:t>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Assets</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60%</w:t>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Debt to Total Assets</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40%</w:t>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to Annual Debt Service Charge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3.9x</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&gt; 1.5x</w:t>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Unencumbered Assets to Unsecured Debt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&gt; 150%</w:t>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60" w:after="283"/>
        <w:ind w:left="0" w:right="0" w:hanging="720"/>
        <w:jc w:val="left"/>
        <w:rPr/>
      </w:pPr>
      <w:r>
        <w:rPr>
          <w:rFonts w:ascii="Times New Roman;serif" w:hAnsi="Times New Roman;serif"/>
          <w:b w:val="false"/>
          <w:color w:val="000000"/>
          <w:sz w:val="18"/>
        </w:rPr>
        <w:t>(1)Amounts include 526,408 and 529,207</w:t>
      </w:r>
      <w:r>
        <w:rPr>
          <w:color w:val="000000"/>
        </w:rPr>
        <w:t xml:space="preserve"> </w:t>
      </w:r>
      <w:r>
        <w:rPr>
          <w:rFonts w:ascii="Times New Roman;serif" w:hAnsi="Times New Roman;serif"/>
          <w:b w:val="false"/>
          <w:color w:val="000000"/>
          <w:sz w:val="18"/>
        </w:rPr>
        <w:t>downREIT operating partnership units outstanding at June 30, 2026 and 2025, respectively.</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(2)These shares, issued March 8, 2007, are unregistered.</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(3)Total net debt includes mortgages payable, notes payable, senior notes and debentures, net of premiums/discounts and debt issuance costs and net of cash and cash equivalents from our consolidated balance sheet.</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(4)The reference period for calculating these covenants is the most recent twelve months ended June 30, 2026.</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(5)For a detailed description of the senior unsecured notes covenants and definitions of the terms, please refer to our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8"/>
        <w:gridCol w:w="226"/>
        <w:gridCol w:w="226"/>
        <w:gridCol w:w="723"/>
        <w:gridCol w:w="697"/>
        <w:gridCol w:w="612"/>
        <w:gridCol w:w="437"/>
        <w:gridCol w:w="437"/>
        <w:gridCol w:w="439"/>
        <w:gridCol w:w="109"/>
        <w:gridCol w:w="109"/>
        <w:gridCol w:w="109"/>
        <w:gridCol w:w="417"/>
        <w:gridCol w:w="387"/>
        <w:gridCol w:w="389"/>
        <w:gridCol w:w="109"/>
        <w:gridCol w:w="109"/>
        <w:gridCol w:w="109"/>
        <w:gridCol w:w="196"/>
        <w:gridCol w:w="871"/>
        <w:gridCol w:w="109"/>
        <w:gridCol w:w="109"/>
        <w:gridCol w:w="109"/>
        <w:gridCol w:w="109"/>
        <w:gridCol w:w="163"/>
        <w:gridCol w:w="154"/>
        <w:gridCol w:w="149"/>
        <w:gridCol w:w="109"/>
        <w:gridCol w:w="109"/>
        <w:gridCol w:w="109"/>
        <w:gridCol w:w="320"/>
        <w:gridCol w:w="309"/>
        <w:gridCol w:w="309"/>
        <w:gridCol w:w="309"/>
        <w:gridCol w:w="309"/>
        <w:gridCol w:w="451"/>
      </w:tblGrid>
      <w:tr>
        <w:trPr/>
        <w:tc>
          <w:tcPr>
            <w:tcW w:w="2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Summary of Outstanding Debt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3"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effective rate (9)</w:t>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Mortgages payable (1)</w:t>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Bell Gardens (2)</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Row</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12/28/2026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Plaza El Segundo</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Grove at Shrewsbury (East)</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Azalea (4)</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10/30/2028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Brook 35</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Hoboken (24 Buildings)</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+ 1.95%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 Hoboken (10 Buildings) (7)</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 through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3.91% to 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mortgages payable, net</w:t>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4.37%</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 payable</w:t>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$750 million term loan (4)</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(4)(8)</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4/12/2030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$250 million term loan (4)</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1/31/2031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Various </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 through 2059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notes payable, net</w:t>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4.51%</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Senior notes and debentures</w:t>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Unsecured fixed rate</w:t>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7.48% debentures</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notes</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6.82% medium term notes</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5.375% notes</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exchangeable notes</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3.20% notes</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3.50% notes</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4.50% notes</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12/1/2044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3.625% notes</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senior notes and debentures,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4.07%</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rate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4.10%</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variable rate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4.60%</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405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4.22%</w:t>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w:t>
            </w:r>
          </w:p>
        </w:tc>
      </w:tr>
    </w:tbl>
    <w:p>
      <w:pPr>
        <w:pStyle w:val="TextBody"/>
        <w:bidi w:val="0"/>
        <w:spacing w:lineRule="auto" w:line="288" w:before="60" w:after="283"/>
        <w:jc w:val="left"/>
        <w:rPr>
          <w:rFonts w:ascii="Times New Roman;serif" w:hAnsi="Times New Roman;serif"/>
          <w:b w:val="false"/>
          <w:color w:val="000000"/>
          <w:sz w:val="17"/>
          <w:u w:val="single"/>
        </w:rPr>
      </w:pPr>
      <w:r>
        <w:rPr>
          <w:rFonts w:ascii="Times New Roman;serif" w:hAnsi="Times New Roman;serif"/>
          <w:b w:val="false"/>
          <w:color w:val="000000"/>
          <w:sz w:val="17"/>
          <w:u w:val="single"/>
        </w:rPr>
        <w:t>Notes:</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(1)Mortgages payable does not include our share of debt on our unconsolidated real estate partnerships. At June 30, 2026, our share of unconsolidated debt was approximately $61.8 million. At June 30, 2026, our noncontrolling interests' share of mortgages payable was $15.1 million.</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(2)On July 30, 2026, we repaid this mortgage loan, at par.</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(3)We have one one-year extension, at our option to extend the maturity date of this mortgage loan to December 28, 2027.</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(4)Our Azalea mortgage loan, revolving credit facility SOFR loans and our unsecured term loans bear interest at Daily Simple SOFR, as defined in the respective credit agreements, plus a spread, based on our current credit rating. The interest rate on $450.0 million of our $750.0 million term loan is fixed at a weighted average interest rate of 4.17% through March 1, 2028 through interest rate swap agreements.</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(5)We have two one-year extensions, at our option to extend the maturity date of this mortgage loan to October 30, 2030.</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(6)The interest rate on this mortgage loan is fixed at 3.67% through two interest rate swap agreements.</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(7)On July 1, 2026 we repaid $10.5 million of these mortgage loans related to six buildings, at par.</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(8)The maximum amount drawn under our revolving credit facility during the three and six months ended June 30, 2026 was $427.7 million and $699.5 million, respectively. The weighted average interest rate on borrowings under our credit facility, before amortization of debt fees, was 4.4% for both the three and six months ended June 30, 2026.</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(9)The weighted average effective interest rate includes the amortization of any debt issuance costs and discounts and premiums, if applicable, except as described in Note 10.</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(10)The weighted average effective interest rate excludes $1.1 million in quarterly financing fees and quarterly debt fee amortization on our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0"/>
        <w:gridCol w:w="300"/>
        <w:gridCol w:w="306"/>
        <w:gridCol w:w="354"/>
        <w:gridCol w:w="1038"/>
        <w:gridCol w:w="184"/>
        <w:gridCol w:w="109"/>
        <w:gridCol w:w="109"/>
        <w:gridCol w:w="109"/>
        <w:gridCol w:w="211"/>
        <w:gridCol w:w="976"/>
        <w:gridCol w:w="109"/>
        <w:gridCol w:w="109"/>
        <w:gridCol w:w="109"/>
        <w:gridCol w:w="109"/>
        <w:gridCol w:w="211"/>
        <w:gridCol w:w="976"/>
        <w:gridCol w:w="109"/>
        <w:gridCol w:w="109"/>
        <w:gridCol w:w="109"/>
        <w:gridCol w:w="109"/>
        <w:gridCol w:w="445"/>
        <w:gridCol w:w="334"/>
        <w:gridCol w:w="835"/>
        <w:gridCol w:w="109"/>
        <w:gridCol w:w="109"/>
        <w:gridCol w:w="109"/>
        <w:gridCol w:w="109"/>
        <w:gridCol w:w="109"/>
        <w:gridCol w:w="361"/>
        <w:gridCol w:w="346"/>
        <w:gridCol w:w="866"/>
        <w:gridCol w:w="109"/>
        <w:gridCol w:w="109"/>
        <w:gridCol w:w="160"/>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254"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951" w:type="dxa"/>
            <w:gridSpan w:val="6"/>
            <w:tcBorders/>
          </w:tcPr>
          <w:p>
            <w:pPr>
              <w:pStyle w:val="TableContents"/>
              <w:bidi w:val="0"/>
              <w:spacing w:before="0" w:after="283"/>
              <w:jc w:val="left"/>
              <w:rPr>
                <w:sz w:val="4"/>
                <w:szCs w:val="4"/>
              </w:rPr>
            </w:pPr>
            <w:r>
              <w:rPr>
                <w:sz w:val="4"/>
                <w:szCs w:val="4"/>
              </w:rPr>
            </w:r>
          </w:p>
        </w:tc>
      </w:tr>
      <w:tr>
        <w:trPr/>
        <w:tc>
          <w:tcPr>
            <w:tcW w:w="8254"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of Debt Maturities</w:t>
            </w:r>
          </w:p>
        </w:tc>
        <w:tc>
          <w:tcPr>
            <w:tcW w:w="1951" w:type="dxa"/>
            <w:gridSpan w:val="6"/>
            <w:tcBorders/>
          </w:tcPr>
          <w:p>
            <w:pPr>
              <w:pStyle w:val="TableContents"/>
              <w:bidi w:val="0"/>
              <w:spacing w:before="0" w:after="283"/>
              <w:jc w:val="left"/>
              <w:rPr>
                <w:sz w:val="4"/>
                <w:szCs w:val="4"/>
              </w:rPr>
            </w:pPr>
            <w:r>
              <w:rPr>
                <w:sz w:val="4"/>
                <w:szCs w:val="4"/>
              </w:rPr>
            </w:r>
          </w:p>
        </w:tc>
      </w:tr>
      <w:tr>
        <w:trPr/>
        <w:tc>
          <w:tcPr>
            <w:tcW w:w="8254"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951"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w:t>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Scheduled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Debt Maturing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Rate (5)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7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40" w:after="100"/>
        <w:jc w:val="left"/>
        <w:rPr>
          <w:rFonts w:ascii="Times New Roman;serif" w:hAnsi="Times New Roman;serif"/>
          <w:b w:val="false"/>
          <w:color w:val="000000"/>
          <w:sz w:val="18"/>
        </w:rPr>
      </w:pPr>
      <w:r>
        <w:rPr>
          <w:rFonts w:ascii="Times New Roman;serif" w:hAnsi="Times New Roman;serif"/>
          <w:b w:val="false"/>
          <w:color w:val="000000"/>
          <w:sz w:val="18"/>
        </w:rPr>
        <w:t>The above table assumes all extension options are exercised.</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(1)Our $200.0 mortgage loan secured by Bethesda Row matures on December 28, 2026 plus one one-year extension, at our option to December 28, 2027.</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(2)Our $750.0 million term loan matures on March 20, 2028, plus two one-year extensions at our option to March 20, 2030. Additionally, our $55.0 million mortgage loan secured by Azalea matures on October 30, 2028, plus two one-year extensions at our option to October 30, 2030.</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(3)Our $1.4 billion revolving credit facility matures on April 12, 2030, plus two six-month extensions at our option to April 12, 2031. As of June 30, 2026, there was $286.2 million outstanding under this facility.</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(4)The total debt maturities differ from the total reported on the consolidated balance sheet due to the debt issuance costs and unamortized net premium/discount on certain mortgage loans, notes payable, and senior notes as of June 30, 2026. The weighted average remaining term on our mortgages payable, notes payable, and senior notes and debentures is approximately 5 years.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xml:space="preserve">(5)The weighted average rate reflects the weighted average interest rate, as of June 30, 2026, on debt maturing in the respective year. </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(6)The weighted average rate excludes $1.1 million in quarterly financing fees and quarterly debt fee amortization on our $1.4 billion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66"/>
        <w:gridCol w:w="244"/>
        <w:gridCol w:w="244"/>
        <w:gridCol w:w="686"/>
        <w:gridCol w:w="228"/>
        <w:gridCol w:w="232"/>
        <w:gridCol w:w="1403"/>
        <w:gridCol w:w="1218"/>
        <w:gridCol w:w="1232"/>
        <w:gridCol w:w="209"/>
        <w:gridCol w:w="209"/>
        <w:gridCol w:w="465"/>
        <w:gridCol w:w="294"/>
        <w:gridCol w:w="294"/>
        <w:gridCol w:w="295"/>
        <w:gridCol w:w="339"/>
        <w:gridCol w:w="190"/>
        <w:gridCol w:w="173"/>
        <w:gridCol w:w="523"/>
        <w:gridCol w:w="338"/>
        <w:gridCol w:w="339"/>
        <w:gridCol w:w="109"/>
        <w:gridCol w:w="109"/>
        <w:gridCol w:w="166"/>
      </w:tblGrid>
      <w:tr>
        <w:trPr/>
        <w:tc>
          <w:tcPr>
            <w:tcW w:w="6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3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1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Summary of Redevelopment and Expansion Opportunities</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21"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The following redevelopment opportunities are actively being worked on by the Trust.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4052" w:type="dxa"/>
            <w:gridSpan w:val="15"/>
            <w:tcBorders/>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615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Opportunity</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ROI (2)</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Cost (1)</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to Date</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2026 POI Delivered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a % of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0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Projects in process:</w:t>
            </w:r>
          </w:p>
        </w:tc>
        <w:tc>
          <w:tcPr>
            <w:tcW w:w="3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West (3)</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Jose, CA</w:t>
            </w:r>
          </w:p>
        </w:tc>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369,000 square foot office building. The building is fully leased.</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- 6%</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 $335</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 - 80%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Pike &amp; Rose - 915 Meeting Street (3)</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 Bethesda, MD</w:t>
            </w:r>
          </w:p>
        </w:tc>
        <w:tc>
          <w:tcPr>
            <w:tcW w:w="3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262,000 square foot office building with 10,000 square feet of retail space. The building is fully leased.</w:t>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 $185</w:t>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 - 95%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Row - Lot 12</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Jose, CA</w:t>
            </w:r>
          </w:p>
        </w:tc>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new six story building with 258 residential units and associated parking</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- 7%</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 $148</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Willow Grove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Willow Grove, PA</w:t>
            </w:r>
          </w:p>
        </w:tc>
        <w:tc>
          <w:tcPr>
            <w:tcW w:w="3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Demolition of 130,000 SF of existing retail to construct a new six story mixed use building with 261 residential units, a 438 space parking structure, and an additional 52,000 SF of retail space</w:t>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$110 - $120 </w:t>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 Cynwyd on City Avenue - Blayr</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 Cynwyd, PA</w:t>
            </w:r>
          </w:p>
        </w:tc>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Demolition of two level department store building to construct a new six story building with 217 residential units, 19,000 square feet of retail and a two-story parking structure with 234 parking stalls. All residential units delivered as of June 30, 2026.</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 $95</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 - 15%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Hoboken - 301 Washington Street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Hoboken, NJ</w:t>
            </w:r>
          </w:p>
        </w:tc>
        <w:tc>
          <w:tcPr>
            <w:tcW w:w="3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new 5 story, 45-unit residential building with 10,200 square feet of ground floor retail space</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- 7%</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 $48</w:t>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Opportunity</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ROI (4)</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Cost (1)</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to Date</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Anticipated Stabilization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Grossmont Center</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 Mesa, CA</w:t>
            </w:r>
          </w:p>
        </w:tc>
        <w:tc>
          <w:tcPr>
            <w:tcW w:w="3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Multi-phase redevelopment of the property encompassing 351,000 square feet of anchor and small shop space, focusing on revitalizing the northern side of the property while demolishing the southern portion of the property to allow for construction of a new pre-leased anchor space.</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- 10%</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Andorra</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Demolition of 31,500 square feet of anchor and small shop spaces to construct a 50,000 square foot turnkey building for a national grocer tenant and redevelopment of 27,000 square feet of vacant small shop space at the north end of the property to construct 10,400 square feet of small shop, and a 10,000 square foot anchor tenant</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- 8%</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Stabilized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Row</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Jose, CA</w:t>
            </w:r>
          </w:p>
        </w:tc>
        <w:tc>
          <w:tcPr>
            <w:tcW w:w="3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Reconfiguration of a 52,000 square foot building to accommodate a new fitness tenant.</w:t>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Dedham Plaza</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Dedham, MA</w:t>
            </w:r>
          </w:p>
        </w:tc>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3,600 square foot pad building for a new restaurant tenant</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11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5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0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0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Active Property Improvement Projects (6)</w:t>
            </w:r>
          </w:p>
        </w:tc>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Ongoing improvements at 6 properties to better position those properties to capture a disproportionate amount of retail demand</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- 16%</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0" w:after="283"/>
        <w:jc w:val="left"/>
        <w:rPr>
          <w:rFonts w:ascii="Times New Roman;serif" w:hAnsi="Times New Roman;serif"/>
          <w:b w:val="false"/>
          <w:color w:val="000000"/>
          <w:sz w:val="15"/>
          <w:u w:val="single"/>
        </w:rPr>
      </w:pPr>
      <w:r>
        <w:rPr>
          <w:rFonts w:ascii="Times New Roman;serif" w:hAnsi="Times New Roman;serif"/>
          <w:b w:val="false"/>
          <w:color w:val="000000"/>
          <w:sz w:val="15"/>
          <w:u w:val="single"/>
        </w:rPr>
        <w:t>Notes:</w:t>
      </w:r>
    </w:p>
    <w:p>
      <w:pPr>
        <w:pStyle w:val="TextBody"/>
        <w:bidi w:val="0"/>
        <w:spacing w:lineRule="auto" w:line="288" w:before="10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(1)There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and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(2)Projected ROI for mixed-use redevelopment/expansion projects reflects the unleveraged Property Operating Income (POI) generated by the project and is calculated as POI divided by cost. Projected POI delivered is an approximate calculation of the POI delivered or expected to be delivered and is calculated based on the Projected Cost and Projected ROI disclosed herewith and is based on the mid-point of the range, if applicable. Projected POI delivered includes straight line rent.</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(3)Projected costs for Pike &amp; Rose include an allocation of infrastructure costs for the entire project. Santana West includes an allocation of infrastructure for the Santana West site.</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(4)Projected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(5)Stabilization is generally the year in which 90% physical occupancy of the redeveloped space is achieved. Economic stabilization may occur at a later point in time.</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(6)Property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12"/>
        <w:gridCol w:w="451"/>
        <w:gridCol w:w="451"/>
        <w:gridCol w:w="451"/>
        <w:gridCol w:w="451"/>
        <w:gridCol w:w="451"/>
        <w:gridCol w:w="1318"/>
        <w:gridCol w:w="451"/>
        <w:gridCol w:w="451"/>
        <w:gridCol w:w="1013"/>
        <w:gridCol w:w="451"/>
        <w:gridCol w:w="451"/>
        <w:gridCol w:w="988"/>
        <w:gridCol w:w="451"/>
        <w:gridCol w:w="451"/>
        <w:gridCol w:w="466"/>
        <w:gridCol w:w="222"/>
        <w:gridCol w:w="325"/>
      </w:tblGrid>
      <w:tr>
        <w:trPr/>
        <w:tc>
          <w:tcPr>
            <w:tcW w:w="91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919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Federal Realty Investment Trust</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Future Redevelopment and Expansion Opportunities</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June 30, 2026</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Redevelopment Opportunities</w:t>
            </w:r>
          </w:p>
        </w:tc>
      </w:tr>
      <w:tr>
        <w:trPr/>
        <w:tc>
          <w:tcPr>
            <w:tcW w:w="3167"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2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Location</w:t>
            </w:r>
          </w:p>
        </w:tc>
        <w:tc>
          <w:tcPr>
            <w:tcW w:w="1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Expansion/Conversion (4)</w:t>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Residential (5)</w:t>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Mixed Use - Long Term</w:t>
            </w:r>
          </w:p>
        </w:tc>
      </w:tr>
      <w:tr>
        <w:trPr/>
        <w:tc>
          <w:tcPr>
            <w:tcW w:w="316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Assembly Row (1)</w:t>
            </w:r>
          </w:p>
        </w:tc>
        <w:tc>
          <w:tcPr>
            <w:tcW w:w="2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Somerville, MA</w:t>
            </w:r>
          </w:p>
        </w:tc>
        <w:tc>
          <w:tcPr>
            <w:tcW w:w="1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 Cynwyd on City Avenue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 Cynwyd,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Barracks Road</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Charlottesville,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Row</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MD</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Camelback Colonnade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Phoenix, AZ</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 Commons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 MA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Congressional North Shopping Center</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Rockville, MD</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Dedham Plaza</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Dedham, MA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 Monte Shopping Center</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Monterey, CA</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Escondido Promenade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Escondido, CA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Fairfax Junction</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Fairfax,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Plaza</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Rockville, MD</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Finley Square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Downers Grove, IL</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Fresh Meadows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Queens, NY</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Friendship Center</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Washington, DC</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Governor Plaza</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Glen Burnie, MD</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Grossmont Center</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 Mesa, CA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Huntington</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Huntington, NY</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Huntington Square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East Northport, NY</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Northeast</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Philadelphia,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Pike &amp; Rose (2)</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Bethesda, MD</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Pike 7 Plaza</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Vienna, VA</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Providence Place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Fairfax,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Riverpoint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Chicago, IL</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Santana Row (3)</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Jose, CA</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Shops at Pembroke Gardens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Pembroke Pines, FL</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AVENUE at White Marsh</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White Marsh, MD</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Tower Shopping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Springfield, VA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Troy Hills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Parsippany-Troy, NJ</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Village at Shirlington</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Arlington, VA</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Virginia Gateway</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Gainesville,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Westgate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Jose, CA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Willow Lawn</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Richmond, VA</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Wynnewood</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Wynnewood,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12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(1)Remaining entitlements at Assembly Row include approximately 1.5 million square feet of commercial-use buildings and 326 residential units.</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(2)Remaining entitlements at Pike &amp; Rose include approximately 530,000 square feet of commercial-use buildings and 741 residential units.</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(3)Remaining entitlements at Santana Row include approximately 321,000 square feet of commercial space and 137 residential units, as well as approximately 604,000 square feet of commercial space across from Santana Row at Santana West.</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(4)Property expansion/conversion includes opportunities at successful retail properties to convert previously underutilized land into new GLA, to convert other existing uses into more productive uses for the property, and/or to add both single tenant and multi-tenant stand alone pad buildings.</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(5)Residential includes opportunities to add residential units to existing retail and mixed-use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Transactions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18"/>
          <w:u w:val="single"/>
        </w:rPr>
      </w:pPr>
      <w:r>
        <w:rPr>
          <w:rFonts w:ascii="Times New Roman;serif" w:hAnsi="Times New Roman;serif"/>
          <w:b/>
          <w:color w:val="000000"/>
          <w:sz w:val="18"/>
          <w:u w:val="single"/>
        </w:rPr>
        <w:t>Property Acquisitions</w:t>
      </w:r>
    </w:p>
    <w:tbl>
      <w:tblPr>
        <w:tblW w:w="10205" w:type="dxa"/>
        <w:jc w:val="left"/>
        <w:tblInd w:w="0" w:type="dxa"/>
        <w:tblLayout w:type="fixed"/>
        <w:tblCellMar>
          <w:top w:w="28" w:type="dxa"/>
          <w:left w:w="28" w:type="dxa"/>
          <w:bottom w:w="28" w:type="dxa"/>
          <w:right w:w="28" w:type="dxa"/>
        </w:tblCellMar>
      </w:tblPr>
      <w:tblGrid>
        <w:gridCol w:w="309"/>
        <w:gridCol w:w="272"/>
        <w:gridCol w:w="276"/>
        <w:gridCol w:w="109"/>
        <w:gridCol w:w="109"/>
        <w:gridCol w:w="109"/>
        <w:gridCol w:w="602"/>
        <w:gridCol w:w="602"/>
        <w:gridCol w:w="609"/>
        <w:gridCol w:w="109"/>
        <w:gridCol w:w="109"/>
        <w:gridCol w:w="109"/>
        <w:gridCol w:w="444"/>
        <w:gridCol w:w="381"/>
        <w:gridCol w:w="358"/>
        <w:gridCol w:w="109"/>
        <w:gridCol w:w="109"/>
        <w:gridCol w:w="109"/>
        <w:gridCol w:w="417"/>
        <w:gridCol w:w="358"/>
        <w:gridCol w:w="298"/>
        <w:gridCol w:w="109"/>
        <w:gridCol w:w="109"/>
        <w:gridCol w:w="109"/>
        <w:gridCol w:w="293"/>
        <w:gridCol w:w="700"/>
        <w:gridCol w:w="166"/>
        <w:gridCol w:w="109"/>
        <w:gridCol w:w="109"/>
        <w:gridCol w:w="109"/>
        <w:gridCol w:w="805"/>
        <w:gridCol w:w="695"/>
        <w:gridCol w:w="985"/>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Tenants</w:t>
            </w:r>
          </w:p>
        </w:tc>
      </w:tr>
      <w:tr>
        <w:trPr/>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12,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Congressional North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Rockville,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217,000 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Aldi / Michaels / Restoration Hardware Outlet / Petco / Staples</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Kingstowne Towne Center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18"/>
              </w:rPr>
            </w:pPr>
            <w:r>
              <w:rPr>
                <w:rFonts w:ascii="Times New Roman;serif" w:hAnsi="Times New Roman;serif"/>
                <w:b w:val="false"/>
                <w:color w:val="000000"/>
                <w:sz w:val="18"/>
              </w:rPr>
              <w:t>Alexandria, 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88,000 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Regal Cinemas / Multiple restaurants</w:t>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(1)This retail building will be operated as part of our existing Kingstowne Towne Center property.</w:t>
      </w:r>
    </w:p>
    <w:p>
      <w:pPr>
        <w:pStyle w:val="TextBody"/>
        <w:bidi w:val="0"/>
        <w:spacing w:lineRule="auto" w:line="288" w:before="200" w:after="283"/>
        <w:jc w:val="left"/>
        <w:rPr>
          <w:rFonts w:ascii="Times New Roman;serif" w:hAnsi="Times New Roman;serif"/>
          <w:b/>
          <w:color w:val="000000"/>
          <w:sz w:val="18"/>
          <w:u w:val="single"/>
        </w:rPr>
      </w:pPr>
      <w:r>
        <w:rPr>
          <w:rFonts w:ascii="Times New Roman;serif" w:hAnsi="Times New Roman;serif"/>
          <w:b/>
          <w:color w:val="000000"/>
          <w:sz w:val="18"/>
          <w:u w:val="single"/>
        </w:rPr>
        <w:t>Property Dispositions</w:t>
      </w:r>
    </w:p>
    <w:tbl>
      <w:tblPr>
        <w:tblW w:w="7955" w:type="dxa"/>
        <w:jc w:val="left"/>
        <w:tblInd w:w="0" w:type="dxa"/>
        <w:tblLayout w:type="fixed"/>
        <w:tblCellMar>
          <w:top w:w="28" w:type="dxa"/>
          <w:left w:w="28" w:type="dxa"/>
          <w:bottom w:w="28" w:type="dxa"/>
          <w:right w:w="28" w:type="dxa"/>
        </w:tblCellMar>
      </w:tblPr>
      <w:tblGrid>
        <w:gridCol w:w="488"/>
        <w:gridCol w:w="428"/>
        <w:gridCol w:w="433"/>
        <w:gridCol w:w="109"/>
        <w:gridCol w:w="109"/>
        <w:gridCol w:w="109"/>
        <w:gridCol w:w="916"/>
        <w:gridCol w:w="916"/>
        <w:gridCol w:w="928"/>
        <w:gridCol w:w="109"/>
        <w:gridCol w:w="109"/>
        <w:gridCol w:w="109"/>
        <w:gridCol w:w="599"/>
        <w:gridCol w:w="599"/>
        <w:gridCol w:w="602"/>
        <w:gridCol w:w="109"/>
        <w:gridCol w:w="109"/>
        <w:gridCol w:w="109"/>
        <w:gridCol w:w="230"/>
        <w:gridCol w:w="654"/>
        <w:gridCol w:w="181"/>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Sales Price</w:t>
            </w:r>
          </w:p>
        </w:tc>
      </w:tr>
      <w:tr>
        <w:trPr/>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Santana Row Residential (1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Jose,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Courthouse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Rockville,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CocoWalk (1 retail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Coconut Grove,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Barcroft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Falls Church,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18"/>
          <w:u w:val="single"/>
        </w:rPr>
      </w:pPr>
      <w:r>
        <w:rPr>
          <w:rFonts w:ascii="Times New Roman;serif" w:hAnsi="Times New Roman;serif"/>
          <w:b/>
          <w:color w:val="000000"/>
          <w:sz w:val="18"/>
          <w:u w:val="single"/>
        </w:rPr>
        <w:t>Financing Transactions</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Revolving Credit Facility</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On April 14, 2026, we amended and restated our revolving credit facility, increasing the borrowing capacity from $1.25 billion to $1.4 billion, lowering the spread over SOFR to 72.5 basis points based on our current credit rating, and extending the maturity date to April 12, 2030, plus two six-month extensions at our option. In addition, we have an option to increase the credit facility through an accordion feature to $2.0 billion.</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Issuance of Common Shares</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During the six months ended June 30, 2026, we sold 493,374 common shares for gross proceeds of $61.1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11722" w:type="dxa"/>
        <w:jc w:val="center"/>
        <w:tblInd w:w="0" w:type="dxa"/>
        <w:tblLayout w:type="fixed"/>
        <w:tblCellMar>
          <w:top w:w="28" w:type="dxa"/>
          <w:left w:w="28" w:type="dxa"/>
          <w:bottom w:w="28" w:type="dxa"/>
          <w:right w:w="28" w:type="dxa"/>
        </w:tblCellMar>
      </w:tblPr>
      <w:tblGrid>
        <w:gridCol w:w="364"/>
        <w:gridCol w:w="319"/>
        <w:gridCol w:w="278"/>
        <w:gridCol w:w="109"/>
        <w:gridCol w:w="109"/>
        <w:gridCol w:w="109"/>
        <w:gridCol w:w="709"/>
        <w:gridCol w:w="709"/>
        <w:gridCol w:w="713"/>
        <w:gridCol w:w="109"/>
        <w:gridCol w:w="409"/>
        <w:gridCol w:w="312"/>
        <w:gridCol w:w="161"/>
        <w:gridCol w:w="109"/>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396"/>
        <w:gridCol w:w="220"/>
        <w:gridCol w:w="221"/>
        <w:gridCol w:w="109"/>
        <w:gridCol w:w="109"/>
        <w:gridCol w:w="109"/>
        <w:gridCol w:w="335"/>
        <w:gridCol w:w="200"/>
        <w:gridCol w:w="201"/>
        <w:gridCol w:w="449"/>
        <w:gridCol w:w="391"/>
        <w:gridCol w:w="19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51"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7851"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7851"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(2)</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Bethesda Row</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279,192 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Apple / Anthropologie / Equinox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Birch &amp; Broad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Chesterbrook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Safeway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Starbucks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Congressional North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70,651 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Michaels / Staples / Restoration Hardware Outlet / Petco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Congressional Plaza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111,309 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Fresh Market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Ulta / Barnes &amp; Noble / Container Store / Gap Factory Store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Fairfax Junction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Federal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Micro Center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Friendship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Maggiano's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Gaithersburg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Ross Dress for Less / Ashley Furniture HomeStore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Graham Park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Idylwood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TBA</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Kingstowne Towne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232,985 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 / 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HomeGoods / Ross Dress for Less / Regal Cinemas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Laurel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62,179 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L.A. Fitness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Montrose Crossing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172,039 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 / Target (S)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HomeSense / Old Navy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Mount Vernon/South Valley/7770 Richmond Hwy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99,023 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Shoppers Food Warehouse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 Depot / Old Navy / Burlington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Keene Mill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Walgreens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Pike &amp; Rose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805,857 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447</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Porsche / Uniqlo / REI / H&amp;M / L.L Bean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Pike 7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57,193 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DSW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Plaza del Mercado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Providence 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Micro Center / CVS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Quince Orchard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HomeGoods / L.A. Fitness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Tower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 Mart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Wine &amp; More / Talbots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Twinbrooke Centre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Safeway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Outback Steakhouse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Tyson's Station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Village at Shirlington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84,229 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Harris Teeter</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AMC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Virginia Gateway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212,349 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 / Target (S) / BJ's Wholesale Club (S)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HomeGoods / Total Wine &amp; More / Best Buy / Ulta / Lowe's (S)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Westpost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121,133 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Harris Teeter / Target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Ulta / Walgreens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Wildwood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Balducci's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2,894,073 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7,330,000 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Azalea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109,216 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Walmart (S)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Ross Dress for Less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Bell Gardens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120,494 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 4 Less / El Super</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Colorado Blvd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Banana Republic / True Food Kitchen</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11205" w:type="dxa"/>
        <w:jc w:val="center"/>
        <w:tblInd w:w="0" w:type="dxa"/>
        <w:tblLayout w:type="fixed"/>
        <w:tblCellMar>
          <w:top w:w="28" w:type="dxa"/>
          <w:left w:w="28" w:type="dxa"/>
          <w:bottom w:w="28" w:type="dxa"/>
          <w:right w:w="28" w:type="dxa"/>
        </w:tblCellMar>
      </w:tblPr>
      <w:tblGrid>
        <w:gridCol w:w="459"/>
        <w:gridCol w:w="205"/>
        <w:gridCol w:w="207"/>
        <w:gridCol w:w="113"/>
        <w:gridCol w:w="109"/>
        <w:gridCol w:w="109"/>
        <w:gridCol w:w="689"/>
        <w:gridCol w:w="584"/>
        <w:gridCol w:w="588"/>
        <w:gridCol w:w="109"/>
        <w:gridCol w:w="409"/>
        <w:gridCol w:w="312"/>
        <w:gridCol w:w="161"/>
        <w:gridCol w:w="109"/>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425"/>
        <w:gridCol w:w="200"/>
        <w:gridCol w:w="201"/>
        <w:gridCol w:w="570"/>
        <w:gridCol w:w="195"/>
        <w:gridCol w:w="196"/>
        <w:gridCol w:w="154"/>
      </w:tblGrid>
      <w:tr>
        <w:trPr/>
        <w:tc>
          <w:tcPr>
            <w:tcW w:w="4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29" w:type="dxa"/>
            <w:gridSpan w:val="13"/>
            <w:tcBorders/>
          </w:tcPr>
          <w:p>
            <w:pPr>
              <w:pStyle w:val="TableContents"/>
              <w:bidi w:val="0"/>
              <w:spacing w:before="0" w:after="283"/>
              <w:jc w:val="left"/>
              <w:rPr>
                <w:sz w:val="4"/>
                <w:szCs w:val="4"/>
              </w:rPr>
            </w:pPr>
            <w:r>
              <w:rPr>
                <w:sz w:val="4"/>
                <w:szCs w:val="4"/>
              </w:rPr>
            </w:r>
          </w:p>
        </w:tc>
      </w:tr>
      <w:tr>
        <w:trPr/>
        <w:tc>
          <w:tcPr>
            <w:tcW w:w="749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29" w:type="dxa"/>
            <w:gridSpan w:val="13"/>
            <w:tcBorders/>
          </w:tcPr>
          <w:p>
            <w:pPr>
              <w:pStyle w:val="TableContents"/>
              <w:bidi w:val="0"/>
              <w:spacing w:before="0" w:after="283"/>
              <w:jc w:val="left"/>
              <w:rPr>
                <w:sz w:val="4"/>
                <w:szCs w:val="4"/>
              </w:rPr>
            </w:pPr>
            <w:r>
              <w:rPr>
                <w:sz w:val="4"/>
                <w:szCs w:val="4"/>
              </w:rPr>
            </w:r>
          </w:p>
        </w:tc>
      </w:tr>
      <w:tr>
        <w:trPr/>
        <w:tc>
          <w:tcPr>
            <w:tcW w:w="749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29" w:type="dxa"/>
            <w:gridSpan w:val="13"/>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Crow Canyon Commons</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94,801 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Sprouts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Wine &amp; More / Alamo Ace Hardware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Del Monte Shopping Center</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Salinas,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130,996 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Macy's / Petco / Pottery Barn / Apple / Sephora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East Bay Bridge</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179,228 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Pak-N-Save / Target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 Depot / Nordstrom Rack / Michaels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Escondido Promenade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135,904 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 (S)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Dick’s Sporting Goods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Fourth Street</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CB2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Freedom Plaza</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Smart &amp; Final</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Nike / Blink Fitness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Grossmont Center</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183,611 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 / Walmart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Barnes &amp; Noble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Hastings Ranch Plaza</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HomeGoods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Town Center</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Anthropologie / Sephora / Arhaus Furniture / Teleferic Barcelona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Olivo at Mission Hills</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24 Hour Fitness / Ross Dress for Less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Pinole Vista Crossing</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58,493 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FoodMaxx</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Nordstrom Rack / HomeGoods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Plaza Del Sol</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Superior Grocers (S)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Plaza El Segundo / The Point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311,272 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Nordstrom Rack / HomeGoods / Dick's Sporting Goods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Antonio Center</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 / Walmart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24 Hour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Santana Row</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1,326,509 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342</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Crate &amp; Barrel / Container Store / Sephora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Sylmar Towne Center</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49,148 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 4 Less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Westgate Center</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165,755 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 / T&amp;T Supermarket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Nordstrom Rack / Nike Factory / TJ Maxx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California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3,175,884 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7,011,000 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NY Metro/New Jersey</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Brick Plaza</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105,034 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 Fitness / HomeGoods / Ulta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Brook 35</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 (5)</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54,965 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Banana Republic / Gap / Tommy's Tavern + Tap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Darien Commons</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154,932 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124</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Equinox / Walgreens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Fresh Meadows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100,296 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 / Island of Gold</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AMC / Kohl's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Georgetowne Shopping Center</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88,991 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Foodway</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Five Below / IHOP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Greenlawn Plaza</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Greenlawn Farms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Greenwich Avenue</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Saks Fifth Avenue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Hauppauge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 Rite</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Hoboken</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(4) (6)</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242,441 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129</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New York Sports Club / Sephora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Huntington</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114,659 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Petsmart / REI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Huntington Square</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51,949 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 / Stop &amp; Shop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24 Hour Fitness / AMC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Melville Mall</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109,041 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Uncle Giuseppe's Marketplace</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Dick's Sporting Goods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Mercer on One</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Trenton, NJ</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126,581 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 Rite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Nike / Ross Dress for Less / Nordstrom Rack / REI / Tesla</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13076" w:type="dxa"/>
        <w:jc w:val="center"/>
        <w:tblInd w:w="0" w:type="dxa"/>
        <w:tblLayout w:type="fixed"/>
        <w:tblCellMar>
          <w:top w:w="28" w:type="dxa"/>
          <w:left w:w="28" w:type="dxa"/>
          <w:bottom w:w="28" w:type="dxa"/>
          <w:right w:w="28" w:type="dxa"/>
        </w:tblCellMar>
      </w:tblPr>
      <w:tblGrid>
        <w:gridCol w:w="409"/>
        <w:gridCol w:w="225"/>
        <w:gridCol w:w="207"/>
        <w:gridCol w:w="109"/>
        <w:gridCol w:w="109"/>
        <w:gridCol w:w="109"/>
        <w:gridCol w:w="817"/>
        <w:gridCol w:w="817"/>
        <w:gridCol w:w="497"/>
        <w:gridCol w:w="616"/>
        <w:gridCol w:w="109"/>
        <w:gridCol w:w="409"/>
        <w:gridCol w:w="312"/>
        <w:gridCol w:w="161"/>
        <w:gridCol w:w="361"/>
        <w:gridCol w:w="109"/>
        <w:gridCol w:w="180"/>
        <w:gridCol w:w="181"/>
        <w:gridCol w:w="109"/>
        <w:gridCol w:w="360"/>
        <w:gridCol w:w="361"/>
        <w:gridCol w:w="109"/>
        <w:gridCol w:w="360"/>
        <w:gridCol w:w="361"/>
        <w:gridCol w:w="131"/>
        <w:gridCol w:w="143"/>
        <w:gridCol w:w="143"/>
        <w:gridCol w:w="211"/>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335"/>
        <w:gridCol w:w="200"/>
        <w:gridCol w:w="201"/>
        <w:gridCol w:w="449"/>
        <w:gridCol w:w="391"/>
        <w:gridCol w:w="196"/>
        <w:gridCol w:w="154"/>
      </w:tblGrid>
      <w:tr>
        <w:trPr/>
        <w:tc>
          <w:tcPr>
            <w:tcW w:w="4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81"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9381"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9381"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13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(2)</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Grove at Shrewsbury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 (5)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139,781 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Bloomies / lululemon / Anthropologie / Pottery Barn / Williams Sonoma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Troy Hills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Floor &amp; Décor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NY Metro/New Jersey</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1,427,351 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3,278,000 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u w:val="single"/>
              </w:rPr>
            </w:pPr>
            <w:r>
              <w:rPr>
                <w:rFonts w:ascii="Times New Roman;serif" w:hAnsi="Times New Roman;serif"/>
                <w:b/>
                <w:color w:val="000000"/>
                <w:sz w:val="14"/>
                <w:u w:val="single"/>
              </w:rPr>
              <w:t>New England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Assembly Row / Assembly Square Marketplace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1,158,365 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947</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AMC / Nike / Burlington / World Market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Campus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32,153 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Roche Bros.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Burlington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Chelsea Commons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 Depot / Planet Fitness / CVS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Dedham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Star Market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Linden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Roche Bros.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North Dartmouth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Providence-Warwick, RI-MA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IHOP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Queen Anne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Big Y Foods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New England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1,469,449 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2,207,000 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Philadelphia Metropolitan Area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Andorra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59,697 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Kohl's / L.A. Fitness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 Cynwyd on City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304</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Acme Markets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Michaels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Ellisburg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Five Below / RH Outlet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Flourtown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Movie Tavern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Langhorne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Redner's Warehouse Markets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Lawrence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66,555 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Acme Markets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HomeGoods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Ulta / Skechers / Crunch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Willow Grove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46,919 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Amazon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Wynnewood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Navy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Philadelphia Metropolitan Area</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Baltimore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Annapolis Town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177,543 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 /</w:t>
              <w:br/>
              <w:t>Target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Restoration Hardware / Pottery Barn / Williams Sonoma / Life Time Fitness / Anthropologie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Governor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16,500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Dick's Sporting Goods / Ross Dress for Less / Petco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Perring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 Depot / Dick's Sporting Goods / Micro Center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AVENUE at White Marsh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137,456 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AMC / Ulta / Old Navy / Nike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Shoppes at Nottingham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White Marsh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White Marsh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Baltimore</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468,754 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1,591,000 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11202" w:type="dxa"/>
        <w:jc w:val="center"/>
        <w:tblInd w:w="0" w:type="dxa"/>
        <w:tblLayout w:type="fixed"/>
        <w:tblCellMar>
          <w:top w:w="28" w:type="dxa"/>
          <w:left w:w="28" w:type="dxa"/>
          <w:bottom w:w="28" w:type="dxa"/>
          <w:right w:w="28" w:type="dxa"/>
        </w:tblCellMar>
      </w:tblPr>
      <w:tblGrid>
        <w:gridCol w:w="354"/>
        <w:gridCol w:w="205"/>
        <w:gridCol w:w="207"/>
        <w:gridCol w:w="109"/>
        <w:gridCol w:w="109"/>
        <w:gridCol w:w="109"/>
        <w:gridCol w:w="883"/>
        <w:gridCol w:w="410"/>
        <w:gridCol w:w="328"/>
        <w:gridCol w:w="109"/>
        <w:gridCol w:w="181"/>
        <w:gridCol w:w="826"/>
        <w:gridCol w:w="109"/>
        <w:gridCol w:w="109"/>
        <w:gridCol w:w="247"/>
        <w:gridCol w:w="249"/>
        <w:gridCol w:w="109"/>
        <w:gridCol w:w="109"/>
        <w:gridCol w:w="109"/>
        <w:gridCol w:w="109"/>
        <w:gridCol w:w="412"/>
        <w:gridCol w:w="414"/>
        <w:gridCol w:w="131"/>
        <w:gridCol w:w="109"/>
        <w:gridCol w:w="109"/>
        <w:gridCol w:w="109"/>
        <w:gridCol w:w="197"/>
        <w:gridCol w:w="164"/>
        <w:gridCol w:w="363"/>
        <w:gridCol w:w="109"/>
        <w:gridCol w:w="109"/>
        <w:gridCol w:w="109"/>
        <w:gridCol w:w="109"/>
        <w:gridCol w:w="109"/>
        <w:gridCol w:w="109"/>
        <w:gridCol w:w="260"/>
        <w:gridCol w:w="260"/>
        <w:gridCol w:w="261"/>
        <w:gridCol w:w="220"/>
        <w:gridCol w:w="220"/>
        <w:gridCol w:w="221"/>
        <w:gridCol w:w="109"/>
        <w:gridCol w:w="109"/>
        <w:gridCol w:w="109"/>
        <w:gridCol w:w="275"/>
        <w:gridCol w:w="200"/>
        <w:gridCol w:w="201"/>
        <w:gridCol w:w="570"/>
        <w:gridCol w:w="195"/>
        <w:gridCol w:w="196"/>
        <w:gridCol w:w="154"/>
      </w:tblGrid>
      <w:tr>
        <w:trPr/>
        <w:tc>
          <w:tcPr>
            <w:tcW w:w="35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2"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7642"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7642"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u w:val="single"/>
              </w:rPr>
            </w:pPr>
            <w:r>
              <w:rPr>
                <w:rFonts w:ascii="Times New Roman;serif" w:hAnsi="Times New Roman;serif"/>
                <w:b/>
                <w:color w:val="000000"/>
                <w:sz w:val="14"/>
                <w:u w:val="single"/>
              </w:rPr>
              <w:t>South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CocoWalk</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Cinepolis Theaters / Youfit Health Club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Del Mar Village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Shops at Pembroke Gardens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Nike Factory / Old Navy / DSW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Tower Shops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 / Costco (S)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Ross Dress For Less / Best Buy / Ulta / Home Depot (S)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South Florida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579,889 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1,281,000 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Chicago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Crossroads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 Fitness / Ulta / Binny's / Ferguson Home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Finley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HomeGoods / Michaels / Portillo's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Garden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Mariano's Fresh Market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Walgreens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Riverpoint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Jewel Osco</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Old Navy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Chicago</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219,760 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777,000 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Barracks Road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Charlottesville,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Harris Teeter / Kroger</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Anthropologie / Old Navy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Camelback Colonnade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Phoenix-Mesa-Chandler, AZ</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Fry's Food &amp; Drug</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Nordstrom Last Chance / Best Buy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Gratiot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Detroit-Warren-Dearborn, MI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Kroger</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Best Buy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Lancaster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Lancaster, PA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AutoZone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Shops at Hilton Village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Phoenix-Mesa-Chandler, AZ</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Houston's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Town Center Crossing / Town Center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Kansas City, MO-KS</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Crate &amp; Barrel / Pottery Barn / Restoration Hardware / Apple / Aritzia / Macy's (S) / Dick's House of Sport (S)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29th 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Charlottesville,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HomeGoods / DSW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Village Pointe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Omaha, NE-IA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Nordstrom Rack / Best Buy / Apple / Sephora / lululemon / Scheels (S)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Willow Lawn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Richmond,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Kroger</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Navy / Ross Dress for Less / Gold's Gym / Dick's Sporting Goods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Other</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949,210 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3,360,000 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Grand 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11,678,315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2,320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28,821,000</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96</w:t>
            </w:r>
            <w:r>
              <w:rPr>
                <w:color w:val="000000"/>
              </w:rPr>
              <w:t> </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2,683</w:t>
            </w:r>
          </w:p>
        </w:tc>
        <w:tc>
          <w:tcPr>
            <w:tcW w:w="66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3"/>
        <w:gridCol w:w="169"/>
        <w:gridCol w:w="171"/>
        <w:gridCol w:w="2832"/>
        <w:gridCol w:w="2832"/>
        <w:gridCol w:w="4008"/>
      </w:tblGrid>
      <w:tr>
        <w:trPr/>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4008" w:type="dxa"/>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Notes:</w:t>
            </w:r>
          </w:p>
        </w:tc>
        <w:tc>
          <w:tcPr>
            <w:tcW w:w="9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Represents the GLA and percentage leased of the commercial portion of the property. Some of our properties include office space which is included in this square footage. Excludes newly created redevelopment square footage not yet in service, as well as residential and hotel square footage.</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TBA indicates that a lease is signed.</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All or a portion of this property is owned pursuant to a ground lease.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The Trust has a controlling financial interest in this property.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All or a portion of the property is owned in a "downREIT" partnership, of which a wholly owned subsidiary of the Trust is the sole general partner, with third party partners holding operating partnership units.</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This property includes 40 buildings primarily along Washington Street and 14th Street in Hoboken, New Jersey.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This property includes CocoWalk and three buildings in Coconut Grove.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Shadow anchor located adjacent to the property, but is not part of the owned property.</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14455" w:type="dxa"/>
        <w:jc w:val="center"/>
        <w:tblInd w:w="0" w:type="dxa"/>
        <w:tblLayout w:type="fixed"/>
        <w:tblCellMar>
          <w:top w:w="28" w:type="dxa"/>
          <w:left w:w="28" w:type="dxa"/>
          <w:bottom w:w="28" w:type="dxa"/>
          <w:right w:w="28" w:type="dxa"/>
        </w:tblCellMar>
      </w:tblPr>
      <w:tblGrid>
        <w:gridCol w:w="233"/>
        <w:gridCol w:w="205"/>
        <w:gridCol w:w="208"/>
        <w:gridCol w:w="109"/>
        <w:gridCol w:w="109"/>
        <w:gridCol w:w="109"/>
        <w:gridCol w:w="241"/>
        <w:gridCol w:w="180"/>
        <w:gridCol w:w="181"/>
        <w:gridCol w:w="109"/>
        <w:gridCol w:w="109"/>
        <w:gridCol w:w="109"/>
        <w:gridCol w:w="243"/>
        <w:gridCol w:w="178"/>
        <w:gridCol w:w="395"/>
        <w:gridCol w:w="109"/>
        <w:gridCol w:w="109"/>
        <w:gridCol w:w="109"/>
        <w:gridCol w:w="435"/>
        <w:gridCol w:w="436"/>
        <w:gridCol w:w="146"/>
        <w:gridCol w:w="109"/>
        <w:gridCol w:w="109"/>
        <w:gridCol w:w="109"/>
        <w:gridCol w:w="196"/>
        <w:gridCol w:w="556"/>
        <w:gridCol w:w="109"/>
        <w:gridCol w:w="109"/>
        <w:gridCol w:w="109"/>
        <w:gridCol w:w="109"/>
        <w:gridCol w:w="196"/>
        <w:gridCol w:w="556"/>
        <w:gridCol w:w="241"/>
        <w:gridCol w:w="109"/>
        <w:gridCol w:w="109"/>
        <w:gridCol w:w="109"/>
        <w:gridCol w:w="196"/>
        <w:gridCol w:w="961"/>
        <w:gridCol w:w="109"/>
        <w:gridCol w:w="109"/>
        <w:gridCol w:w="109"/>
        <w:gridCol w:w="109"/>
        <w:gridCol w:w="167"/>
        <w:gridCol w:w="167"/>
        <w:gridCol w:w="372"/>
        <w:gridCol w:w="109"/>
        <w:gridCol w:w="109"/>
        <w:gridCol w:w="109"/>
        <w:gridCol w:w="196"/>
        <w:gridCol w:w="556"/>
        <w:gridCol w:w="241"/>
        <w:gridCol w:w="109"/>
        <w:gridCol w:w="109"/>
        <w:gridCol w:w="109"/>
        <w:gridCol w:w="266"/>
        <w:gridCol w:w="200"/>
        <w:gridCol w:w="201"/>
        <w:gridCol w:w="109"/>
        <w:gridCol w:w="109"/>
        <w:gridCol w:w="109"/>
        <w:gridCol w:w="196"/>
        <w:gridCol w:w="961"/>
        <w:gridCol w:w="109"/>
        <w:gridCol w:w="327"/>
        <w:gridCol w:w="198"/>
        <w:gridCol w:w="562"/>
        <w:gridCol w:w="111"/>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30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0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Retail Leasing Summary (1)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0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01" w:type="dxa"/>
            <w:gridSpan w:val="6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0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of Comparable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Per Sq. Ft.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Prior Rent (4)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2"/>
              </w:rPr>
              <w:t>Annual Increase in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Cash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Straight-lined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819,273 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3,649,131 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22,149,106 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649,078 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14,278,520 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600,684 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727,029 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5,710,439 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2,796,064 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69,917,795 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0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New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375,567 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21,602,686 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261,082 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15,259,185 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12,947,803 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1,114,436 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9,057,962 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63,372,869 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0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Renewal Lease Summary - Comparable (2) (7)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443,706 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406,177 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339,602 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492,143 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1,681,628 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5,473,452 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6,544,926 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0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Lease Summary - Comparable and Non-comparable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Comparable % of Total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852,051 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24,485,220 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661,158 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15,024,805 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612,978 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18,384,628 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774,890 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2,901,077 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78,080,123 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0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Lease Summary - Comparable, Non-comparable, and Option Exercises (2) (8)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1,121,498 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24,485,220 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881,718 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15,024,805 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836,216 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18,384,628 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1,013,278 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3,852,710 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78,080,123 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5"/>
        <w:gridCol w:w="171"/>
        <w:gridCol w:w="173"/>
        <w:gridCol w:w="2830"/>
        <w:gridCol w:w="2830"/>
        <w:gridCol w:w="4006"/>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Notes:</w:t>
            </w:r>
          </w:p>
        </w:tc>
        <w:tc>
          <w:tcPr>
            <w:tcW w:w="9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Information reflects activity in retail spaces only for consolidated properties; office and residential spaces are not included. See Glossary of Terms for further discussion of information included above.</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Comparable leases represent those leases signed on spaces for which there was a former tenant. Contractual option exercises are not included unless they are fair market value options. </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Contractual rent represents annual rent under the new lease.</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rent represents contractual rent, including percentage rent considered part of base rent, from the prior tenant in the final 12 months of the term.</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is determined on the basis of contractual rent for the lease.</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See Glossary of Terms.</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Renewal leases represent expiring leases rolling over with the same tenant in the same location. All other leases are categorized as new.</w:t>
            </w:r>
          </w:p>
        </w:tc>
      </w:tr>
      <w:tr>
        <w:trPr/>
        <w:tc>
          <w:tcPr>
            <w:tcW w:w="539" w:type="dxa"/>
            <w:gridSpan w:val="3"/>
            <w:tcBorders/>
            <w:vAlign w:val="center"/>
          </w:tcPr>
          <w:p>
            <w:pPr>
              <w:pStyle w:val="TableContents"/>
              <w:bidi w:val="0"/>
              <w:spacing w:before="0" w:after="283"/>
              <w:jc w:val="left"/>
              <w:rPr>
                <w:sz w:val="4"/>
                <w:szCs w:val="4"/>
              </w:rPr>
            </w:pPr>
            <w:r>
              <w:rPr>
                <w:sz w:val="4"/>
                <w:szCs w:val="4"/>
              </w:rPr>
            </w:r>
          </w:p>
        </w:tc>
        <w:tc>
          <w:tcPr>
            <w:tcW w:w="9666" w:type="dxa"/>
            <w:gridSpan w:val="3"/>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 exercises reflect a fixed rate contractual option under the lease agreement that was exercised during the period reflected.</w:t>
            </w:r>
          </w:p>
        </w:tc>
      </w:tr>
      <w:tr>
        <w:trPr/>
        <w:tc>
          <w:tcPr>
            <w:tcW w:w="539" w:type="dxa"/>
            <w:gridSpan w:val="3"/>
            <w:tcBorders/>
            <w:vAlign w:val="center"/>
          </w:tcPr>
          <w:p>
            <w:pPr>
              <w:pStyle w:val="TableContents"/>
              <w:bidi w:val="0"/>
              <w:spacing w:before="0" w:after="283"/>
              <w:jc w:val="left"/>
              <w:rPr>
                <w:sz w:val="4"/>
                <w:szCs w:val="4"/>
              </w:rPr>
            </w:pPr>
            <w:r>
              <w:rPr>
                <w:sz w:val="4"/>
                <w:szCs w:val="4"/>
              </w:rPr>
            </w:r>
          </w:p>
        </w:tc>
        <w:tc>
          <w:tcPr>
            <w:tcW w:w="9666" w:type="dxa"/>
            <w:gridSpan w:val="3"/>
            <w:tcBorders/>
            <w:vAlign w:val="center"/>
          </w:tcPr>
          <w:p>
            <w:pPr>
              <w:pStyle w:val="TableContents"/>
              <w:bidi w:val="0"/>
              <w:spacing w:before="0" w:after="283"/>
              <w:jc w:val="left"/>
              <w:rPr>
                <w:sz w:val="4"/>
                <w:szCs w:val="4"/>
              </w:rPr>
            </w:pPr>
            <w:r>
              <w:rPr>
                <w:sz w:val="4"/>
                <w:szCs w:val="4"/>
              </w:rPr>
            </w:r>
          </w:p>
        </w:tc>
      </w:tr>
      <w:tr>
        <w:trPr/>
        <w:tc>
          <w:tcPr>
            <w:tcW w:w="539" w:type="dxa"/>
            <w:gridSpan w:val="3"/>
            <w:tcBorders/>
            <w:vAlign w:val="center"/>
          </w:tcPr>
          <w:p>
            <w:pPr>
              <w:pStyle w:val="TableContents"/>
              <w:bidi w:val="0"/>
              <w:spacing w:before="0" w:after="283"/>
              <w:jc w:val="left"/>
              <w:rPr>
                <w:sz w:val="4"/>
                <w:szCs w:val="4"/>
              </w:rPr>
            </w:pPr>
            <w:r>
              <w:rPr>
                <w:sz w:val="4"/>
                <w:szCs w:val="4"/>
              </w:rPr>
            </w:r>
          </w:p>
        </w:tc>
        <w:tc>
          <w:tcPr>
            <w:tcW w:w="96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73"/>
        <w:gridCol w:w="247"/>
        <w:gridCol w:w="212"/>
        <w:gridCol w:w="479"/>
        <w:gridCol w:w="482"/>
        <w:gridCol w:w="267"/>
        <w:gridCol w:w="246"/>
        <w:gridCol w:w="179"/>
        <w:gridCol w:w="267"/>
        <w:gridCol w:w="367"/>
        <w:gridCol w:w="293"/>
        <w:gridCol w:w="294"/>
        <w:gridCol w:w="109"/>
        <w:gridCol w:w="109"/>
        <w:gridCol w:w="109"/>
        <w:gridCol w:w="435"/>
        <w:gridCol w:w="436"/>
        <w:gridCol w:w="267"/>
        <w:gridCol w:w="299"/>
        <w:gridCol w:w="129"/>
        <w:gridCol w:w="271"/>
        <w:gridCol w:w="386"/>
        <w:gridCol w:w="273"/>
        <w:gridCol w:w="274"/>
        <w:gridCol w:w="109"/>
        <w:gridCol w:w="109"/>
        <w:gridCol w:w="109"/>
        <w:gridCol w:w="559"/>
        <w:gridCol w:w="402"/>
        <w:gridCol w:w="270"/>
        <w:gridCol w:w="273"/>
        <w:gridCol w:w="151"/>
        <w:gridCol w:w="295"/>
        <w:gridCol w:w="403"/>
        <w:gridCol w:w="253"/>
        <w:gridCol w:w="369"/>
      </w:tblGrid>
      <w:tr>
        <w:trPr/>
        <w:tc>
          <w:tcPr>
            <w:tcW w:w="47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Expirations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Assumes no exercise of lease options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Anchor SF</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Small Shop SF</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 (4)</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Total SF</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r>
      <w:tr>
        <w:trPr/>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715,000 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2028</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2029</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3,589,000 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2030</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$36.17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2034</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$32.01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 (3) (4)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17,614,000 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9,416,000 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$49.47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27,030,000 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Assumes all lease options are exercised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Anchor SF</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Small Shop SF</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Expiring SF (4)</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Total SF</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r>
      <w:tr>
        <w:trPr/>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681,000 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2028</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2029</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$44.54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2030</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$41.62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2034</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16,464,000 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 (3) (4)</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17,614,000 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9,416,000 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$49.47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27,030,000 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 </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9"/>
        <w:gridCol w:w="183"/>
        <w:gridCol w:w="184"/>
        <w:gridCol w:w="2815"/>
        <w:gridCol w:w="2815"/>
        <w:gridCol w:w="3999"/>
      </w:tblGrid>
      <w:tr>
        <w:trPr/>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tc>
        <w:tc>
          <w:tcPr>
            <w:tcW w:w="9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Anchor is defined as a commercial tenant leasing 10,000 square feet or more.</w:t>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Rent reflects in-place contractual (defined as rents on a cash-basis without taking the impacts of rent abatements into account) rent as of June 30, 2026.</w:t>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9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Represents occupied square footage of the commercial portion of our portfolio as of June 30, 2026.</w:t>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9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Individual items may not add up to total due to rounding.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7162" w:type="dxa"/>
        <w:jc w:val="left"/>
        <w:tblInd w:w="0" w:type="dxa"/>
        <w:tblLayout w:type="fixed"/>
        <w:tblCellMar>
          <w:top w:w="28" w:type="dxa"/>
          <w:left w:w="28" w:type="dxa"/>
          <w:bottom w:w="28" w:type="dxa"/>
          <w:right w:w="28" w:type="dxa"/>
        </w:tblCellMar>
      </w:tblPr>
      <w:tblGrid>
        <w:gridCol w:w="1038"/>
        <w:gridCol w:w="910"/>
        <w:gridCol w:w="916"/>
        <w:gridCol w:w="264"/>
        <w:gridCol w:w="264"/>
        <w:gridCol w:w="627"/>
        <w:gridCol w:w="109"/>
        <w:gridCol w:w="109"/>
        <w:gridCol w:w="109"/>
        <w:gridCol w:w="295"/>
        <w:gridCol w:w="295"/>
        <w:gridCol w:w="699"/>
        <w:gridCol w:w="109"/>
        <w:gridCol w:w="109"/>
        <w:gridCol w:w="109"/>
        <w:gridCol w:w="251"/>
        <w:gridCol w:w="251"/>
        <w:gridCol w:w="698"/>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Portfolio Leased Statistics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Properties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Overall Portfolio (1)(2)</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Leasable Area (GLA)</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27,397,000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Occupied %</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 - anchor tenants</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 - small shop tenants</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 commercial tenant leases</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Comparable Properties (1)(3)</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GLA </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25,657,000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Occupied %</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Residential Properties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Overall Portfolio (1)(2)(4)</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units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Comparable Properties (1)(3)</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units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1"/>
        <w:gridCol w:w="176"/>
        <w:gridCol w:w="177"/>
        <w:gridCol w:w="2946"/>
        <w:gridCol w:w="2805"/>
        <w:gridCol w:w="390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3900"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tc>
        <w:tc>
          <w:tcPr>
            <w:tcW w:w="9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See Glossary of Terms.</w:t>
            </w:r>
          </w:p>
        </w:tc>
      </w:tr>
      <w:tr>
        <w:trPr/>
        <w:tc>
          <w:tcPr>
            <w:tcW w:w="554" w:type="dxa"/>
            <w:gridSpan w:val="3"/>
            <w:tcBorders/>
            <w:vAlign w:val="center"/>
          </w:tcPr>
          <w:p>
            <w:pPr>
              <w:pStyle w:val="TableContents"/>
              <w:bidi w:val="0"/>
              <w:spacing w:before="0" w:after="283"/>
              <w:jc w:val="left"/>
              <w:rPr>
                <w:sz w:val="4"/>
                <w:szCs w:val="4"/>
              </w:rPr>
            </w:pPr>
            <w:r>
              <w:rPr>
                <w:sz w:val="4"/>
                <w:szCs w:val="4"/>
              </w:rPr>
            </w:r>
          </w:p>
        </w:tc>
        <w:tc>
          <w:tcPr>
            <w:tcW w:w="9651" w:type="dxa"/>
            <w:gridSpan w:val="3"/>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redevelopment square footage and residential units not yet placed in service.</w:t>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9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periods are adjusted for the current comparable property pool.</w:t>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9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our new residential building at Bala Cynwyd on City Avenue called Blayr that opened in 1Q26 and currently is in the process of being leased-up for the first time. If these units were included at June 30, 2026 and March 31, 2026, our total residential units would be 2,683 and 2,548, respectively, and our percentage leased would be 93.9% for both periods.</w:t>
            </w:r>
          </w:p>
        </w:tc>
      </w:tr>
      <w:tr>
        <w:trPr/>
        <w:tc>
          <w:tcPr>
            <w:tcW w:w="554" w:type="dxa"/>
            <w:gridSpan w:val="3"/>
            <w:tcBorders/>
            <w:vAlign w:val="center"/>
          </w:tcPr>
          <w:p>
            <w:pPr>
              <w:pStyle w:val="TableContents"/>
              <w:bidi w:val="0"/>
              <w:spacing w:before="0" w:after="283"/>
              <w:jc w:val="left"/>
              <w:rPr>
                <w:sz w:val="4"/>
                <w:szCs w:val="4"/>
              </w:rPr>
            </w:pPr>
            <w:r>
              <w:rPr>
                <w:sz w:val="4"/>
                <w:szCs w:val="4"/>
              </w:rPr>
            </w:r>
          </w:p>
        </w:tc>
        <w:tc>
          <w:tcPr>
            <w:tcW w:w="965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5"/>
        <w:gridCol w:w="162"/>
        <w:gridCol w:w="164"/>
        <w:gridCol w:w="109"/>
        <w:gridCol w:w="109"/>
        <w:gridCol w:w="109"/>
        <w:gridCol w:w="814"/>
        <w:gridCol w:w="702"/>
        <w:gridCol w:w="594"/>
        <w:gridCol w:w="297"/>
        <w:gridCol w:w="297"/>
        <w:gridCol w:w="298"/>
        <w:gridCol w:w="203"/>
        <w:gridCol w:w="1092"/>
        <w:gridCol w:w="113"/>
        <w:gridCol w:w="418"/>
        <w:gridCol w:w="304"/>
        <w:gridCol w:w="718"/>
        <w:gridCol w:w="479"/>
        <w:gridCol w:w="482"/>
        <w:gridCol w:w="228"/>
        <w:gridCol w:w="372"/>
        <w:gridCol w:w="258"/>
        <w:gridCol w:w="610"/>
        <w:gridCol w:w="315"/>
        <w:gridCol w:w="315"/>
        <w:gridCol w:w="458"/>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of Top 25 Tenants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Tenant Name</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Credit Ratings </w:t>
              <w:br/>
              <w:t>(S&amp;P/Moody's) (1)</w:t>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Annualized Base Rent</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Percentage of Total Annualized Base Rent (3)</w:t>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Tenant GLA</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Percentage of Total GLA (3)</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Number of Locations Leased</w:t>
            </w:r>
          </w:p>
        </w:tc>
      </w:tr>
      <w:tr>
        <w:trPr/>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TJX Companies, The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24,116,000 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Ahold Delhaize</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17,319,000 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NetApp,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Cisco Systems,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AA- / 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14,498,000 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Gap, Inc., The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 / Ba2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14,189,000 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CVS Corporation</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Baa3</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KnitWell Group (Ann Taylor, Chico's, Loft, Talbots, White House Black Market, Soma, Lane Bryant)</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Fitness International LLC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 / B2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9,044,000 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Amazon/Whole Foods</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AA / 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Albertsons Companies Inc. (Acme, Balducci's, Safeway)</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 / Ba1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8,807,000 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Ross Stores,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8,662,000 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Depot,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Dick's Sporting Goods,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Entertainment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CCC+ / Caa2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7,433,000 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Burlington Stores,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 / Ba1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PUMA North America,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Ulta Beauty,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Kroger Co., The</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7,116,000 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PwC US Group LLP</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7,023,000 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Bob's Discount Furniture, LLC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6,958,000 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J.Crew Group, LLC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CCC+ / Caa1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6,523,000 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Choice Hotels International,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Baa3</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6,448,000 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of America, N.A.</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6,385,000 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Michaels Stores,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 / B2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6,097,000 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JPMorgan Chase Bank</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Totals - Top 25 Tenants</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239,383,000 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23.95 </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8,670,000 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(5):</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999,689,000 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31,231,000 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Ratings are as of June 30, 2026. Subsequent rating changes have not been reflected.</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See Glossary of Terms.</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Individual items may not add up to total due to rounding.</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redevelopment square footage not yet placed in service.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Totals reflect both the commercial and residential portions of our properties.</w:t>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7257" w:type="dxa"/>
            <w:gridSpan w:val="18"/>
            <w:tcBorders/>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7257" w:type="dxa"/>
            <w:gridSpan w:val="18"/>
            <w:tcBorders/>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36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 Guidance</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r>
    </w:tbl>
    <w:p>
      <w:pPr>
        <w:pStyle w:val="TextBody"/>
        <w:bidi w:val="0"/>
        <w:spacing w:before="0" w:after="0"/>
        <w:jc w:val="left"/>
        <w:rPr/>
      </w:pPr>
      <w:r>
        <w:rPr/>
      </w:r>
    </w:p>
    <w:tbl>
      <w:tblPr>
        <w:tblW w:w="10070" w:type="dxa"/>
        <w:jc w:val="left"/>
        <w:tblInd w:w="0" w:type="dxa"/>
        <w:tblLayout w:type="fixed"/>
        <w:tblCellMar>
          <w:top w:w="28" w:type="dxa"/>
          <w:left w:w="28" w:type="dxa"/>
          <w:bottom w:w="28" w:type="dxa"/>
          <w:right w:w="28" w:type="dxa"/>
        </w:tblCellMar>
      </w:tblPr>
      <w:tblGrid>
        <w:gridCol w:w="1929"/>
        <w:gridCol w:w="1692"/>
        <w:gridCol w:w="1704"/>
        <w:gridCol w:w="109"/>
        <w:gridCol w:w="109"/>
        <w:gridCol w:w="109"/>
        <w:gridCol w:w="109"/>
        <w:gridCol w:w="109"/>
        <w:gridCol w:w="109"/>
        <w:gridCol w:w="609"/>
        <w:gridCol w:w="609"/>
        <w:gridCol w:w="611"/>
        <w:gridCol w:w="109"/>
        <w:gridCol w:w="109"/>
        <w:gridCol w:w="109"/>
        <w:gridCol w:w="566"/>
        <w:gridCol w:w="566"/>
        <w:gridCol w:w="803"/>
      </w:tblGrid>
      <w:tr>
        <w:trPr/>
        <w:tc>
          <w:tcPr>
            <w:tcW w:w="192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Full Year 2026 Guidance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Guidance (1)</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Prior Guidance</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 per diluted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$4.22 - $4.30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$3.94 - $4.03</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 per diluted share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$7.48 - $7.56</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$7.46 - $7.55</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 per diluted share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$7.48 - $7.56</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$7.46 - $7.55</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properties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3.25% - 3.75%</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3.125% - 3.625%</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 $11 million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$8 - $9 million</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redevelopment/expansion POI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$14.5 - $15.5 million</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$14 - $15 million</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$49 - $51 million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$47 - $49 million</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Development/redevelopment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 $225 million</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 $225 million</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$11 - $12 million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$11 - $12 million</w:t>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Notes:</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(1)Does not include the impact of acquisitions or dispositions other than those which have closed as of July 30, 2026. All amounts are estimates.</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following table provides a reconciliation of the range of estimated earnings per diluted share to estimated Nareit FFO and Core FFO per diluted share for the full year 2026:</w:t>
      </w:r>
    </w:p>
    <w:tbl>
      <w:tblPr>
        <w:tblW w:w="9338" w:type="dxa"/>
        <w:jc w:val="left"/>
        <w:tblInd w:w="0" w:type="dxa"/>
        <w:tblLayout w:type="fixed"/>
        <w:tblCellMar>
          <w:top w:w="28" w:type="dxa"/>
          <w:left w:w="28" w:type="dxa"/>
          <w:bottom w:w="28" w:type="dxa"/>
          <w:right w:w="28" w:type="dxa"/>
        </w:tblCellMar>
      </w:tblPr>
      <w:tblGrid>
        <w:gridCol w:w="124"/>
        <w:gridCol w:w="109"/>
        <w:gridCol w:w="109"/>
        <w:gridCol w:w="2043"/>
        <w:gridCol w:w="2043"/>
        <w:gridCol w:w="2048"/>
        <w:gridCol w:w="297"/>
        <w:gridCol w:w="720"/>
        <w:gridCol w:w="153"/>
        <w:gridCol w:w="153"/>
        <w:gridCol w:w="153"/>
        <w:gridCol w:w="153"/>
        <w:gridCol w:w="297"/>
        <w:gridCol w:w="720"/>
        <w:gridCol w:w="2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 2026 Guidance Range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net income available for common shareholders per diluted share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gain on sale of real estate</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depreciation and amortization</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Nareit FFO and Core FFO per diluted share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 Glossary of Terms. Individual items may not add up to total due to rounding.</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540"/>
        <w:jc w:val="left"/>
        <w:rPr/>
      </w:pPr>
      <w:r>
        <w:rPr>
          <w:rFonts w:ascii="Times New Roman;serif" w:hAnsi="Times New Roman;serif"/>
          <w:b w:val="false"/>
          <w:color w:val="000000"/>
          <w:sz w:val="20"/>
        </w:rPr>
        <w:t xml:space="preserve">(3)Reflects the estimated additional POI to be recognized in the period indicated versus the prior year or prior year quarter period as applicable. Projects included in incremental redevelopment/expansion POI included Huntington Shopping Center, Santana West, Pike &amp; Rose - 915 Meeting Street, and Bala Cynwyd on City Avenue - Blayr for all periods presented. See page </w:t>
      </w:r>
      <w:hyperlink w:anchor="i3fa7d766638e4af6a5b4df60aa0386d6_40">
        <w:r>
          <w:rPr>
            <w:rStyle w:val="InternetLink"/>
            <w:rFonts w:ascii="Times New Roman;serif" w:hAnsi="Times New Roman;serif"/>
            <w:b w:val="false"/>
            <w:strike w:val="false"/>
            <w:dstrike w:val="false"/>
            <w:color w:val="000000"/>
            <w:sz w:val="20"/>
            <w:u w:val="none"/>
            <w:effect w:val="none"/>
          </w:rPr>
          <w:t>16</w:t>
        </w:r>
      </w:hyperlink>
      <w:r>
        <w:rPr>
          <w:rFonts w:ascii="Times New Roman;serif" w:hAnsi="Times New Roman;serif"/>
          <w:b w:val="false"/>
          <w:color w:val="000000"/>
          <w:sz w:val="20"/>
        </w:rPr>
        <w:t xml:space="preserve"> for information on these projects and note 2 of page </w:t>
      </w:r>
      <w:hyperlink w:anchor="i3fa7d766638e4af6a5b4df60aa0386d6_40">
        <w:r>
          <w:rPr>
            <w:rStyle w:val="InternetLink"/>
            <w:rFonts w:ascii="Times New Roman;serif" w:hAnsi="Times New Roman;serif"/>
            <w:b w:val="false"/>
            <w:strike w:val="false"/>
            <w:dstrike w:val="false"/>
            <w:color w:val="000000"/>
            <w:sz w:val="20"/>
            <w:u w:val="none"/>
            <w:effect w:val="none"/>
          </w:rPr>
          <w:t>16</w:t>
        </w:r>
      </w:hyperlink>
      <w:r>
        <w:rPr>
          <w:rFonts w:ascii="Times New Roman;serif" w:hAnsi="Times New Roman;serif"/>
          <w:b w:val="false"/>
          <w:color w:val="000000"/>
          <w:sz w:val="20"/>
        </w:rPr>
        <w:t xml:space="preserve"> for the definition of POI. See also page 17 in our Form 8-K filed on February 12, 2026 related to Huntington Shopping Center.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40"/>
        <w:gridCol w:w="1040"/>
        <w:gridCol w:w="1042"/>
        <w:gridCol w:w="320"/>
        <w:gridCol w:w="548"/>
        <w:gridCol w:w="165"/>
        <w:gridCol w:w="320"/>
        <w:gridCol w:w="548"/>
        <w:gridCol w:w="165"/>
        <w:gridCol w:w="378"/>
        <w:gridCol w:w="648"/>
        <w:gridCol w:w="196"/>
        <w:gridCol w:w="109"/>
        <w:gridCol w:w="109"/>
        <w:gridCol w:w="109"/>
        <w:gridCol w:w="211"/>
        <w:gridCol w:w="361"/>
        <w:gridCol w:w="109"/>
        <w:gridCol w:w="211"/>
        <w:gridCol w:w="361"/>
        <w:gridCol w:w="109"/>
        <w:gridCol w:w="265"/>
        <w:gridCol w:w="453"/>
        <w:gridCol w:w="138"/>
        <w:gridCol w:w="261"/>
        <w:gridCol w:w="448"/>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Annual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Quarterly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Actual</w:t>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Actual</w:t>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Estimate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1Q</w:t>
              <w:br/>
              <w:t>Actual</w:t>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w:t>
              <w:br/>
              <w:t>Actual</w:t>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3Q</w:t>
              <w:br/>
              <w:t>Estimate</w:t>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4Q</w:t>
              <w:br/>
              <w:t>Estimate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redevelopment/expansion POI</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redevelopment/expansion POI</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0"/>
        <w:jc w:val="left"/>
        <w:rPr/>
      </w:pPr>
      <w:r>
        <w:rPr>
          <w:rFonts w:ascii="Times New Roman;serif" w:hAnsi="Times New Roman;serif"/>
          <w:b/>
          <w:color w:val="000000"/>
          <w:sz w:val="18"/>
        </w:rPr>
        <w:t>EBITDA for Real Estate (EBITDAre):</w:t>
      </w:r>
      <w:r>
        <w:rPr>
          <w:color w:val="000000"/>
        </w:rPr>
        <w:t xml:space="preserve"> </w:t>
      </w:r>
      <w:r>
        <w:rPr>
          <w:rFonts w:ascii="Times New Roman;serif" w:hAnsi="Times New Roman;serif"/>
          <w:b w:val="false"/>
          <w:color w:val="000000"/>
          <w:sz w:val="18"/>
        </w:rPr>
        <w:t>EBITDAre is a non-GAAP measure that the National Association of Real Estate Investment Trusts ("Nareit") defines as: net 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w:t>
      </w:r>
    </w:p>
    <w:p>
      <w:pPr>
        <w:pStyle w:val="TextBody"/>
        <w:bidi w:val="0"/>
        <w:spacing w:lineRule="auto" w:line="288" w:before="180" w:after="283"/>
        <w:jc w:val="left"/>
        <w:rPr/>
      </w:pPr>
      <w:r>
        <w:rPr>
          <w:rFonts w:ascii="Times New Roman;serif" w:hAnsi="Times New Roman;serif"/>
          <w:b/>
          <w:color w:val="000000"/>
          <w:sz w:val="18"/>
        </w:rPr>
        <w:t>Nareit-defined Funds From Operations (Nareit FFO):</w:t>
      </w:r>
      <w:r>
        <w:rPr>
          <w:color w:val="000000"/>
        </w:rPr>
        <w:t xml:space="preserve"> </w:t>
      </w:r>
      <w:r>
        <w:rPr>
          <w:rFonts w:ascii="Times New Roman;serif" w:hAnsi="Times New Roman;serif"/>
          <w:b w:val="false"/>
          <w:color w:val="000000"/>
          <w:sz w:val="18"/>
        </w:rPr>
        <w:t xml:space="preserve">Nareit FFO is a supplemental measure of real estate companies' operating performances. NAREIT defines FFO as follows: net income, computed 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Nareit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Nareit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Nareit FFO to similarly titled measures for other REITs may not necessarily be meaningful due to possible differences in the application of the Nareit definition used by such REITs. </w:t>
      </w:r>
    </w:p>
    <w:p>
      <w:pPr>
        <w:pStyle w:val="TextBody"/>
        <w:bidi w:val="0"/>
        <w:spacing w:lineRule="auto" w:line="288" w:before="180" w:after="283"/>
        <w:jc w:val="left"/>
        <w:rPr/>
      </w:pPr>
      <w:r>
        <w:rPr>
          <w:rFonts w:ascii="Times New Roman;serif" w:hAnsi="Times New Roman;serif"/>
          <w:b/>
          <w:color w:val="000000"/>
          <w:sz w:val="18"/>
        </w:rPr>
        <w:t>Core Funds From Operations (Core FFO):</w:t>
      </w:r>
      <w:r>
        <w:rPr>
          <w:color w:val="000000"/>
        </w:rPr>
        <w:t xml:space="preserve"> </w:t>
      </w:r>
      <w:r>
        <w:rPr>
          <w:rFonts w:ascii="Times New Roman;serif" w:hAnsi="Times New Roman;serif"/>
          <w:b w:val="false"/>
          <w:color w:val="000000"/>
          <w:sz w:val="18"/>
        </w:rPr>
        <w:t>Core FFO is a supplemental non-GAAP financial measure of performance that adjusts Nareit FFO to exclude the impact of certain items that management considers are not indicative of the Company’s ongoing operating and financial performance. These adjustments include, when applicable, (1) gains or losses on early extinguishment of debt, (2) new market tax credit transaction income, (3) executive transition costs, (4) collection of prior period rents which were contractually deferred or payments renegotiated related to the COVID-19 pandemic, and (5) other items as determined by management. Management believes Core FFO provides enhanced comparability across periods and additional insight into the Company’s underlying operating results, by excluding items that may reflect short-term fluctuations in net income and Nareit FFO. Core FFO is not intended to be a substitute for net income or Nareit FFO. Comparison of our presentation of Core FFO to similarly titled measures for other REITs may not be meaningful due to possible differences in the way Core FFO is defined or applied by other REITs.</w:t>
      </w:r>
    </w:p>
    <w:p>
      <w:pPr>
        <w:pStyle w:val="TextBody"/>
        <w:bidi w:val="0"/>
        <w:spacing w:lineRule="auto" w:line="288" w:before="180" w:after="283"/>
        <w:jc w:val="left"/>
        <w:rPr/>
      </w:pPr>
      <w:r>
        <w:rPr>
          <w:rFonts w:ascii="Times New Roman;serif" w:hAnsi="Times New Roman;serif"/>
          <w:b/>
          <w:color w:val="000000"/>
          <w:sz w:val="18"/>
        </w:rPr>
        <w:t xml:space="preserve">Property Operating Income: </w:t>
      </w:r>
      <w:r>
        <w:rPr>
          <w:rFonts w:ascii="Times New Roman;serif" w:hAnsi="Times New Roman;serif"/>
          <w:b w:val="false"/>
          <w:color w:val="000000"/>
          <w:sz w:val="18"/>
        </w:rPr>
        <w:t>Total revenue less rental expenses and real estate taxes.</w:t>
      </w:r>
    </w:p>
    <w:p>
      <w:pPr>
        <w:pStyle w:val="TextBody"/>
        <w:bidi w:val="0"/>
        <w:spacing w:lineRule="auto" w:line="288" w:before="180" w:after="283"/>
        <w:jc w:val="left"/>
        <w:rPr/>
      </w:pPr>
      <w:r>
        <w:rPr>
          <w:rFonts w:ascii="Times New Roman;serif" w:hAnsi="Times New Roman;serif"/>
          <w:b/>
          <w:color w:val="000000"/>
          <w:sz w:val="18"/>
        </w:rPr>
        <w:t>Overall Portfolio:</w:t>
      </w:r>
      <w:r>
        <w:rPr>
          <w:color w:val="000000"/>
        </w:rPr>
        <w:t xml:space="preserve"> </w:t>
      </w:r>
      <w:r>
        <w:rPr>
          <w:rFonts w:ascii="Times New Roman;serif" w:hAnsi="Times New Roman;serif"/>
          <w:b w:val="false"/>
          <w:color w:val="000000"/>
          <w:sz w:val="18"/>
        </w:rPr>
        <w:t>Includes all consolidated operating properties owned in reporting period.</w:t>
      </w:r>
    </w:p>
    <w:p>
      <w:pPr>
        <w:pStyle w:val="TextBody"/>
        <w:bidi w:val="0"/>
        <w:spacing w:lineRule="auto" w:line="288" w:before="180" w:after="283"/>
        <w:jc w:val="left"/>
        <w:rPr/>
      </w:pPr>
      <w:r>
        <w:rPr>
          <w:rFonts w:ascii="Times New Roman;serif" w:hAnsi="Times New Roman;serif"/>
          <w:b/>
          <w:color w:val="000000"/>
          <w:sz w:val="18"/>
        </w:rPr>
        <w:t xml:space="preserve">Comparable Properties: </w:t>
      </w:r>
      <w:r>
        <w:rPr>
          <w:rFonts w:ascii="Times New Roman;serif" w:hAnsi="Times New Roman;serif"/>
          <w:b w:val="false"/>
          <w:color w:val="000000"/>
          <w:sz w:val="18"/>
        </w:rPr>
        <w:t xml:space="preserve">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Comparable property growth statistics are calculated on a GAAP basis. </w:t>
      </w:r>
    </w:p>
    <w:p>
      <w:pPr>
        <w:pStyle w:val="TextBody"/>
        <w:bidi w:val="0"/>
        <w:spacing w:lineRule="auto" w:line="288" w:before="180" w:after="283"/>
        <w:jc w:val="left"/>
        <w:rPr/>
      </w:pPr>
      <w:r>
        <w:rPr>
          <w:rFonts w:ascii="Times New Roman;serif" w:hAnsi="Times New Roman;serif"/>
          <w:b/>
          <w:color w:val="000000"/>
          <w:sz w:val="18"/>
        </w:rPr>
        <w:t xml:space="preserve">Annualized Base Rent (ABR): </w:t>
      </w:r>
      <w:r>
        <w:rPr>
          <w:rFonts w:ascii="Times New Roman;serif" w:hAnsi="Times New Roman;serif"/>
          <w:b w:val="false"/>
          <w:color w:val="000000"/>
          <w:sz w:val="18"/>
        </w:rPr>
        <w:t xml:space="preserve">Represents aggregate, annualized in-place contractual (defined as rents billed on a cash basis without taking the impact of rent abatements into account) minimum rent for all occupied spaces as of the reporting period. </w:t>
      </w:r>
    </w:p>
    <w:p>
      <w:pPr>
        <w:pStyle w:val="TextBody"/>
        <w:bidi w:val="0"/>
        <w:spacing w:lineRule="auto" w:line="288" w:before="180" w:after="283"/>
        <w:jc w:val="left"/>
        <w:rPr/>
      </w:pPr>
      <w:r>
        <w:rPr>
          <w:rFonts w:ascii="Times New Roman;serif" w:hAnsi="Times New Roman;serif"/>
          <w:b/>
          <w:color w:val="000000"/>
          <w:sz w:val="18"/>
        </w:rPr>
        <w:t xml:space="preserve">Retail Leasing Summary - Lease Rollover Calculation: </w:t>
      </w:r>
      <w:r>
        <w:rPr>
          <w:rFonts w:ascii="Times New Roman;serif" w:hAnsi="Times New Roman;serif"/>
          <w:b w:val="false"/>
          <w:color w:val="000000"/>
          <w:sz w:val="18"/>
        </w:rPr>
        <w:t>The rental increases associated with comparable spaces generally include all leases signed for retail space in arms-length transactions reflecting market leverage between landlords and tenants during the period, excluding leases at properties sold during the quarter or under contract to be sold. The comparison between the rent for expiring leases and new leases is determined by including contractual rent on the expiring lease, including percentage rent considered to be part of base rent, and the comparable annual rent and in some instances, projections of percentage rent, to be paid on the new lease. In atypical circumstances, management may exercise judgment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pStyle w:val="TextBody"/>
        <w:bidi w:val="0"/>
        <w:spacing w:lineRule="auto" w:line="288" w:before="180" w:after="283"/>
        <w:jc w:val="left"/>
        <w:rPr/>
      </w:pPr>
      <w:r>
        <w:rPr>
          <w:rFonts w:ascii="Times New Roman;serif" w:hAnsi="Times New Roman;serif"/>
          <w:b/>
          <w:color w:val="000000"/>
          <w:sz w:val="18"/>
        </w:rPr>
        <w:t xml:space="preserve">Tenant Improvements and Incentives: </w:t>
      </w:r>
      <w:r>
        <w:rPr>
          <w:rFonts w:ascii="Times New Roman;serif" w:hAnsi="Times New Roman;serif"/>
          <w:b w:val="false"/>
          <w:color w:val="000000"/>
          <w:sz w:val="18"/>
        </w:rPr>
        <w:t>Represents the total dollars committed for the improvement (fit-out) of a space as it relates to a specific lease. Incentives include amounts paid to tenants as an inducement to sign a lease that do not represent building improvements.</w:t>
      </w:r>
    </w:p>
    <w:p>
      <w:pPr>
        <w:pStyle w:val="TextBody"/>
        <w:bidi w:val="0"/>
        <w:spacing w:lineRule="auto" w:line="288" w:before="180" w:after="283"/>
        <w:jc w:val="left"/>
        <w:rPr/>
      </w:pPr>
      <w:r>
        <w:rPr>
          <w:rFonts w:ascii="Times New Roman;serif" w:hAnsi="Times New Roman;serif"/>
          <w:b/>
          <w:color w:val="000000"/>
          <w:sz w:val="18"/>
        </w:rPr>
        <w:t>General:</w:t>
      </w:r>
      <w:r>
        <w:rPr>
          <w:color w:val="000000"/>
        </w:rPr>
        <w:t xml:space="preserve"> </w:t>
      </w:r>
      <w:r>
        <w:rPr>
          <w:rFonts w:ascii="Times New Roman;serif" w:hAnsi="Times New Roman;serif"/>
          <w:b w:val="false"/>
          <w:color w:val="000000"/>
          <w:sz w:val="18"/>
        </w:rPr>
        <w:t xml:space="preserve">Property related statistics are the for the consolidated property portfolio except where noted. </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ptos">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14302</Words>
  <Characters>76566</Characters>
  <CharactersWithSpaces>88361</CharactersWithSpaces>
  <Paragraphs>4278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