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2012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May 4, 2012 was 63,914,475.</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7"/>
              </w:rPr>
              <w:t>QUARTER ENDED MARCH 31,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Balance Sheets as of March 31, 2012 (unaudited) and December 31, 2011</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9"/>
              </w:rPr>
              <w:t>Consolidated Statements of Comprehensive Income (unaudited) for the three months ended March 31,</w:t>
            </w: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60" w:type="dxa"/>
            <w:vAlign w:val="bottom"/>
          </w:tcPr>
          <w:p>
            <w:pPr>
              <w:ind w:left="80"/>
              <w:spacing w:after="0" w:line="190" w:lineRule="exact"/>
              <w:rPr>
                <w:sz w:val="20"/>
                <w:szCs w:val="20"/>
                <w:color w:val="auto"/>
              </w:rPr>
            </w:pPr>
            <w:r>
              <w:rPr>
                <w:rFonts w:ascii="Arial" w:cs="Arial" w:eastAsia="Arial" w:hAnsi="Arial"/>
                <w:sz w:val="18"/>
                <w:szCs w:val="18"/>
                <w:color w:val="auto"/>
              </w:rPr>
              <w:t>2012 and 2011</w:t>
            </w:r>
          </w:p>
        </w:tc>
        <w:tc>
          <w:tcPr>
            <w:tcW w:w="80" w:type="dxa"/>
            <w:vAlign w:val="bottom"/>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8"/>
              </w:rPr>
              <w:t>Consolidated Statement of Shareholders' Equity (unaudited) for the three months ended March 31,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6"/>
              </w:rPr>
              <w:t>Consolidated Statements of Cash Flows (unaudited) for the three months ended March 31, 2012 and 2011</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26</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1A.</w:t>
            </w:r>
          </w:p>
        </w:tc>
        <w:tc>
          <w:tcPr>
            <w:tcW w:w="826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5.</w:t>
            </w:r>
          </w:p>
        </w:tc>
        <w:tc>
          <w:tcPr>
            <w:tcW w:w="826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6.</w:t>
            </w:r>
          </w:p>
        </w:tc>
        <w:tc>
          <w:tcPr>
            <w:tcW w:w="8260" w:type="dxa"/>
            <w:vAlign w:val="bottom"/>
          </w:tcPr>
          <w:p>
            <w:pPr>
              <w:ind w:left="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939"/>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00"/>
          </w:cols>
          <w:pgMar w:left="240" w:top="118" w:right="1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balance sheet as of December 31, 2011,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2012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$263,583 and $263,570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4,251,132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4,452,011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Less accumulated depreciation and amortization (including $6,741 and $4,991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3,301,613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$9,886 and $9,098,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3,668,848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$207,099 and $207,683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744,297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747,523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63,093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294,685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104,660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68,761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2,320,310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63,909,248 and 63,544,150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1,790,460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1,764,940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(555,541)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3,668,848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134,438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146,289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137,649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29,402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56,373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real estate in real estate partnership</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(Note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 (Note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13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138"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63,544,150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$1,764,940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(555,541)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$ 1,240,604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3"/>
              </w:rPr>
              <w:t>Net income, excluding $613 attributable to</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42,986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43,509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(44,093)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(44,093)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220,835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20,988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20,990</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20,590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w w:val="95"/>
              </w:rPr>
              <w:t>Share-based compensation expense,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117,307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2,831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63,909,248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$1,790,460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(556,783)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$ 1,266,286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3,779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(18,967)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(52,908)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115,000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and retirement of senior notes/debentures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(45,299)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(41,358)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67,806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15,797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March 31, 2012, we owned or had a majority interest in community and neighborhood shopping centers and mixed-use properties which are operated as 87 predominantly retail real estate projects.</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2011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4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58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44,122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58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45,480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45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44,344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494"/>
              <w:spacing w:after="0"/>
              <w:rPr>
                <w:sz w:val="20"/>
                <w:szCs w:val="20"/>
                <w:color w:val="auto"/>
              </w:rPr>
            </w:pPr>
            <w:r>
              <w:rPr>
                <w:rFonts w:ascii="Arial" w:cs="Arial" w:eastAsia="Arial" w:hAnsi="Arial"/>
                <w:sz w:val="18"/>
                <w:szCs w:val="18"/>
                <w:color w:val="auto"/>
              </w:rPr>
              <w:t>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Recently Adopted Accounting Pronouncements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May 2011, the Financial Accounting Standards Board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31,250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26,816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28,793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25,044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 assumed with acquisition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42,938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 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2012,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177,618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178,693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186,256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57,322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57,376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125,077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186,256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17,197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 The deferred gain was included in "other liabilities and deferred credits" on the balance sheet at December 31,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three months ended March 31, 2012, our $400.0 million revolving credit facility had no amounts outstanding. Our revolving credit facility, term loan and certain notes require us to comply with various financial covenants, including the maintenance of minimum shareholders’ equity and debt coverage ratios and a maximum ratio of debt to net worth. As of March 31, 2012, we were in compliance with all loan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ectPr>
          <w:pgSz w:w="11900" w:h="16838" w:orient="portrait"/>
          <w:cols w:equalWidth="0" w:num="1">
            <w:col w:w="11420"/>
          </w:cols>
          <w:pgMar w:left="240" w:top="126"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1,038,982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1,091,798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1,042,682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1,099,273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1,004,584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1,094,273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1,004,635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1,085,309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March 31, 2012, we have two interest rate swap agreements with a notional amount of $275.0 million that are measured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$3.9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did not impact earnings in 2012, and we do not anticipate it will have a significant effect in the future.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2012 was a liability of $2.6 million and is included in "accounts payable and accrued expenses" on our consolidated balance sheet. The change in valuation on our interest rate swaps was $1.4 million (including $1.0 million reclassified from other comprehensive income to earnings) for the three months ended March 31, 2012 and is included in "accumulated other comprehensive loss". A summary of our financial liabilities that are measured at fair value on a recurring basis, by level within the fair value hierarchy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2011</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3,940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326,140 operating partnership units are outstanding which have a total fair value of $31.6 million, based on our closing stock price on March 31, 2012.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2011</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0.339</w:t>
            </w: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2012, we issued 220,792 common shares at a weighted average price per share of $96.58 for net cash proceeds of $21.0 million and paid $0.3 million in commissions related to the sales of these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and commercial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96,736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Residential (1)</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140,661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134,438</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Straight-line rents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0.6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below market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2011</w:t>
            </w:r>
          </w:p>
        </w:tc>
      </w:tr>
      <w:tr>
        <w:trPr>
          <w:trHeight w:val="244"/>
        </w:trPr>
        <w:tc>
          <w:tcPr>
            <w:tcW w:w="9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579"/>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Revenue from discontinued operations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1.0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2,007</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2012 and 2011,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months ended March 31, 2012. Approximately 0.1 million stock options have been excluded for the three months ended March 31, 2011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76"/>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31,963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30,860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61,471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63,585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61,629</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30,775</w:t>
            </w:r>
          </w:p>
        </w:tc>
        <w:tc>
          <w:tcPr>
            <w:tcW w:w="0" w:type="dxa"/>
            <w:vAlign w:val="bottom"/>
          </w:tcPr>
          <w:p>
            <w:pPr>
              <w:spacing w:after="0"/>
              <w:rPr>
                <w:sz w:val="1"/>
                <w:szCs w:val="1"/>
                <w:color w:val="auto"/>
              </w:rPr>
            </w:pPr>
          </w:p>
        </w:tc>
      </w:tr>
      <w:tr>
        <w:trPr>
          <w:trHeight w:val="891"/>
        </w:trPr>
        <w:tc>
          <w:tcPr>
            <w:tcW w:w="9020" w:type="dxa"/>
            <w:vAlign w:val="bottom"/>
          </w:tcPr>
          <w:p>
            <w:pPr>
              <w:ind w:left="56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2011 filed with the Securities and Exchange Commission (the “SEC”) on February 16, 2012.</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2011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(excludes unconsolidated joint venture properties).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Significant Equity Transactions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2012, we issued 220,792 common shares at a weighted average price per share of $96.58 for net cash proceeds of $21.0 million and paid $0.3 million in commissions related to the sales of these common shares. As of March 31, 2012, we had the capacity to issue up to $137.0 million in common shares under our ATM equity program.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Purchase Price Allocation of 2011 Property Acquisitions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 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pre-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construction costs, real estate taxes, insurance, construction costs and salaries and related costs of personnel directly involved, are capitalized. We capitalized external and internal costs related to both development and redevelopment activities of $16 million and $2 million, respectively, for the three months ended March 31, 2012 and $17 million and $1 million, respectively, for the three months ended March 31, 2011. We capitalized external and internal costs related to other property improvements of $10 million and less than $1 million, respectively, for the three months ended March 31, 2012 and $8 million and less than $1 million, respectively, for the three months ended March 31, 2011. We capitalized external and internal costs related to leasing activities of $1 million and $1 million, respectively, for the three months ended March 31, 2012 and $3 million and $1 million, respectively, for the three months ended March 31, 2011. The amount of capitalized internal costs for salaries and related benefits for development and redevelopment activities, other property improvements, and leasing activities were $1 million, less than $1 million, and $1 million, respectively, for both the three months ended March 31, 2012 and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properties are predominately located in densely populated,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2012, we expect to have redevelopment projects stabilizing with projected costs of approximately $57 million.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we continue to invest in the development at Assembly Row which is a long-term development project we expect to be involved in over the coming years. The carrying value of the development portion of this project at March 31, 2012 is approximately $155 million. The project currently has zoning entitlements to build 2.3 million square feet of commercial-use buildings, 2,100 residential units, and a 200 room hotel. In December 2011, we entered into agreements with AvalonBay Communities ("AvalonBay") for a portion of the first phase of residential and retail development at Assembly Row which will include 575 residential units (by AvalonBay) and approximately 323,000 square feet of retail space. The Massachusetts Bay Transit Authority (MBTA) will also construct the new orange line T-Stop at the property. Construction commenced during first quarter 2012 and we expect the first phase to be stabilized in 2015. We will also continue our infrastructure work during 2012. We expect to invest between $20 million and $40 million in 2012, net of expected public funding.</w:t>
      </w:r>
    </w:p>
    <w:p>
      <w:pPr>
        <w:spacing w:after="0" w:line="13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continue our predevelopment work related to the long-term redevelopment of Mid-Pike Plaza in Rockville, Maryland, which will be renamed Pike &amp; Rose, a long-term, multi-phased, mixed-use project. The property currently has zoning entitlements to build 1.7 million square feet of commercial-use buildings and 1,583 residential units. Phase I of Pike &amp; Rose involves demolition of roughly 25% of the existing GLA at Mid-Pike Plaza and construction of 493 residential units, 151,000 square feet of retail space and 79,000 square of office space. We expect construction of Phase I to commence in mid-2012 with stabilization in 2015/2016. We expect to invest between $40 million and $60 million in 2012.</w:t>
      </w:r>
    </w:p>
    <w:p>
      <w:pPr>
        <w:spacing w:after="0" w:line="11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development of future phases of Assembly Row, Pike &amp; Rose and Santana Row will be pursued opportunistically based on, among other things, market conditions, our evaluation of whether those phases will generate an appropriate financial return and our ability to structure the development of those future phases, through entitlement sales, third party capital investment or otherwise, in a way that should mitigate our risk of those future phases.</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two years. While we have seen improvements over much of our portfolio, we continue to see some tenants being negatively impacted by the economic environment and some filing for bankruptcy, though at a lower rate than in previous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We expect to continue to see small changes in occupancy over the short term and expect increases in occupancy and rental rates to be a driver of our same-center growth over the long term as we are able to re-lease vacant spaces. We seek to maintain a mix of strong national, regional, and local retailers. At March 31, 2012, no single tenant accounted for more than 2.5% of annualized base rent.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long-term</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growth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2012, the leasable square feet in our properties was 92.6% occupied and 93.8%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the first quarter 2012, we signed leases for a total of 473,000 square feet of retail space including 461,000 square feet of comparable space leases (leases for which there was a prior tenant) at an average rental increase of 17% on a cash basis and 24% on a straight-line basis. New leases for comparable spaces were signed for 224,000 square feet at an average rental increase of 31% on a cash basis and 40% on a straight-line basis. Renewals for comparable spaces were signed for 237,000 square feet at an average rental increase of 4% on a cash basis and 10% on a straight-line basis.</w:t>
      </w:r>
    </w:p>
    <w:p>
      <w:pPr>
        <w:spacing w:after="0" w:line="10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2012 generally become effective over the following two years though some may not become effective until 2014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2012,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As of March 31, 2012, all or a portion of 78 properties were considered same-center and seven were considered redevelopment or expansion. Three properties were removed from same-center and one property was added to same-center compared to the designations as of December 31, 2011.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comparable periods and the property is not under significant development or expansion.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MARCH 31, 2012 AND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2,272</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146,289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137,649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8,640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104,122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92,840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11,282</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11,860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11,800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property revenue increased $8.6 million, or 6.3%, to $146.3 million in the three months ended March 31, 2012 compared to $137.6 million in the three months ended March 31, 2011. The percentage occupied at our shopping centers decreased to 92.6% at March 31, 2012 compared to 93.5% at March 31, 2011.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$6.2 million, or 4.6%, to $140.7 million in the three months ended March 31, 2012 compared to $134.4 million in the three months ended March 31, 2011 due primarily to the following:</w:t>
      </w:r>
    </w:p>
    <w:p>
      <w:pPr>
        <w:spacing w:after="0" w:line="19"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$6.9 million attributable to properties acquired in 2011, and</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$0.8 million at redevelopment properties due primarily to increased occupancy at certain properties and higher rental rates on new and renewal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8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$1.8 million at same-center properties due primarily to lower recovery income as a result of lower recoverable expenses (primarily snow removal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property income increased $2.3 million, or 108.7%, to $4.4 million in the three months ended March 31, 2012 compared to $2.1 million in the three months ended March 31, 2011. Included in other property income are items which, although recurring, tend to fluctuate more than rental income from period to period, such as lease termination fees. This increase is</w:t>
      </w:r>
    </w:p>
    <w:p>
      <w:pPr>
        <w:sectPr>
          <w:pgSz w:w="11900" w:h="16838" w:orient="portrait"/>
          <w:cols w:equalWidth="0" w:num="1">
            <w:col w:w="11420"/>
          </w:cols>
          <w:pgMar w:left="240" w:top="1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an increase in lease termination fees at same-center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property expenses decreased $2.6 million, or 5.9%, to $42.2 million in the three months ended March 31, 2012 compared to $44.8 million in the three months ended March 31, 2011.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expenses decreased $3.3 million, or 11.2%, to $26.1 million in the three months ended March 31, 2012 compared to $29.4 million in the three months ended March 31, 2011. This decrease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of $4.1 million in repairs and maintenance at same-center properties primarily due to lower snow removal costs,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in bad debt expense at same-center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related to properties acquired in 2011,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in other operating costs.</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18.0% in the three months ended March 31, 2012 from 21.5% in the three months ended March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Real estate tax expense increased $0.7 million, or 4.2% to $16.1 million in the three months ended March 31, 2012 compared to $15.4 million in the three months ended March 31, 2011 due primarily to $0.9 million from properties acquired in 2011 partially offset by tax refunds at certain same-center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Property operating income increased $11.3 million, or 12.2%, to $104.1 million in the three months ended March 31, 2012 compared to $92.8 million in the three months ended March 31, 2011. This increase is primarily due to properties acquired in 2011 and growth in earnings at same-center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increased $3.7 million, or 15.0%, to $28.8 million in the three months ended March 31, 2012 compared to $25.0 million in the three months ended March 31, 2011. This increase is due primarily to the following:</w:t>
      </w:r>
    </w:p>
    <w:p>
      <w:pPr>
        <w:spacing w:after="0" w:line="8" w:lineRule="exact"/>
        <w:rPr>
          <w:sz w:val="20"/>
          <w:szCs w:val="20"/>
          <w:color w:val="auto"/>
        </w:rPr>
      </w:pPr>
    </w:p>
    <w:p>
      <w:pPr>
        <w:ind w:left="1700" w:right="12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$3.2 million due to mortgage loans secured by Plaza El Segundo and Montrose Crossing both of which were acquired in 2011,</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$0.9 million due to a higher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$0.3 million due to higher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$0.7 million in capitalized interest.</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interest costs were $31.3 million and $26.8 million in the three months ended March 31, 2012 and 2011, respectively. Capitalized interest was $2.5 million and $1.8 million in the three months ended March 31,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$0.3 million of income from early extinguishment of debt in the three months ended March 31, 2011 is due to the write-off of unamortized debt premium net of a 3.0% prepayment premium and unamortized debt fees related to the payoff of our mortgage loan on Tower Shops prior to its contractual prepayment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6" w:right="2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 and administrative expense increased $1.0 million, or 15.7%, to $7.0 million in in the three months ended March 31, 2012 from $6.1 million in the three months ended March 31, 2011. This increase is due primarily to higher personnel related costs partially offset by lower acquisition costs resulting from a lower volume of potential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Depreciation and amortization expense increased $6.2 million, or 20.2%, to $36.6 million in the three months ended March 31, 2012 from $30.4 million in the three months ended March 31, 2011. This increase is due primarily to 2011 acquisitions, accelerated depreciation due to the change in use of certain redevelopment buildings and capital improvements at same-center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$0.4 million for the three months ended March 31, 2011 primarily represents the operating income for the period during which we owned properties sold/disposed of in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in Real Estate Partnership</w:t>
      </w:r>
    </w:p>
    <w:p>
      <w:pPr>
        <w:spacing w:after="0" w:line="9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$11.9 million gain on sale of real estate in real estate partnership in the three months ended March 31,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three months ended March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May 2011,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and cash equivalents increased $1.4 million to $69.2 million at March 31, 2012; however, cash and cash equivalents are not the only indicator of our liquidity. We have a $400.0 million unsecured revolving credit facility which matures on July 6, 2015 and had no borrowings during the three months ended March 31, 2012. In addition, we have an option (subject to bank approval) to increase the credit facility through an accordion feature to $800.0 million. Our $275.0 million unsecured term loan which matures on November 21, 2018 also has an option (subject to bank approval) to increase the term loan through an accordion feature to $350.0 million. As of March 31, 2012, we had the capacity to issue up to $137.0 million in common shares under our ATM equity program.</w:t>
      </w:r>
    </w:p>
    <w:p>
      <w:pPr>
        <w:spacing w:after="0" w:line="13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have approximately $192 million of debt maturing in 2012, of which $175.0 million relates to our 6.00% senior notes that mature in July 2012.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overall capital requirements during 2012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incur higher amounts in 2012 compared to those incurred in 2011 related to capital investments for development, redevelopment and existing properties as we progress with our active development pipeline. These amounts will be funded on a short-term basis with cash flow from operations, cash on hand, our revolving credit facility and/or proceeds from shares issued under our ATM equity program, and on a long-term basis, with long-term debt or equity.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(52,908)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69,182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10,001</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operating activities increased $23.5 million to $69.5 million during the three months ended March 31, 2012 from $46.0 million during the three months ended March 31, 2011. The increase was primarily attributable to the payment in 2011 of the $16.2 million final judgment related to a previously disclosed lawsuit offset by higher net income before certain non-cash items.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in investing activities decreased $13.6 million to $39.3 million during the three months ended March 31, 2012 from $52.9 million during the three months ended March 31, 2011. The decrease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$19.2 million decrease in acquisitions of real estate due to the January 2011 Tower Shops acquisition and no acquisitions in 2012,</w:t>
      </w:r>
    </w:p>
    <w:p>
      <w:pPr>
        <w:spacing w:after="0" w:line="8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6"/>
          <w:szCs w:val="16"/>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$6.9 million increase in capital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increased $29.9 million to $28.8 million during the three months ended March 31,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compared to $1.1 million of cash provided during the three months ended March 31, 2011. The increase was primarily attributable to:</w:t>
      </w:r>
    </w:p>
    <w:p>
      <w:pPr>
        <w:spacing w:after="0" w:line="63"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$115.0 million decrease in net borrowings on our revolving credit facility, and</w:t>
      </w:r>
    </w:p>
    <w:p>
      <w:pPr>
        <w:spacing w:after="0" w:line="63" w:lineRule="exact"/>
        <w:rPr>
          <w:rFonts w:ascii="Arial" w:cs="Arial" w:eastAsia="Arial" w:hAnsi="Arial"/>
          <w:sz w:val="18"/>
          <w:szCs w:val="18"/>
          <w:color w:val="auto"/>
        </w:rPr>
      </w:pPr>
    </w:p>
    <w:p>
      <w:pPr>
        <w:jc w:val="both"/>
        <w:ind w:left="1700" w:right="160" w:hanging="801"/>
        <w:spacing w:after="0" w:line="342"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$26.1 million decrease in net proceeds from the issuance of common shares due primarily to the sale of 0.6 million shares under our ATM equity program in the three months ended March 31, 2011 compared to 0.2 million in the three months ended March 31,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82"/>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$75.0 million repayment of 4.50% senior notes in February 2011, and</w:t>
      </w:r>
    </w:p>
    <w:p>
      <w:pPr>
        <w:spacing w:after="0" w:line="63" w:lineRule="exact"/>
        <w:rPr>
          <w:rFonts w:ascii="Arial" w:cs="Arial" w:eastAsia="Arial" w:hAnsi="Arial"/>
          <w:sz w:val="18"/>
          <w:szCs w:val="18"/>
          <w:color w:val="auto"/>
        </w:rPr>
      </w:pPr>
    </w:p>
    <w:p>
      <w:pPr>
        <w:ind w:left="1700" w:right="460" w:hanging="882"/>
        <w:spacing w:after="0" w:line="277"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$42.0 million decrease in repayment of mortgages, capital leases and notes payable due to the $41.0 million payoff of the Tower Shops mortgage assumed with the acquisition in January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2012,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March 31, 2012, our investment in the Partnership was $34.2 million and the Partnership had approximately $57.3 million of mortgages payable outstanding.</w:t>
      </w:r>
    </w:p>
    <w:p>
      <w:pPr>
        <w:spacing w:after="0" w:line="11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6" w:right="259" w:bottom="1440" w:gutter="0" w:footer="0" w:header="0"/>
        </w:sectPr>
      </w:pPr>
    </w:p>
    <w:bookmarkStart w:id="22" w:name="page23"/>
    <w:bookmarkEnd w:id="22"/>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 2012</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31, 2012</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Courtyard Shops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2012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19,993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White Marsh Plaza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9,207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Crow Canyon</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Idylwood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16,910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16,206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Leesburg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29,423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Loehmann’s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38,047</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36,464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Pentagon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54,619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52,345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Melville Mall (3)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22,131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56,293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38,771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27,481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24,155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28,006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Shoppers’ World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5,405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79,777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Mount Vernon (4)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13,250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10,455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15, 2028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734,613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744,297</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13,087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(6)</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+ 1.45%</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(7)</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+ 1.15%</w:t>
            </w:r>
          </w:p>
        </w:tc>
        <w:tc>
          <w:tcPr>
            <w:tcW w:w="2160" w:type="dxa"/>
            <w:vAlign w:val="bottom"/>
          </w:tcPr>
          <w:p>
            <w:pPr>
              <w:jc w:val="right"/>
              <w:spacing w:after="0"/>
              <w:rPr>
                <w:sz w:val="20"/>
                <w:szCs w:val="20"/>
                <w:color w:val="auto"/>
              </w:rPr>
            </w:pPr>
            <w:r>
              <w:rPr>
                <w:rFonts w:ascii="Arial" w:cs="Arial" w:eastAsia="Arial" w:hAnsi="Arial"/>
                <w:sz w:val="16"/>
                <w:szCs w:val="16"/>
                <w:color w:val="auto"/>
              </w:rPr>
              <w:t>July 6,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(8)</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294,685</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6.00%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15, 2012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5.40%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135,000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December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1,004,200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1,004,584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71,708</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2,115,274</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6"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368" w:right="1440"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60" w:right="2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payable do not include our 30% share ($17.2 million) of the $57.3 million debt of the partnership with a discretionary fund created and advised by ING Clarion Partners.</w:t>
      </w:r>
    </w:p>
    <w:p>
      <w:pPr>
        <w:spacing w:after="0" w:line="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8"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9"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spacing w:after="0" w:line="8"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of 3.10% represents the weighted average interest rate for two unsecured fixed rate notes payable. These notes mature on May 1, 2012 and January 31, 2013.</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effectively fix the rate on the term loan at 3.17%.</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amount was drawn under our revolving credit facility during the three months ended March 31, 2012.</w:t>
      </w:r>
    </w:p>
    <w:p>
      <w:pPr>
        <w:spacing w:after="0" w:line="63" w:lineRule="exact"/>
        <w:rPr>
          <w:rFonts w:ascii="Arial" w:cs="Arial" w:eastAsia="Arial" w:hAnsi="Arial"/>
          <w:sz w:val="18"/>
          <w:szCs w:val="18"/>
          <w:color w:val="auto"/>
        </w:rPr>
      </w:pPr>
    </w:p>
    <w:p>
      <w:pPr>
        <w:ind w:left="660" w:right="40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March 31, 2012,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185,255</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15,634</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200,907</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135,030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73,521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208,573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307,863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204,936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204,963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134,400</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136,951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694,200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280,163</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1,045,949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1,298,885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734,613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2,105,206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repayment of the outstanding mortgage payable balance on Mount Vernon. The lender has the option to call the loan on April 15, 2013 or any time thereafter.</w:t>
      </w:r>
    </w:p>
    <w:p>
      <w:pPr>
        <w:spacing w:after="0" w:line="8"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$400.0 million revolving credit facility matures on July 6, 2015, subject to a one-year extension at our option. As of March 31, 2012, there was $0 drawn under this credit facility.</w:t>
      </w:r>
    </w:p>
    <w:p>
      <w:pPr>
        <w:spacing w:after="0" w:line="8"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2012.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6"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November 2011, we entered into two interest rate swap agreements that effectively fixed the rate on the term loan at 3.17%. Both swaps were designated and qualified as cash flow hedges and were recorded at fair value. Hedge ineffectiveness did not impact earnings in 2012,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0" w:lineRule="exact"/>
        <w:rPr>
          <w:sz w:val="20"/>
          <w:szCs w:val="20"/>
          <w:color w:val="auto"/>
        </w:rPr>
      </w:pPr>
    </w:p>
    <w:p>
      <w:pPr>
        <w:ind w:left="1700" w:right="46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44,122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32,415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61,442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61,270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63,943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61,991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Funds from operations available for common shareholders, per diluted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2012, we were party to two interest rate swap agreements that effectively fixed the rate on the term loan at 3.17%.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March 31, 2012, we had $2.1 billion of fixed-rate debt outstanding, including our $275.0 million term loan as the rate is effectively fixed by two interest rate swap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$71.7 million of capital lease obligations. If market interest rates used to calculate the fair value on our fixed-rate debt instruments at March 31, 2012 had been 1.0% higher, the fair value of those debt instruments on that date would have decreased by approximately $66.1 million. If market interest rates used to calculate the fair value on our fixed-rate debt instruments at March 31, 2012 had been 1.0% lower, the fair value of those debt instruments on that date would have increased by approximately $70.1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March 31, 2012, we had $9.4 million of variable rate debt outstanding which consisted of municipal bonds. Our revolving credit facility had no outstanding balance as of March 31, 2012.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2012. Based on this evaluation, our management, including our Chief Executive Officer and Chief Financial Officer, concluded that our disclosure controls and procedures were effective as of March 31, 2012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2011 filed with the SEC on February 16, 2012. These factors include, but are not limited to, the following:</w:t>
      </w:r>
    </w:p>
    <w:p>
      <w:pPr>
        <w:spacing w:after="0" w:line="8" w:lineRule="exact"/>
        <w:rPr>
          <w:sz w:val="20"/>
          <w:szCs w:val="20"/>
          <w:color w:val="auto"/>
        </w:rPr>
      </w:pPr>
    </w:p>
    <w:p>
      <w:pPr>
        <w:ind w:left="1700" w:right="4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6"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left="2760" w:hanging="807"/>
        <w:spacing w:after="0"/>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180" w:hanging="801"/>
        <w:spacing w:after="0" w:line="286" w:lineRule="auto"/>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January 4, 2012 and March 28, 2012, we redeemed 907 and 33,267 operating partnership units, respectively, for cash.</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580" w:val="left"/>
          <w:tab w:leader="none" w:pos="792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6" w:right="37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554"/>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554"/>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554"/>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554"/>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Amended and Restated Rights Agreement, dated March 11, 1999, between the Trust and American Stock Transfer &amp; Trust Company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 to the Trust’s Registration Statement on Form 8-A/A filed on March 11, 1999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554"/>
              <w:spacing w:after="0"/>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Amended and Restated Rights Agreement, dated as of November 2003, between the Trust and American Stock Transfer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&amp; Trust Company (previously filed as Exhibit 4.5 to the Trust’s Annual Report on Form 10-K for the year ended December 31, 2003 (File No.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1-07533) and incorporated herein by reference)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Second Amendment to Amended and Restated Rights Agreement, dated as of March 11, 2009, between the Trust and American Stock Transfer</w:t>
      </w:r>
    </w:p>
    <w:p>
      <w:pPr>
        <w:spacing w:after="0" w:line="23" w:lineRule="exact"/>
        <w:rPr>
          <w:sz w:val="20"/>
          <w:szCs w:val="20"/>
          <w:color w:val="auto"/>
        </w:rPr>
      </w:pPr>
    </w:p>
    <w:p>
      <w:pPr>
        <w:ind w:left="1080" w:right="140" w:hanging="5"/>
        <w:spacing w:after="0" w:line="261" w:lineRule="auto"/>
        <w:tabs>
          <w:tab w:leader="none" w:pos="1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Trust Company (previously filed as Exhibit 4.3 to the Trust’s current Report on Form 8-K (File No. 001-07533) and incorporated herein by reference)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0660" w:type="dxa"/>
            <w:vAlign w:val="bottom"/>
          </w:tcPr>
          <w:p>
            <w:pPr>
              <w:ind w:left="360"/>
              <w:spacing w:after="0"/>
              <w:rPr>
                <w:sz w:val="20"/>
                <w:szCs w:val="20"/>
                <w:color w:val="auto"/>
              </w:rPr>
            </w:pPr>
            <w:r>
              <w:rPr>
                <w:rFonts w:ascii="Arial" w:cs="Arial" w:eastAsia="Arial" w:hAnsi="Arial"/>
                <w:sz w:val="18"/>
                <w:szCs w:val="18"/>
                <w:color w:val="auto"/>
                <w:w w:val="95"/>
              </w:rPr>
              <w:t>Indenture dated December 1, 1993 related to the Trust’s 7.48% Debentures due August 15, 2026; and 6.82% Medium Term Notes due</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4"/>
              </w:rPr>
              <w:t>August 1, 2027; (previously filed as Exhibit 4(a) to the Trust’s Registration Statement on Form S-3 (File No. 33-51029), and amended on</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660" w:type="dxa"/>
            <w:vAlign w:val="bottom"/>
          </w:tcPr>
          <w:p>
            <w:pPr>
              <w:ind w:left="36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3"/>
              </w:rPr>
              <w:t>due 2013; 5.95% Notes due 2014 and the 5.90% Notes due 2020 (previously filed as Exhibit 4(a) to the Trust’s Registration Statement on</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Form S-3 (File No. 333-63619) filed on September 17, 1998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10660" w:type="dxa"/>
            <w:vAlign w:val="bottom"/>
          </w:tcPr>
          <w:p>
            <w:pPr>
              <w:ind w:left="360"/>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360"/>
              <w:spacing w:after="0"/>
              <w:rPr>
                <w:sz w:val="20"/>
                <w:szCs w:val="20"/>
                <w:color w:val="auto"/>
              </w:rPr>
            </w:pPr>
            <w:r>
              <w:rPr>
                <w:rFonts w:ascii="Arial" w:cs="Arial" w:eastAsia="Arial" w:hAnsi="Arial"/>
                <w:sz w:val="18"/>
                <w:szCs w:val="18"/>
                <w:color w:val="auto"/>
                <w:w w:val="92"/>
              </w:rPr>
              <w:t>Amended and Restated 1993 Long-Term Incentive Plan, as amended on October 6, 1997 and further amended on May 6, 1998 (previously</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2"/>
              </w:rPr>
              <w:t>filed as Exhibit 10.26 to the Trust’s Annual Report on Form 10-K for the year ended December 31, 1998 (File No. 1-07533) and incorporated</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360"/>
              <w:spacing w:after="0"/>
              <w:rPr>
                <w:sz w:val="20"/>
                <w:szCs w:val="20"/>
                <w:color w:val="auto"/>
              </w:rPr>
            </w:pPr>
            <w:r>
              <w:rPr>
                <w:rFonts w:ascii="Arial" w:cs="Arial" w:eastAsia="Arial" w:hAnsi="Arial"/>
                <w:sz w:val="18"/>
                <w:szCs w:val="18"/>
                <w:color w:val="auto"/>
                <w:w w:val="94"/>
              </w:rPr>
              <w:t>Severance Agreement between the Trust and Donald C. Wood dated February 22, 1999 (previously filed as a portion of Exhibit 10 to the</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36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360"/>
              <w:spacing w:after="0"/>
              <w:rPr>
                <w:sz w:val="20"/>
                <w:szCs w:val="20"/>
                <w:color w:val="auto"/>
              </w:rPr>
            </w:pPr>
            <w:r>
              <w:rPr>
                <w:rFonts w:ascii="Arial" w:cs="Arial" w:eastAsia="Arial" w:hAnsi="Arial"/>
                <w:sz w:val="18"/>
                <w:szCs w:val="18"/>
                <w:color w:val="auto"/>
                <w:w w:val="90"/>
              </w:rPr>
              <w:t>Amendment to Executive Agreement between Federal Realty Investment Trust and Donald C. Wood dated February 16, 2005 (previously filed</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K”)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tcPr>
          <w:p>
            <w:pPr>
              <w:ind w:left="360"/>
              <w:spacing w:after="0"/>
              <w:rPr>
                <w:sz w:val="20"/>
                <w:szCs w:val="20"/>
                <w:color w:val="auto"/>
              </w:rPr>
            </w:pPr>
            <w:r>
              <w:rPr>
                <w:rFonts w:ascii="Arial" w:cs="Arial" w:eastAsia="Arial" w:hAnsi="Arial"/>
                <w:sz w:val="18"/>
                <w:szCs w:val="18"/>
                <w:color w:val="auto"/>
                <w:w w:val="97"/>
              </w:rPr>
              <w:t>Split Dollar Life Insurance Agreement dated August 12, 1998 between the Trust and Donald C. Wood (previously filed as a portion of</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2"/>
              </w:rPr>
              <w:t>Exhibit 10 to the Trust’s Annual Report on Form 10-K for the year ended December 31, 2000 (File No. 1-07533) and incorporated herein by</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6"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Change in Control Agreement between the Trust and Andrew P. Blocher dated February 12, 2007 (previously filed as Exhibit 10.27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Trust’s 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Change in Control Agreement between the Trust and Andrew P. Blocher dated January 1, 2009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10.31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Stock Option Agreements between the Trust and Andrew P. Blocher dated February 17, 2009 (previously filed as Exhibit 10.32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Combined Incentive and Non-Qualified Stock Option Agreement between the Trust and Andrew P. Blocher dated February 17, 2009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10.34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10.35 to the Trust’s 2010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10.36 to the Trust’s 2010 Form 10-K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dated as of February 10, 2011, between the Trust and each of Dawn M. Becker and Andrew P.</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Blocher (previously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Credit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520" w:hanging="1045"/>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2012,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that have been detail tagged.</w:t>
      </w:r>
    </w:p>
    <w:p>
      <w:pPr>
        <w:sectPr>
          <w:pgSz w:w="11900" w:h="16838" w:orient="portrait"/>
          <w:cols w:equalWidth="0" w:num="1">
            <w:col w:w="11420"/>
          </w:cols>
          <w:pgMar w:left="240" w:top="12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6"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2012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2012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May 7, 2012</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lvl w:ilvl="1">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
      <w:numFmt w:val="bullet"/>
      <w:start w:val="1"/>
    </w:lvl>
  </w:abstractNum>
  <w:abstractNum w:abstractNumId="20">
    <w:nsid w:val="6763845E"/>
    <w:multiLevelType w:val="hybridMultilevel"/>
    <w:lvl w:ilvl="0">
      <w:lvlJc w:val="left"/>
      <w:lvlText w:val="&amp;"/>
      <w:numFmt w:val="bullet"/>
      <w:start w:val="1"/>
    </w:lvl>
  </w:abstractNum>
  <w:abstractNum w:abstractNumId="21">
    <w:nsid w:val="75A2A8D4"/>
    <w:multiLevelType w:val="hybridMultilevel"/>
    <w:lvl w:ilvl="0">
      <w:lvlJc w:val="left"/>
      <w:lvlText w:val="%1"/>
      <w:numFmt w:val="decimal"/>
      <w:start w:val="10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2019-12-09T06:53:55Z</dcterms:created>
  <dcterms:modified xsi:type="dcterms:W3CDTF">2019-12-09T06:53:55Z</dcterms:modified>
</cp:coreProperties>
</file>