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February 10, 2022</w:t>
      </w:r>
    </w:p>
    <w:p>
      <w:pPr>
        <w:spacing w:after="0" w:line="15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Federal Realty OP LP</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0"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4240" w:type="dxa"/>
            <w:vAlign w:val="bottom"/>
          </w:tcPr>
          <w:p>
            <w:pPr>
              <w:jc w:val="center"/>
              <w:ind w:right="904"/>
              <w:spacing w:after="0"/>
              <w:rPr>
                <w:sz w:val="20"/>
                <w:szCs w:val="20"/>
                <w:color w:val="auto"/>
              </w:rPr>
            </w:pPr>
            <w:r>
              <w:rPr>
                <w:rFonts w:ascii="Arial" w:cs="Arial" w:eastAsia="Arial" w:hAnsi="Arial"/>
                <w:sz w:val="17"/>
                <w:szCs w:val="17"/>
                <w:b w:val="1"/>
                <w:bCs w:val="1"/>
                <w:color w:val="auto"/>
                <w:w w:val="93"/>
              </w:rPr>
              <w:t>Maryland (Federal Realty Investment Trust)</w:t>
            </w:r>
          </w:p>
        </w:tc>
        <w:tc>
          <w:tcPr>
            <w:tcW w:w="1700" w:type="dxa"/>
            <w:vAlign w:val="bottom"/>
          </w:tcPr>
          <w:p>
            <w:pPr>
              <w:jc w:val="right"/>
              <w:ind w:right="444"/>
              <w:spacing w:after="0"/>
              <w:rPr>
                <w:sz w:val="20"/>
                <w:szCs w:val="20"/>
                <w:color w:val="auto"/>
              </w:rPr>
            </w:pPr>
            <w:r>
              <w:rPr>
                <w:rFonts w:ascii="Arial" w:cs="Arial" w:eastAsia="Arial" w:hAnsi="Arial"/>
                <w:sz w:val="17"/>
                <w:szCs w:val="17"/>
                <w:b w:val="1"/>
                <w:bCs w:val="1"/>
                <w:color w:val="auto"/>
              </w:rPr>
              <w:t>1-07533</w:t>
            </w:r>
          </w:p>
        </w:tc>
        <w:tc>
          <w:tcPr>
            <w:tcW w:w="1340" w:type="dxa"/>
            <w:vAlign w:val="bottom"/>
          </w:tcPr>
          <w:p>
            <w:pPr>
              <w:spacing w:after="0"/>
              <w:rPr>
                <w:sz w:val="18"/>
                <w:szCs w:val="18"/>
                <w:color w:val="auto"/>
              </w:rPr>
            </w:pPr>
          </w:p>
        </w:tc>
        <w:tc>
          <w:tcPr>
            <w:tcW w:w="1900" w:type="dxa"/>
            <w:vAlign w:val="bottom"/>
          </w:tcPr>
          <w:p>
            <w:pPr>
              <w:jc w:val="center"/>
              <w:ind w:left="844"/>
              <w:spacing w:after="0"/>
              <w:rPr>
                <w:sz w:val="20"/>
                <w:szCs w:val="20"/>
                <w:color w:val="auto"/>
              </w:rPr>
            </w:pPr>
            <w:r>
              <w:rPr>
                <w:rFonts w:ascii="Arial" w:cs="Arial" w:eastAsia="Arial" w:hAnsi="Arial"/>
                <w:sz w:val="17"/>
                <w:szCs w:val="17"/>
                <w:b w:val="1"/>
                <w:bCs w:val="1"/>
                <w:color w:val="auto"/>
                <w:w w:val="90"/>
              </w:rPr>
              <w:t>87-3916363</w:t>
            </w:r>
          </w:p>
        </w:tc>
      </w:tr>
      <w:tr>
        <w:trPr>
          <w:trHeight w:val="220"/>
        </w:trPr>
        <w:tc>
          <w:tcPr>
            <w:tcW w:w="4240" w:type="dxa"/>
            <w:vAlign w:val="bottom"/>
          </w:tcPr>
          <w:p>
            <w:pPr>
              <w:jc w:val="center"/>
              <w:ind w:right="904"/>
              <w:spacing w:after="0"/>
              <w:rPr>
                <w:sz w:val="20"/>
                <w:szCs w:val="20"/>
                <w:color w:val="auto"/>
              </w:rPr>
            </w:pPr>
            <w:r>
              <w:rPr>
                <w:rFonts w:ascii="Arial" w:cs="Arial" w:eastAsia="Arial" w:hAnsi="Arial"/>
                <w:sz w:val="17"/>
                <w:szCs w:val="17"/>
                <w:b w:val="1"/>
                <w:bCs w:val="1"/>
                <w:color w:val="auto"/>
                <w:w w:val="93"/>
              </w:rPr>
              <w:t>Delaware (Federal Realty OP LP)</w:t>
            </w:r>
          </w:p>
        </w:tc>
        <w:tc>
          <w:tcPr>
            <w:tcW w:w="1700" w:type="dxa"/>
            <w:vAlign w:val="bottom"/>
          </w:tcPr>
          <w:p>
            <w:pPr>
              <w:jc w:val="right"/>
              <w:ind w:right="184"/>
              <w:spacing w:after="0"/>
              <w:rPr>
                <w:sz w:val="20"/>
                <w:szCs w:val="20"/>
                <w:color w:val="auto"/>
              </w:rPr>
            </w:pPr>
            <w:r>
              <w:rPr>
                <w:rFonts w:ascii="Arial" w:cs="Arial" w:eastAsia="Arial" w:hAnsi="Arial"/>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Arial" w:cs="Arial" w:eastAsia="Arial" w:hAnsi="Arial"/>
                <w:sz w:val="17"/>
                <w:szCs w:val="17"/>
                <w:b w:val="1"/>
                <w:bCs w:val="1"/>
                <w:color w:val="auto"/>
                <w:w w:val="90"/>
              </w:rPr>
              <w:t>52-0782497</w:t>
            </w:r>
          </w:p>
        </w:tc>
      </w:tr>
      <w:tr>
        <w:trPr>
          <w:trHeight w:val="126"/>
        </w:trPr>
        <w:tc>
          <w:tcPr>
            <w:tcW w:w="4240" w:type="dxa"/>
            <w:vAlign w:val="bottom"/>
          </w:tcPr>
          <w:p>
            <w:pPr>
              <w:jc w:val="center"/>
              <w:ind w:right="884"/>
              <w:spacing w:after="0" w:line="126" w:lineRule="exact"/>
              <w:rPr>
                <w:sz w:val="20"/>
                <w:szCs w:val="20"/>
                <w:color w:val="auto"/>
              </w:rPr>
            </w:pPr>
            <w:r>
              <w:rPr>
                <w:rFonts w:ascii="Arial" w:cs="Arial" w:eastAsia="Arial" w:hAnsi="Arial"/>
                <w:sz w:val="13"/>
                <w:szCs w:val="13"/>
                <w:b w:val="1"/>
                <w:bCs w:val="1"/>
                <w:color w:val="auto"/>
                <w:w w:val="88"/>
              </w:rPr>
              <w:t>(State or other jurisdiction</w:t>
            </w:r>
          </w:p>
        </w:tc>
        <w:tc>
          <w:tcPr>
            <w:tcW w:w="1700" w:type="dxa"/>
            <w:vAlign w:val="bottom"/>
          </w:tcPr>
          <w:p>
            <w:pPr>
              <w:ind w:left="560"/>
              <w:spacing w:after="0" w:line="126" w:lineRule="exact"/>
              <w:rPr>
                <w:sz w:val="20"/>
                <w:szCs w:val="20"/>
                <w:color w:val="auto"/>
              </w:rPr>
            </w:pPr>
            <w:r>
              <w:rPr>
                <w:rFonts w:ascii="Arial" w:cs="Arial" w:eastAsia="Arial" w:hAnsi="Arial"/>
                <w:sz w:val="13"/>
                <w:szCs w:val="13"/>
                <w:b w:val="1"/>
                <w:bCs w:val="1"/>
                <w:color w:val="auto"/>
              </w:rPr>
              <w:t>(Commission</w:t>
            </w:r>
          </w:p>
        </w:tc>
        <w:tc>
          <w:tcPr>
            <w:tcW w:w="1340" w:type="dxa"/>
            <w:vAlign w:val="bottom"/>
          </w:tcPr>
          <w:p>
            <w:pPr>
              <w:spacing w:after="0"/>
              <w:rPr>
                <w:sz w:val="10"/>
                <w:szCs w:val="10"/>
                <w:color w:val="auto"/>
              </w:rPr>
            </w:pPr>
          </w:p>
        </w:tc>
        <w:tc>
          <w:tcPr>
            <w:tcW w:w="1900" w:type="dxa"/>
            <w:vAlign w:val="bottom"/>
          </w:tcPr>
          <w:p>
            <w:pPr>
              <w:jc w:val="center"/>
              <w:ind w:left="844"/>
              <w:spacing w:after="0" w:line="126"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4240" w:type="dxa"/>
            <w:vAlign w:val="bottom"/>
          </w:tcPr>
          <w:p>
            <w:pPr>
              <w:jc w:val="center"/>
              <w:ind w:right="884"/>
              <w:spacing w:after="0"/>
              <w:rPr>
                <w:sz w:val="20"/>
                <w:szCs w:val="20"/>
                <w:color w:val="auto"/>
              </w:rPr>
            </w:pPr>
            <w:r>
              <w:rPr>
                <w:rFonts w:ascii="Arial" w:cs="Arial" w:eastAsia="Arial" w:hAnsi="Arial"/>
                <w:sz w:val="13"/>
                <w:szCs w:val="13"/>
                <w:b w:val="1"/>
                <w:bCs w:val="1"/>
                <w:color w:val="auto"/>
                <w:w w:val="88"/>
              </w:rPr>
              <w:t>of incorporation)</w:t>
            </w:r>
          </w:p>
        </w:tc>
        <w:tc>
          <w:tcPr>
            <w:tcW w:w="1700" w:type="dxa"/>
            <w:vAlign w:val="bottom"/>
          </w:tcPr>
          <w:p>
            <w:pPr>
              <w:ind w:left="540"/>
              <w:spacing w:after="0"/>
              <w:rPr>
                <w:sz w:val="20"/>
                <w:szCs w:val="20"/>
                <w:color w:val="auto"/>
              </w:rPr>
            </w:pPr>
            <w:r>
              <w:rPr>
                <w:rFonts w:ascii="Arial" w:cs="Arial" w:eastAsia="Arial" w:hAnsi="Arial"/>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Arial" w:cs="Arial" w:eastAsia="Arial" w:hAnsi="Arial"/>
                <w:sz w:val="13"/>
                <w:szCs w:val="13"/>
                <w:b w:val="1"/>
                <w:bCs w:val="1"/>
                <w:color w:val="auto"/>
                <w:w w:val="89"/>
              </w:rPr>
              <w:t>Identification No.)</w:t>
            </w:r>
          </w:p>
        </w:tc>
      </w:tr>
      <w:tr>
        <w:trPr>
          <w:trHeight w:val="424"/>
        </w:trPr>
        <w:tc>
          <w:tcPr>
            <w:tcW w:w="4240" w:type="dxa"/>
            <w:vAlign w:val="bottom"/>
          </w:tcPr>
          <w:p>
            <w:pPr>
              <w:ind w:left="2140"/>
              <w:spacing w:after="0"/>
              <w:rPr>
                <w:sz w:val="20"/>
                <w:szCs w:val="20"/>
                <w:color w:val="auto"/>
              </w:rPr>
            </w:pPr>
            <w:r>
              <w:rPr>
                <w:rFonts w:ascii="Arial" w:cs="Arial" w:eastAsia="Arial" w:hAnsi="Arial"/>
                <w:sz w:val="16"/>
                <w:szCs w:val="16"/>
                <w:b w:val="1"/>
                <w:bCs w:val="1"/>
                <w:color w:val="auto"/>
                <w:w w:val="98"/>
              </w:rPr>
              <w:t>909 Rose Avenue, Suite 200</w:t>
            </w:r>
          </w:p>
        </w:tc>
        <w:tc>
          <w:tcPr>
            <w:tcW w:w="1700" w:type="dxa"/>
            <w:vAlign w:val="bottom"/>
          </w:tcPr>
          <w:p>
            <w:pPr>
              <w:ind w:left="200"/>
              <w:spacing w:after="0"/>
              <w:rPr>
                <w:sz w:val="20"/>
                <w:szCs w:val="20"/>
                <w:color w:val="auto"/>
              </w:rPr>
            </w:pPr>
            <w:r>
              <w:rPr>
                <w:rFonts w:ascii="Arial" w:cs="Arial" w:eastAsia="Arial" w:hAnsi="Arial"/>
                <w:sz w:val="16"/>
                <w:szCs w:val="16"/>
                <w:b w:val="1"/>
                <w:bCs w:val="1"/>
                <w:color w:val="auto"/>
              </w:rPr>
              <w:t>North Bethesda,</w:t>
            </w:r>
          </w:p>
        </w:tc>
        <w:tc>
          <w:tcPr>
            <w:tcW w:w="1340" w:type="dxa"/>
            <w:vAlign w:val="bottom"/>
          </w:tcPr>
          <w:p>
            <w:pPr>
              <w:ind w:left="140"/>
              <w:spacing w:after="0"/>
              <w:rPr>
                <w:sz w:val="20"/>
                <w:szCs w:val="20"/>
                <w:color w:val="auto"/>
              </w:rPr>
            </w:pPr>
            <w:r>
              <w:rPr>
                <w:rFonts w:ascii="Arial" w:cs="Arial" w:eastAsia="Arial" w:hAnsi="Arial"/>
                <w:sz w:val="16"/>
                <w:szCs w:val="16"/>
                <w:b w:val="1"/>
                <w:bCs w:val="1"/>
                <w:color w:val="auto"/>
              </w:rPr>
              <w:t>Maryland</w:t>
            </w:r>
          </w:p>
        </w:tc>
        <w:tc>
          <w:tcPr>
            <w:tcW w:w="1900" w:type="dxa"/>
            <w:vAlign w:val="bottom"/>
          </w:tcPr>
          <w:p>
            <w:pPr>
              <w:jc w:val="right"/>
              <w:ind w:right="724"/>
              <w:spacing w:after="0"/>
              <w:rPr>
                <w:sz w:val="20"/>
                <w:szCs w:val="20"/>
                <w:color w:val="auto"/>
              </w:rPr>
            </w:pPr>
            <w:r>
              <w:rPr>
                <w:rFonts w:ascii="Arial" w:cs="Arial" w:eastAsia="Arial" w:hAnsi="Arial"/>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Arial" w:cs="Arial" w:eastAsia="Arial" w:hAnsi="Arial"/>
                <w:sz w:val="16"/>
                <w:szCs w:val="16"/>
                <w:b w:val="1"/>
                <w:bCs w:val="1"/>
                <w:color w:val="auto"/>
                <w:w w:val="94"/>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Arial" w:cs="Arial" w:eastAsia="Arial" w:hAnsi="Arial"/>
                <w:sz w:val="16"/>
                <w:szCs w:val="16"/>
                <w:b w:val="1"/>
                <w:bCs w:val="1"/>
                <w:color w:val="auto"/>
                <w:w w:val="96"/>
              </w:rPr>
              <w:t>(Zip Code)</w:t>
            </w:r>
          </w:p>
        </w:tc>
      </w:tr>
    </w:tbl>
    <w:p>
      <w:pPr>
        <w:spacing w:after="0" w:line="15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301/998-8100</w:t>
      </w:r>
    </w:p>
    <w:p>
      <w:pPr>
        <w:spacing w:after="0" w:line="9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12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1"/>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2"/>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Arial" w:cs="Arial" w:eastAsia="Arial" w:hAnsi="Arial"/>
                <w:sz w:val="16"/>
                <w:szCs w:val="16"/>
                <w:color w:val="auto"/>
                <w:w w:val="89"/>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172"/>
        </w:trPr>
        <w:tc>
          <w:tcPr>
            <w:tcW w:w="4480" w:type="dxa"/>
            <w:vAlign w:val="bottom"/>
            <w:gridSpan w:val="3"/>
          </w:tcPr>
          <w:p>
            <w:pPr>
              <w:jc w:val="center"/>
              <w:ind w:left="99"/>
              <w:spacing w:after="0" w:line="171"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680" w:type="dxa"/>
            <w:vAlign w:val="bottom"/>
          </w:tcPr>
          <w:p>
            <w:pPr>
              <w:spacing w:after="0"/>
              <w:rPr>
                <w:sz w:val="17"/>
                <w:szCs w:val="17"/>
                <w:color w:val="auto"/>
              </w:rPr>
            </w:pPr>
          </w:p>
        </w:tc>
        <w:tc>
          <w:tcPr>
            <w:tcW w:w="2800" w:type="dxa"/>
            <w:vAlign w:val="bottom"/>
            <w:gridSpan w:val="2"/>
          </w:tcPr>
          <w:p>
            <w:pPr>
              <w:jc w:val="center"/>
              <w:ind w:right="1500"/>
              <w:spacing w:after="0"/>
              <w:rPr>
                <w:sz w:val="20"/>
                <w:szCs w:val="20"/>
                <w:color w:val="auto"/>
              </w:rPr>
            </w:pPr>
            <w:r>
              <w:rPr>
                <w:rFonts w:ascii="Arial" w:cs="Arial" w:eastAsia="Arial" w:hAnsi="Arial"/>
                <w:sz w:val="16"/>
                <w:szCs w:val="16"/>
                <w:color w:val="auto"/>
                <w:w w:val="92"/>
              </w:rPr>
              <w:t>Rights</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24"/>
        </w:trPr>
        <w:tc>
          <w:tcPr>
            <w:tcW w:w="4480" w:type="dxa"/>
            <w:vAlign w:val="bottom"/>
            <w:gridSpan w:val="3"/>
          </w:tcPr>
          <w:p>
            <w:pPr>
              <w:jc w:val="center"/>
              <w:ind w:left="79"/>
              <w:spacing w:after="0"/>
              <w:rPr>
                <w:sz w:val="20"/>
                <w:szCs w:val="20"/>
                <w:color w:val="auto"/>
              </w:rPr>
            </w:pPr>
            <w:r>
              <w:rPr>
                <w:rFonts w:ascii="Arial" w:cs="Arial" w:eastAsia="Arial" w:hAnsi="Arial"/>
                <w:sz w:val="16"/>
                <w:szCs w:val="16"/>
                <w:color w:val="auto"/>
                <w:w w:val="89"/>
              </w:rPr>
              <w:t>Depositary Shares, each representing 1/1000 of a share</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Arial" w:cs="Arial" w:eastAsia="Arial" w:hAnsi="Arial"/>
                <w:sz w:val="16"/>
                <w:szCs w:val="16"/>
                <w:color w:val="auto"/>
                <w:w w:val="91"/>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172"/>
        </w:trPr>
        <w:tc>
          <w:tcPr>
            <w:tcW w:w="7020" w:type="dxa"/>
            <w:vAlign w:val="bottom"/>
            <w:gridSpan w:val="6"/>
          </w:tcPr>
          <w:p>
            <w:pPr>
              <w:jc w:val="center"/>
              <w:ind w:right="2380"/>
              <w:spacing w:after="0" w:line="171" w:lineRule="exact"/>
              <w:rPr>
                <w:sz w:val="20"/>
                <w:szCs w:val="20"/>
                <w:color w:val="auto"/>
              </w:rPr>
            </w:pPr>
            <w:r>
              <w:rPr>
                <w:rFonts w:ascii="Arial" w:cs="Arial" w:eastAsia="Arial" w:hAnsi="Arial"/>
                <w:sz w:val="16"/>
                <w:szCs w:val="16"/>
                <w:color w:val="auto"/>
                <w:w w:val="91"/>
              </w:rPr>
              <w:t>of 5.00% Series C Cumulative Redeemable Preferred Stock, $.01 par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680" w:type="dxa"/>
            <w:vAlign w:val="bottom"/>
          </w:tcPr>
          <w:p>
            <w:pPr>
              <w:spacing w:after="0"/>
              <w:rPr>
                <w:sz w:val="17"/>
                <w:szCs w:val="17"/>
                <w:color w:val="auto"/>
              </w:rPr>
            </w:pPr>
          </w:p>
        </w:tc>
        <w:tc>
          <w:tcPr>
            <w:tcW w:w="2800" w:type="dxa"/>
            <w:vAlign w:val="bottom"/>
            <w:gridSpan w:val="2"/>
          </w:tcPr>
          <w:p>
            <w:pPr>
              <w:jc w:val="center"/>
              <w:ind w:right="1500"/>
              <w:spacing w:after="0"/>
              <w:rPr>
                <w:sz w:val="20"/>
                <w:szCs w:val="20"/>
                <w:color w:val="auto"/>
              </w:rPr>
            </w:pPr>
            <w:r>
              <w:rPr>
                <w:rFonts w:ascii="Arial" w:cs="Arial" w:eastAsia="Arial" w:hAnsi="Arial"/>
                <w:sz w:val="16"/>
                <w:szCs w:val="16"/>
                <w:color w:val="auto"/>
                <w:w w:val="88"/>
              </w:rPr>
              <w:t>value per share</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1"/>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1"/>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2"/>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r>
    </w:tbl>
    <w:p>
      <w:pPr>
        <w:spacing w:after="0" w:line="212" w:lineRule="exact"/>
        <w:rPr>
          <w:sz w:val="24"/>
          <w:szCs w:val="24"/>
          <w:color w:val="auto"/>
        </w:rPr>
      </w:pPr>
    </w:p>
    <w:p>
      <w:pPr>
        <w:ind w:left="20" w:right="600"/>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 Securities Exchange Act of 1934.</w:t>
      </w:r>
    </w:p>
    <w:p>
      <w:pPr>
        <w:ind w:left="20"/>
        <w:spacing w:after="0" w:line="184" w:lineRule="exact"/>
        <w:tabs>
          <w:tab w:leader="none" w:pos="3740" w:val="left"/>
        </w:tabs>
        <w:rPr>
          <w:sz w:val="20"/>
          <w:szCs w:val="20"/>
          <w:color w:val="auto"/>
        </w:rPr>
      </w:pPr>
      <w:r>
        <w:rPr>
          <w:rFonts w:ascii="Arial" w:cs="Arial" w:eastAsia="Arial" w:hAnsi="Arial"/>
          <w:sz w:val="16"/>
          <w:szCs w:val="16"/>
          <w:color w:val="auto"/>
        </w:rPr>
        <w:t xml:space="preserve">Federal Realty Investment Trust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Federal Realty OP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3" w:lineRule="exact"/>
        <w:rPr>
          <w:sz w:val="24"/>
          <w:szCs w:val="24"/>
          <w:color w:val="auto"/>
        </w:rPr>
      </w:pPr>
    </w:p>
    <w:p>
      <w:pPr>
        <w:ind w:left="20" w:right="100"/>
        <w:spacing w:after="0"/>
        <w:rPr>
          <w:sz w:val="20"/>
          <w:szCs w:val="20"/>
          <w:color w:val="auto"/>
        </w:rPr>
      </w:pPr>
      <w:r>
        <w:rPr>
          <w:rFonts w:ascii="Arial" w:cs="Arial" w:eastAsia="Arial" w:hAnsi="Arial"/>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ind w:left="20"/>
        <w:spacing w:after="0" w:line="184" w:lineRule="exact"/>
        <w:tabs>
          <w:tab w:leader="none" w:pos="2980" w:val="left"/>
        </w:tabs>
        <w:rPr>
          <w:sz w:val="20"/>
          <w:szCs w:val="20"/>
          <w:color w:val="auto"/>
        </w:rPr>
      </w:pPr>
      <w:r>
        <w:rPr>
          <w:rFonts w:ascii="Arial" w:cs="Arial" w:eastAsia="Arial" w:hAnsi="Arial"/>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Federal Realty OP LP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3" w:lineRule="exact"/>
        <w:rPr>
          <w:sz w:val="20"/>
          <w:szCs w:val="20"/>
          <w:color w:val="auto"/>
        </w:rPr>
      </w:pPr>
    </w:p>
    <w:p>
      <w:pPr>
        <w:ind w:firstLine="180"/>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74" w:lineRule="exact"/>
        <w:rPr>
          <w:sz w:val="20"/>
          <w:szCs w:val="20"/>
          <w:color w:val="auto"/>
        </w:rPr>
      </w:pPr>
    </w:p>
    <w:p>
      <w:pPr>
        <w:ind w:right="60" w:firstLine="180"/>
        <w:spacing w:after="0" w:line="253" w:lineRule="auto"/>
        <w:rPr>
          <w:sz w:val="20"/>
          <w:szCs w:val="20"/>
          <w:color w:val="auto"/>
        </w:rPr>
      </w:pPr>
      <w:r>
        <w:rPr>
          <w:rFonts w:ascii="Arial" w:cs="Arial" w:eastAsia="Arial" w:hAnsi="Arial"/>
          <w:sz w:val="22"/>
          <w:szCs w:val="22"/>
          <w:color w:val="auto"/>
        </w:rPr>
        <w:t>On February 10, 2022, Federal Realty Investment Trust issued supplemental data pertaining to its operations, as well as a press release, to report its financial results for the quarter ended December 31, 2021. The supplemental data and press release are furnished as Exhibit 99.1 hereto.</w:t>
      </w: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53"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47"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2021 (including press release dated February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96" w:lineRule="exact"/>
        <w:rPr>
          <w:sz w:val="20"/>
          <w:szCs w:val="20"/>
          <w:color w:val="auto"/>
        </w:rPr>
      </w:pPr>
    </w:p>
    <w:p>
      <w:pPr>
        <w:ind w:right="140" w:firstLine="180"/>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23"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FEDERAL REALTY INVESTMENT TRUST</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FEDERAL REALTY OP LP</w:t>
      </w:r>
    </w:p>
    <w:p>
      <w:pPr>
        <w:spacing w:after="0" w:line="283" w:lineRule="exact"/>
        <w:rPr>
          <w:sz w:val="20"/>
          <w:szCs w:val="20"/>
          <w:color w:val="auto"/>
        </w:rPr>
      </w:pPr>
    </w:p>
    <w:p>
      <w:pPr>
        <w:ind w:left="40"/>
        <w:spacing w:after="0"/>
        <w:tabs>
          <w:tab w:leader="none" w:pos="840" w:val="left"/>
          <w:tab w:leader="none" w:pos="4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10, 2022</w:t>
      </w:r>
      <w:r>
        <w:rPr>
          <w:sz w:val="20"/>
          <w:szCs w:val="20"/>
          <w:color w:val="auto"/>
        </w:rPr>
        <w:tab/>
      </w:r>
      <w:r>
        <w:rPr>
          <w:rFonts w:ascii="Arial" w:cs="Arial" w:eastAsia="Arial" w:hAnsi="Arial"/>
          <w:sz w:val="19"/>
          <w:szCs w:val="19"/>
          <w:u w:val="single" w:color="auto"/>
          <w:color w:val="auto"/>
        </w:rPr>
        <w:t>/s/ Daniel Guglielmone</w:t>
      </w:r>
    </w:p>
    <w:p>
      <w:pPr>
        <w:spacing w:after="0" w:line="28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Daniel Guglielmone</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Executive Vice President-</w:t>
      </w:r>
    </w:p>
    <w:p>
      <w:pPr>
        <w:spacing w:after="0" w:line="1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380" w:type="dxa"/>
            <w:vAlign w:val="bottom"/>
          </w:tcPr>
          <w:p>
            <w:pPr>
              <w:ind w:left="2980"/>
              <w:spacing w:after="0"/>
              <w:rPr>
                <w:sz w:val="20"/>
                <w:szCs w:val="20"/>
                <w:color w:val="auto"/>
              </w:rPr>
            </w:pPr>
            <w:r>
              <w:rPr>
                <w:rFonts w:ascii="Arial" w:cs="Arial" w:eastAsia="Arial" w:hAnsi="Arial"/>
                <w:sz w:val="22"/>
                <w:szCs w:val="22"/>
                <w:color w:val="auto"/>
              </w:rPr>
              <w:t>EXHIBIT INDEX</w:t>
            </w:r>
          </w:p>
        </w:tc>
      </w:tr>
      <w:tr>
        <w:trPr>
          <w:trHeight w:val="557"/>
        </w:trPr>
        <w:tc>
          <w:tcPr>
            <w:tcW w:w="180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38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700" w:type="dxa"/>
            <w:vAlign w:val="bottom"/>
            <w:tcBorders>
              <w:top w:val="single" w:sz="8" w:color="auto"/>
            </w:tcBorders>
            <w:gridSpan w:val="2"/>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00" w:type="dxa"/>
            <w:vAlign w:val="bottom"/>
          </w:tcPr>
          <w:p>
            <w:pPr>
              <w:spacing w:after="0"/>
              <w:rPr>
                <w:sz w:val="15"/>
                <w:szCs w:val="15"/>
                <w:color w:val="auto"/>
              </w:rPr>
            </w:pPr>
          </w:p>
        </w:tc>
        <w:tc>
          <w:tcPr>
            <w:tcW w:w="93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Supplemental Information at December 31, 2021</w:t>
            </w:r>
          </w:p>
        </w:tc>
      </w:tr>
      <w:tr>
        <w:trPr>
          <w:trHeight w:val="304"/>
        </w:trPr>
        <w:tc>
          <w:tcPr>
            <w:tcW w:w="32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9"/>
              </w:rPr>
              <w:t>104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Arial" w:cs="Arial" w:eastAsia="Arial" w:hAnsi="Arial"/>
                <w:sz w:val="18"/>
                <w:szCs w:val="18"/>
                <w:color w:val="auto"/>
                <w:w w:val="99"/>
              </w:rPr>
              <w:t>Cover Page Interactive Data File (the Cover Page Interactive Data File is embedded within the Inline XBRL document)</w:t>
            </w:r>
          </w:p>
        </w:tc>
      </w:tr>
    </w:tbl>
    <w:p>
      <w:pPr>
        <w:sectPr>
          <w:pgSz w:w="11900" w:h="16838" w:orient="portrait"/>
          <w:cols w:equalWidth="0" w:num="1">
            <w:col w:w="11180"/>
          </w:cols>
          <w:pgMar w:left="360" w:top="901"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SUPPLEMENTAL INFORMATION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December 31,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90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6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w w:val="79"/>
              </w:rPr>
              <w:t>1</w:t>
            </w:r>
          </w:p>
        </w:tc>
        <w:tc>
          <w:tcPr>
            <w:tcW w:w="690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Fourth Quarter and Full Year 2021 Earnings Press Release</w:t>
            </w:r>
          </w:p>
        </w:tc>
        <w:tc>
          <w:tcPr>
            <w:tcW w:w="194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16"/>
        </w:trPr>
        <w:tc>
          <w:tcPr>
            <w:tcW w:w="460" w:type="dxa"/>
            <w:vAlign w:val="bottom"/>
            <w:tcBorders>
              <w:top w:val="single" w:sz="8" w:color="CCEEFF"/>
            </w:tcBorders>
          </w:tcPr>
          <w:p>
            <w:pPr>
              <w:spacing w:after="0"/>
              <w:rPr>
                <w:sz w:val="18"/>
                <w:szCs w:val="18"/>
                <w:color w:val="auto"/>
              </w:rPr>
            </w:pPr>
          </w:p>
        </w:tc>
        <w:tc>
          <w:tcPr>
            <w:tcW w:w="690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29"/>
        </w:trPr>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2</w:t>
            </w: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Highlights</w:t>
            </w: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460" w:type="dxa"/>
            <w:vAlign w:val="bottom"/>
          </w:tcPr>
          <w:p>
            <w:pPr>
              <w:spacing w:after="0"/>
              <w:rPr>
                <w:sz w:val="16"/>
                <w:szCs w:val="16"/>
                <w:color w:val="auto"/>
              </w:rPr>
            </w:pPr>
          </w:p>
        </w:tc>
        <w:tc>
          <w:tcPr>
            <w:tcW w:w="6900" w:type="dxa"/>
            <w:vAlign w:val="bottom"/>
          </w:tcPr>
          <w:p>
            <w:pPr>
              <w:ind w:left="1140"/>
              <w:spacing w:after="0" w:line="189" w:lineRule="exact"/>
              <w:rPr>
                <w:sz w:val="20"/>
                <w:szCs w:val="20"/>
                <w:color w:val="auto"/>
              </w:rPr>
            </w:pPr>
            <w:r>
              <w:rPr>
                <w:rFonts w:ascii="Arial" w:cs="Arial" w:eastAsia="Arial" w:hAnsi="Arial"/>
                <w:sz w:val="18"/>
                <w:szCs w:val="18"/>
                <w:color w:val="auto"/>
              </w:rPr>
              <w:t>Consolidated Income Statements</w:t>
            </w:r>
          </w:p>
        </w:tc>
        <w:tc>
          <w:tcPr>
            <w:tcW w:w="1940" w:type="dxa"/>
            <w:vAlign w:val="bottom"/>
            <w:gridSpan w:val="4"/>
          </w:tcPr>
          <w:p>
            <w:pPr>
              <w:jc w:val="right"/>
              <w:ind w:right="20"/>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20"/>
        </w:trPr>
        <w:tc>
          <w:tcPr>
            <w:tcW w:w="4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0" w:type="dxa"/>
            <w:vAlign w:val="bottom"/>
            <w:tcBorders>
              <w:bottom w:val="single" w:sz="8" w:color="CCEEFF"/>
            </w:tcBorders>
            <w:shd w:val="clear" w:color="auto" w:fill="CCEEFF"/>
          </w:tcPr>
          <w:p>
            <w:pPr>
              <w:spacing w:after="0"/>
              <w:rPr>
                <w:sz w:val="18"/>
                <w:szCs w:val="18"/>
                <w:color w:val="auto"/>
              </w:rPr>
            </w:pPr>
          </w:p>
        </w:tc>
        <w:tc>
          <w:tcPr>
            <w:tcW w:w="6900" w:type="dxa"/>
            <w:vAlign w:val="bottom"/>
            <w:tcBorders>
              <w:bottom w:val="single" w:sz="8" w:color="CCEEFF"/>
            </w:tcBorders>
            <w:shd w:val="clear" w:color="auto" w:fill="CCEEFF"/>
          </w:tcPr>
          <w:p>
            <w:pPr>
              <w:ind w:left="1140"/>
              <w:spacing w:after="0" w:line="189" w:lineRule="exact"/>
              <w:rPr>
                <w:sz w:val="20"/>
                <w:szCs w:val="20"/>
                <w:color w:val="auto"/>
              </w:rPr>
            </w:pPr>
            <w:r>
              <w:rPr>
                <w:rFonts w:ascii="Arial" w:cs="Arial" w:eastAsia="Arial" w:hAnsi="Arial"/>
                <w:sz w:val="18"/>
                <w:szCs w:val="18"/>
                <w:color w:val="auto"/>
              </w:rPr>
              <w:t>Consolidated Balance Sheets</w:t>
            </w:r>
          </w:p>
        </w:tc>
        <w:tc>
          <w:tcPr>
            <w:tcW w:w="18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9</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6900" w:type="dxa"/>
            <w:vAlign w:val="bottom"/>
          </w:tcPr>
          <w:p>
            <w:pPr>
              <w:ind w:left="1140"/>
              <w:spacing w:after="0" w:line="189" w:lineRule="exact"/>
              <w:rPr>
                <w:sz w:val="20"/>
                <w:szCs w:val="20"/>
                <w:color w:val="auto"/>
              </w:rPr>
            </w:pPr>
            <w:r>
              <w:rPr>
                <w:rFonts w:ascii="Arial" w:cs="Arial" w:eastAsia="Arial" w:hAnsi="Arial"/>
                <w:sz w:val="18"/>
                <w:szCs w:val="18"/>
                <w:color w:val="auto"/>
              </w:rPr>
              <w:t>Funds From Operations / Dividend Information</w:t>
            </w:r>
          </w:p>
        </w:tc>
        <w:tc>
          <w:tcPr>
            <w:tcW w:w="1920" w:type="dxa"/>
            <w:vAlign w:val="bottom"/>
            <w:gridSpan w:val="3"/>
          </w:tcPr>
          <w:p>
            <w:pPr>
              <w:jc w:val="right"/>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10</w:t>
              </w:r>
            </w:hyperlink>
          </w:p>
        </w:tc>
        <w:tc>
          <w:tcPr>
            <w:tcW w:w="20" w:type="dxa"/>
            <w:vAlign w:val="bottom"/>
          </w:tcPr>
          <w:p>
            <w:pPr>
              <w:spacing w:after="0"/>
              <w:rPr>
                <w:sz w:val="16"/>
                <w:szCs w:val="16"/>
                <w:color w:val="auto"/>
              </w:rPr>
            </w:pPr>
          </w:p>
        </w:tc>
      </w:tr>
      <w:tr>
        <w:trPr>
          <w:trHeight w:val="21"/>
        </w:trPr>
        <w:tc>
          <w:tcPr>
            <w:tcW w:w="4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Borders>
              <w:bottom w:val="single" w:sz="8" w:color="CCEEFF"/>
            </w:tcBorders>
            <w:shd w:val="clear" w:color="auto" w:fill="CCEEFF"/>
          </w:tcPr>
          <w:p>
            <w:pPr>
              <w:spacing w:after="0"/>
              <w:rPr>
                <w:sz w:val="18"/>
                <w:szCs w:val="18"/>
                <w:color w:val="auto"/>
              </w:rPr>
            </w:pPr>
          </w:p>
        </w:tc>
        <w:tc>
          <w:tcPr>
            <w:tcW w:w="6900" w:type="dxa"/>
            <w:vAlign w:val="bottom"/>
            <w:tcBorders>
              <w:bottom w:val="single" w:sz="8" w:color="CCEEFF"/>
            </w:tcBorders>
            <w:shd w:val="clear" w:color="auto" w:fill="CCEEFF"/>
          </w:tcPr>
          <w:p>
            <w:pPr>
              <w:ind w:left="1140"/>
              <w:spacing w:after="0" w:line="189" w:lineRule="exact"/>
              <w:rPr>
                <w:sz w:val="20"/>
                <w:szCs w:val="20"/>
                <w:color w:val="auto"/>
              </w:rPr>
            </w:pPr>
            <w:r>
              <w:rPr>
                <w:rFonts w:ascii="Arial" w:cs="Arial" w:eastAsia="Arial" w:hAnsi="Arial"/>
                <w:sz w:val="18"/>
                <w:szCs w:val="18"/>
                <w:color w:val="auto"/>
              </w:rPr>
              <w:t>Other Supplemental Information</w:t>
            </w:r>
          </w:p>
        </w:tc>
        <w:tc>
          <w:tcPr>
            <w:tcW w:w="1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6900" w:type="dxa"/>
            <w:vAlign w:val="bottom"/>
          </w:tcPr>
          <w:p>
            <w:pPr>
              <w:ind w:left="1140"/>
              <w:spacing w:after="0" w:line="189" w:lineRule="exact"/>
              <w:rPr>
                <w:sz w:val="20"/>
                <w:szCs w:val="20"/>
                <w:color w:val="auto"/>
              </w:rPr>
            </w:pPr>
            <w:r>
              <w:rPr>
                <w:rFonts w:ascii="Arial" w:cs="Arial" w:eastAsia="Arial" w:hAnsi="Arial"/>
                <w:sz w:val="18"/>
                <w:szCs w:val="18"/>
                <w:color w:val="auto"/>
              </w:rPr>
              <w:t>COVID-19 Collectibility Related Impacts</w:t>
            </w:r>
          </w:p>
        </w:tc>
        <w:tc>
          <w:tcPr>
            <w:tcW w:w="1920" w:type="dxa"/>
            <w:vAlign w:val="bottom"/>
            <w:gridSpan w:val="3"/>
          </w:tcPr>
          <w:p>
            <w:pPr>
              <w:jc w:val="right"/>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12</w:t>
              </w:r>
            </w:hyperlink>
          </w:p>
        </w:tc>
        <w:tc>
          <w:tcPr>
            <w:tcW w:w="20" w:type="dxa"/>
            <w:vAlign w:val="bottom"/>
          </w:tcPr>
          <w:p>
            <w:pPr>
              <w:spacing w:after="0"/>
              <w:rPr>
                <w:sz w:val="16"/>
                <w:szCs w:val="16"/>
                <w:color w:val="auto"/>
              </w:rPr>
            </w:pPr>
          </w:p>
        </w:tc>
      </w:tr>
      <w:tr>
        <w:trPr>
          <w:trHeight w:val="21"/>
        </w:trPr>
        <w:tc>
          <w:tcPr>
            <w:tcW w:w="4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6900" w:type="dxa"/>
            <w:vAlign w:val="bottom"/>
            <w:shd w:val="clear" w:color="auto" w:fill="CCEEFF"/>
          </w:tcPr>
          <w:p>
            <w:pPr>
              <w:ind w:left="1140"/>
              <w:spacing w:after="0" w:line="189" w:lineRule="exact"/>
              <w:rPr>
                <w:sz w:val="20"/>
                <w:szCs w:val="20"/>
                <w:color w:val="auto"/>
              </w:rPr>
            </w:pPr>
            <w:r>
              <w:rPr>
                <w:rFonts w:ascii="Arial" w:cs="Arial" w:eastAsia="Arial" w:hAnsi="Arial"/>
                <w:sz w:val="18"/>
                <w:szCs w:val="18"/>
                <w:color w:val="auto"/>
              </w:rPr>
              <w:t>Components of Rental Income</w:t>
            </w:r>
          </w:p>
        </w:tc>
        <w:tc>
          <w:tcPr>
            <w:tcW w:w="192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13</w:t>
              </w:r>
            </w:hyperlink>
          </w:p>
        </w:tc>
        <w:tc>
          <w:tcPr>
            <w:tcW w:w="20" w:type="dxa"/>
            <w:vAlign w:val="bottom"/>
            <w:shd w:val="clear" w:color="auto" w:fill="CCEEFF"/>
          </w:tcPr>
          <w:p>
            <w:pPr>
              <w:spacing w:after="0"/>
              <w:rPr>
                <w:sz w:val="16"/>
                <w:szCs w:val="16"/>
                <w:color w:val="auto"/>
              </w:rPr>
            </w:pP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9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460" w:type="dxa"/>
            <w:vAlign w:val="bottom"/>
          </w:tcPr>
          <w:p>
            <w:pPr>
              <w:spacing w:after="0"/>
              <w:rPr>
                <w:sz w:val="16"/>
                <w:szCs w:val="16"/>
                <w:color w:val="auto"/>
              </w:rPr>
            </w:pPr>
          </w:p>
        </w:tc>
        <w:tc>
          <w:tcPr>
            <w:tcW w:w="6900" w:type="dxa"/>
            <w:vAlign w:val="bottom"/>
          </w:tcPr>
          <w:p>
            <w:pPr>
              <w:ind w:left="1140"/>
              <w:spacing w:after="0" w:line="189" w:lineRule="exact"/>
              <w:rPr>
                <w:sz w:val="20"/>
                <w:szCs w:val="20"/>
                <w:color w:val="auto"/>
              </w:rPr>
            </w:pPr>
            <w:r>
              <w:rPr>
                <w:rFonts w:ascii="Arial" w:cs="Arial" w:eastAsia="Arial" w:hAnsi="Arial"/>
                <w:sz w:val="18"/>
                <w:szCs w:val="18"/>
                <w:color w:val="auto"/>
              </w:rPr>
              <w:t>Comparable Property Information</w:t>
            </w:r>
          </w:p>
        </w:tc>
        <w:tc>
          <w:tcPr>
            <w:tcW w:w="1920" w:type="dxa"/>
            <w:vAlign w:val="bottom"/>
            <w:gridSpan w:val="3"/>
          </w:tcPr>
          <w:p>
            <w:pPr>
              <w:jc w:val="right"/>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14</w:t>
              </w:r>
            </w:hyperlink>
          </w:p>
        </w:tc>
        <w:tc>
          <w:tcPr>
            <w:tcW w:w="20" w:type="dxa"/>
            <w:vAlign w:val="bottom"/>
          </w:tcPr>
          <w:p>
            <w:pPr>
              <w:spacing w:after="0"/>
              <w:rPr>
                <w:sz w:val="16"/>
                <w:szCs w:val="16"/>
                <w:color w:val="auto"/>
              </w:rPr>
            </w:pPr>
          </w:p>
        </w:tc>
      </w:tr>
      <w:tr>
        <w:trPr>
          <w:trHeight w:val="21"/>
        </w:trPr>
        <w:tc>
          <w:tcPr>
            <w:tcW w:w="4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6900" w:type="dxa"/>
            <w:vAlign w:val="bottom"/>
            <w:shd w:val="clear" w:color="auto" w:fill="CCEEFF"/>
          </w:tcPr>
          <w:p>
            <w:pPr>
              <w:ind w:left="1140"/>
              <w:spacing w:after="0" w:line="189" w:lineRule="exact"/>
              <w:rPr>
                <w:sz w:val="20"/>
                <w:szCs w:val="20"/>
                <w:color w:val="auto"/>
              </w:rPr>
            </w:pPr>
            <w:r>
              <w:rPr>
                <w:rFonts w:ascii="Arial" w:cs="Arial" w:eastAsia="Arial" w:hAnsi="Arial"/>
                <w:sz w:val="18"/>
                <w:szCs w:val="18"/>
                <w:color w:val="auto"/>
              </w:rPr>
              <w:t>Market Data</w:t>
            </w:r>
          </w:p>
        </w:tc>
        <w:tc>
          <w:tcPr>
            <w:tcW w:w="192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15</w:t>
              </w:r>
            </w:hyperlink>
          </w:p>
        </w:tc>
        <w:tc>
          <w:tcPr>
            <w:tcW w:w="20" w:type="dxa"/>
            <w:vAlign w:val="bottom"/>
            <w:shd w:val="clear" w:color="auto" w:fill="CCEEFF"/>
          </w:tcPr>
          <w:p>
            <w:pPr>
              <w:spacing w:after="0"/>
              <w:rPr>
                <w:sz w:val="16"/>
                <w:szCs w:val="16"/>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9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5" w:lineRule="exact"/>
        <w:rPr>
          <w:sz w:val="20"/>
          <w:szCs w:val="20"/>
          <w:color w:val="auto"/>
        </w:rPr>
      </w:pPr>
    </w:p>
    <w:p>
      <w:pPr>
        <w:ind w:left="800" w:hanging="789"/>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5906135"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6135"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6620" w:type="dxa"/>
            <w:vAlign w:val="bottom"/>
          </w:tcPr>
          <w:p>
            <w:pPr>
              <w:ind w:left="1100"/>
              <w:spacing w:after="0"/>
              <w:rPr>
                <w:sz w:val="20"/>
                <w:szCs w:val="20"/>
                <w:color w:val="auto"/>
              </w:rPr>
            </w:pPr>
            <w:r>
              <w:rPr>
                <w:rFonts w:ascii="Arial" w:cs="Arial" w:eastAsia="Arial" w:hAnsi="Arial"/>
                <w:sz w:val="18"/>
                <w:szCs w:val="18"/>
                <w:color w:val="auto"/>
              </w:rPr>
              <w:t>Summary of Outstanding Debt</w:t>
            </w:r>
          </w:p>
        </w:tc>
        <w:tc>
          <w:tcPr>
            <w:tcW w:w="2160" w:type="dxa"/>
            <w:vAlign w:val="bottom"/>
            <w:gridSpan w:val="2"/>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16</w:t>
              </w:r>
            </w:hyperlink>
          </w:p>
        </w:tc>
        <w:tc>
          <w:tcPr>
            <w:tcW w:w="20" w:type="dxa"/>
            <w:vAlign w:val="bottom"/>
          </w:tcPr>
          <w:p>
            <w:pPr>
              <w:spacing w:after="0"/>
              <w:rPr>
                <w:sz w:val="17"/>
                <w:szCs w:val="17"/>
                <w:color w:val="auto"/>
              </w:rPr>
            </w:pPr>
          </w:p>
        </w:tc>
      </w:tr>
      <w:tr>
        <w:trPr>
          <w:trHeight w:val="21"/>
        </w:trPr>
        <w:tc>
          <w:tcPr>
            <w:tcW w:w="5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 w:type="dxa"/>
            <w:vAlign w:val="bottom"/>
            <w:shd w:val="clear" w:color="auto" w:fill="CCEEFF"/>
          </w:tcPr>
          <w:p>
            <w:pPr>
              <w:spacing w:after="0"/>
              <w:rPr>
                <w:sz w:val="18"/>
                <w:szCs w:val="18"/>
                <w:color w:val="auto"/>
              </w:rPr>
            </w:pPr>
          </w:p>
        </w:tc>
        <w:tc>
          <w:tcPr>
            <w:tcW w:w="6620" w:type="dxa"/>
            <w:vAlign w:val="bottom"/>
            <w:shd w:val="clear" w:color="auto" w:fill="CCEEFF"/>
          </w:tcPr>
          <w:p>
            <w:pPr>
              <w:ind w:left="1100"/>
              <w:spacing w:after="0" w:line="189" w:lineRule="exact"/>
              <w:rPr>
                <w:sz w:val="20"/>
                <w:szCs w:val="20"/>
                <w:color w:val="auto"/>
              </w:rPr>
            </w:pPr>
            <w:r>
              <w:rPr>
                <w:rFonts w:ascii="Arial" w:cs="Arial" w:eastAsia="Arial" w:hAnsi="Arial"/>
                <w:sz w:val="18"/>
                <w:szCs w:val="18"/>
                <w:color w:val="auto"/>
              </w:rPr>
              <w:t>Summary of Debt Maturities</w:t>
            </w:r>
          </w:p>
        </w:tc>
        <w:tc>
          <w:tcPr>
            <w:tcW w:w="216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w:t>
            </w:r>
          </w:p>
        </w:tc>
        <w:tc>
          <w:tcPr>
            <w:tcW w:w="662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Summary of Redevelopment Opportunities</w:t>
            </w:r>
          </w:p>
        </w:tc>
        <w:tc>
          <w:tcPr>
            <w:tcW w:w="216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c>
          <w:tcPr>
            <w:tcW w:w="20" w:type="dxa"/>
            <w:vAlign w:val="bottom"/>
            <w:shd w:val="clear" w:color="auto" w:fill="CCEEFF"/>
          </w:tcPr>
          <w:p>
            <w:pPr>
              <w:spacing w:after="0"/>
              <w:rPr>
                <w:sz w:val="18"/>
                <w:szCs w:val="18"/>
                <w:color w:val="auto"/>
              </w:rPr>
            </w:pPr>
          </w:p>
        </w:tc>
      </w:tr>
      <w:tr>
        <w:trPr>
          <w:trHeight w:val="270"/>
        </w:trPr>
        <w:tc>
          <w:tcPr>
            <w:tcW w:w="500" w:type="dxa"/>
            <w:vAlign w:val="bottom"/>
            <w:tcBorders>
              <w:top w:val="single" w:sz="8" w:color="CCEEFF"/>
            </w:tcBorders>
          </w:tcPr>
          <w:p>
            <w:pPr>
              <w:spacing w:after="0"/>
              <w:rPr>
                <w:sz w:val="23"/>
                <w:szCs w:val="23"/>
                <w:color w:val="auto"/>
              </w:rPr>
            </w:pPr>
          </w:p>
        </w:tc>
        <w:tc>
          <w:tcPr>
            <w:tcW w:w="6620" w:type="dxa"/>
            <w:vAlign w:val="bottom"/>
            <w:tcBorders>
              <w:top w:val="single" w:sz="8" w:color="CCEEFF"/>
            </w:tcBorders>
          </w:tcPr>
          <w:p>
            <w:pPr>
              <w:spacing w:after="0"/>
              <w:rPr>
                <w:sz w:val="23"/>
                <w:szCs w:val="23"/>
                <w:color w:val="auto"/>
              </w:rPr>
            </w:pPr>
          </w:p>
        </w:tc>
        <w:tc>
          <w:tcPr>
            <w:tcW w:w="19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5</w:t>
            </w:r>
          </w:p>
        </w:tc>
        <w:tc>
          <w:tcPr>
            <w:tcW w:w="662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Assembly Row, Pike &amp; Rose, and Santana Row</w:t>
            </w:r>
          </w:p>
        </w:tc>
        <w:tc>
          <w:tcPr>
            <w:tcW w:w="216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c>
          <w:tcPr>
            <w:tcW w:w="20" w:type="dxa"/>
            <w:vAlign w:val="bottom"/>
            <w:shd w:val="clear" w:color="auto" w:fill="CCEEFF"/>
          </w:tcPr>
          <w:p>
            <w:pPr>
              <w:spacing w:after="0"/>
              <w:rPr>
                <w:sz w:val="18"/>
                <w:szCs w:val="18"/>
                <w:color w:val="auto"/>
              </w:rPr>
            </w:pPr>
          </w:p>
        </w:tc>
      </w:tr>
      <w:tr>
        <w:trPr>
          <w:trHeight w:val="270"/>
        </w:trPr>
        <w:tc>
          <w:tcPr>
            <w:tcW w:w="500" w:type="dxa"/>
            <w:vAlign w:val="bottom"/>
            <w:tcBorders>
              <w:top w:val="single" w:sz="8" w:color="CCEEFF"/>
            </w:tcBorders>
          </w:tcPr>
          <w:p>
            <w:pPr>
              <w:spacing w:after="0"/>
              <w:rPr>
                <w:sz w:val="23"/>
                <w:szCs w:val="23"/>
                <w:color w:val="auto"/>
              </w:rPr>
            </w:pPr>
          </w:p>
        </w:tc>
        <w:tc>
          <w:tcPr>
            <w:tcW w:w="6620" w:type="dxa"/>
            <w:vAlign w:val="bottom"/>
            <w:tcBorders>
              <w:top w:val="single" w:sz="8" w:color="CCEEFF"/>
            </w:tcBorders>
          </w:tcPr>
          <w:p>
            <w:pPr>
              <w:spacing w:after="0"/>
              <w:rPr>
                <w:sz w:val="23"/>
                <w:szCs w:val="23"/>
                <w:color w:val="auto"/>
              </w:rPr>
            </w:pPr>
          </w:p>
        </w:tc>
        <w:tc>
          <w:tcPr>
            <w:tcW w:w="19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6</w:t>
            </w:r>
          </w:p>
        </w:tc>
        <w:tc>
          <w:tcPr>
            <w:tcW w:w="662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Future Redevelopment Opportunities</w:t>
            </w:r>
          </w:p>
        </w:tc>
        <w:tc>
          <w:tcPr>
            <w:tcW w:w="216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w:t>
            </w:r>
          </w:p>
        </w:tc>
        <w:tc>
          <w:tcPr>
            <w:tcW w:w="662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Property Acquisitions, Dispositions, and Other Transactions</w:t>
            </w:r>
          </w:p>
        </w:tc>
        <w:tc>
          <w:tcPr>
            <w:tcW w:w="216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22</w:t>
              </w:r>
            </w:hyperlink>
          </w:p>
        </w:tc>
        <w:tc>
          <w:tcPr>
            <w:tcW w:w="20" w:type="dxa"/>
            <w:vAlign w:val="bottom"/>
            <w:shd w:val="clear" w:color="auto" w:fill="CCEEFF"/>
          </w:tcPr>
          <w:p>
            <w:pPr>
              <w:spacing w:after="0"/>
              <w:rPr>
                <w:sz w:val="18"/>
                <w:szCs w:val="18"/>
                <w:color w:val="auto"/>
              </w:rPr>
            </w:pPr>
          </w:p>
        </w:tc>
      </w:tr>
      <w:tr>
        <w:trPr>
          <w:trHeight w:val="270"/>
        </w:trPr>
        <w:tc>
          <w:tcPr>
            <w:tcW w:w="500" w:type="dxa"/>
            <w:vAlign w:val="bottom"/>
            <w:tcBorders>
              <w:top w:val="single" w:sz="8" w:color="CCEEFF"/>
            </w:tcBorders>
          </w:tcPr>
          <w:p>
            <w:pPr>
              <w:spacing w:after="0"/>
              <w:rPr>
                <w:sz w:val="23"/>
                <w:szCs w:val="23"/>
                <w:color w:val="auto"/>
              </w:rPr>
            </w:pPr>
          </w:p>
        </w:tc>
        <w:tc>
          <w:tcPr>
            <w:tcW w:w="6620" w:type="dxa"/>
            <w:vAlign w:val="bottom"/>
            <w:tcBorders>
              <w:top w:val="single" w:sz="8" w:color="CCEEFF"/>
            </w:tcBorders>
          </w:tcPr>
          <w:p>
            <w:pPr>
              <w:spacing w:after="0"/>
              <w:rPr>
                <w:sz w:val="23"/>
                <w:szCs w:val="23"/>
                <w:color w:val="auto"/>
              </w:rPr>
            </w:pPr>
          </w:p>
        </w:tc>
        <w:tc>
          <w:tcPr>
            <w:tcW w:w="198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8</w:t>
            </w:r>
          </w:p>
        </w:tc>
        <w:tc>
          <w:tcPr>
            <w:tcW w:w="662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Real Estate Status Report</w:t>
            </w:r>
          </w:p>
        </w:tc>
        <w:tc>
          <w:tcPr>
            <w:tcW w:w="216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23</w:t>
              </w:r>
            </w:hyperlink>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9</w:t>
            </w:r>
          </w:p>
        </w:tc>
        <w:tc>
          <w:tcPr>
            <w:tcW w:w="662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Retail Leasing Summary</w:t>
            </w:r>
          </w:p>
        </w:tc>
        <w:tc>
          <w:tcPr>
            <w:tcW w:w="216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w:t>
            </w:r>
          </w:p>
        </w:tc>
        <w:tc>
          <w:tcPr>
            <w:tcW w:w="662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Lease Expirations</w:t>
            </w:r>
          </w:p>
        </w:tc>
        <w:tc>
          <w:tcPr>
            <w:tcW w:w="216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11</w:t>
            </w:r>
          </w:p>
        </w:tc>
        <w:tc>
          <w:tcPr>
            <w:tcW w:w="662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Portfolio Leased Statistics</w:t>
            </w:r>
          </w:p>
        </w:tc>
        <w:tc>
          <w:tcPr>
            <w:tcW w:w="216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12</w:t>
            </w:r>
          </w:p>
        </w:tc>
        <w:tc>
          <w:tcPr>
            <w:tcW w:w="662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Summary of Top 25 Tenants</w:t>
            </w:r>
          </w:p>
        </w:tc>
        <w:tc>
          <w:tcPr>
            <w:tcW w:w="216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13</w:t>
            </w:r>
          </w:p>
        </w:tc>
        <w:tc>
          <w:tcPr>
            <w:tcW w:w="662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Tenant Diversification by Category</w:t>
            </w:r>
          </w:p>
        </w:tc>
        <w:tc>
          <w:tcPr>
            <w:tcW w:w="216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14</w:t>
            </w:r>
          </w:p>
        </w:tc>
        <w:tc>
          <w:tcPr>
            <w:tcW w:w="662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Reconciliation of FFO Guidance</w:t>
            </w:r>
          </w:p>
        </w:tc>
        <w:tc>
          <w:tcPr>
            <w:tcW w:w="216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15</w:t>
            </w:r>
          </w:p>
        </w:tc>
        <w:tc>
          <w:tcPr>
            <w:tcW w:w="662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Glossary of Terms</w:t>
            </w:r>
          </w:p>
        </w:tc>
        <w:tc>
          <w:tcPr>
            <w:tcW w:w="2160" w:type="dxa"/>
            <w:vAlign w:val="bottom"/>
            <w:gridSpan w:val="2"/>
            <w:shd w:val="clear" w:color="auto" w:fill="CCEEFF"/>
          </w:tcPr>
          <w:p>
            <w:pPr>
              <w:jc w:val="right"/>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jc w:val="center"/>
        <w:ind w:right="20"/>
        <w:spacing w:after="0"/>
        <w:rPr>
          <w:sz w:val="20"/>
          <w:szCs w:val="20"/>
          <w:color w:val="auto"/>
        </w:rPr>
      </w:pPr>
      <w:r>
        <w:rPr>
          <w:rFonts w:ascii="Arial" w:cs="Arial" w:eastAsia="Arial" w:hAnsi="Arial"/>
          <w:sz w:val="18"/>
          <w:szCs w:val="18"/>
          <w:color w:val="auto"/>
        </w:rPr>
        <w:t>909 Rose Avenue,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06135"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6135" cy="146050"/>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North Bethesda, Maryland 20852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301/998-8100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300"/>
          </w:cols>
          <w:pgMar w:left="1300" w:top="931" w:right="1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2022, and include the following:</w:t>
      </w:r>
    </w:p>
    <w:p>
      <w:pPr>
        <w:spacing w:after="0" w:line="220" w:lineRule="exact"/>
        <w:rPr>
          <w:sz w:val="20"/>
          <w:szCs w:val="20"/>
          <w:color w:val="auto"/>
        </w:rPr>
      </w:pPr>
    </w:p>
    <w:p>
      <w:pPr>
        <w:ind w:left="980" w:right="160" w:hanging="324"/>
        <w:spacing w:after="0" w:line="258"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 or to fill existing vacancy;</w:t>
      </w:r>
    </w:p>
    <w:p>
      <w:pPr>
        <w:spacing w:after="0" w:line="1"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100" w:hanging="324"/>
        <w:spacing w:after="0" w:line="265" w:lineRule="auto"/>
        <w:tabs>
          <w:tab w:leader="none" w:pos="97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i w:val="1"/>
          <w:iCs w:val="1"/>
          <w:color w:val="auto"/>
        </w:rPr>
      </w:pPr>
    </w:p>
    <w:p>
      <w:pPr>
        <w:ind w:left="980" w:right="360" w:hanging="324"/>
        <w:spacing w:after="0" w:line="281"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1" w:lineRule="exact"/>
        <w:rPr>
          <w:rFonts w:ascii="Arial" w:cs="Arial" w:eastAsia="Arial" w:hAnsi="Arial"/>
          <w:sz w:val="16"/>
          <w:szCs w:val="16"/>
          <w:color w:val="auto"/>
        </w:rPr>
      </w:pPr>
    </w:p>
    <w:p>
      <w:pPr>
        <w:jc w:val="both"/>
        <w:ind w:left="980" w:right="42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8"/>
          <w:szCs w:val="18"/>
          <w:color w:val="auto"/>
        </w:rPr>
      </w:pPr>
    </w:p>
    <w:p>
      <w:pPr>
        <w:ind w:left="980" w:right="40" w:hanging="324"/>
        <w:spacing w:after="0" w:line="253"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1"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757555</wp:posOffset>
            </wp:positionV>
            <wp:extent cx="2571750" cy="1036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57175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NEWS RELEASE</w:t>
            </w:r>
          </w:p>
        </w:tc>
        <w:tc>
          <w:tcPr>
            <w:tcW w:w="5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324"/>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FOR IMMEDIATE RELEASE</w:t>
            </w:r>
          </w:p>
        </w:tc>
        <w:tc>
          <w:tcPr>
            <w:tcW w:w="5420" w:type="dxa"/>
            <w:vAlign w:val="bottom"/>
          </w:tcPr>
          <w:p>
            <w:pPr>
              <w:spacing w:after="0"/>
              <w:rPr>
                <w:sz w:val="24"/>
                <w:szCs w:val="24"/>
                <w:color w:val="auto"/>
              </w:rPr>
            </w:pPr>
          </w:p>
        </w:tc>
      </w:tr>
      <w:tr>
        <w:trPr>
          <w:trHeight w:val="392"/>
        </w:trPr>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Investor Inquiries:</w:t>
            </w:r>
          </w:p>
        </w:tc>
        <w:tc>
          <w:tcPr>
            <w:tcW w:w="542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Leah Andress Brady</w:t>
            </w:r>
          </w:p>
        </w:tc>
        <w:tc>
          <w:tcPr>
            <w:tcW w:w="542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Vice President, Investor Relations</w:t>
            </w:r>
          </w:p>
        </w:tc>
        <w:tc>
          <w:tcPr>
            <w:tcW w:w="5420" w:type="dxa"/>
            <w:vAlign w:val="bottom"/>
          </w:tcPr>
          <w:p>
            <w:pPr>
              <w:jc w:val="right"/>
              <w:spacing w:after="0"/>
              <w:rPr>
                <w:sz w:val="20"/>
                <w:szCs w:val="20"/>
                <w:color w:val="auto"/>
              </w:rPr>
            </w:pPr>
            <w:r>
              <w:rPr>
                <w:rFonts w:ascii="Arial" w:cs="Arial" w:eastAsia="Arial" w:hAnsi="Arial"/>
                <w:sz w:val="18"/>
                <w:szCs w:val="18"/>
                <w:color w:val="auto"/>
              </w:rPr>
              <w:t>Director, Corporate Communications</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301.998.8265</w:t>
            </w:r>
          </w:p>
        </w:tc>
        <w:tc>
          <w:tcPr>
            <w:tcW w:w="542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lbrady@federalrealty.com</w:t>
            </w:r>
          </w:p>
        </w:tc>
        <w:tc>
          <w:tcPr>
            <w:tcW w:w="5420" w:type="dxa"/>
            <w:vAlign w:val="bottom"/>
          </w:tcPr>
          <w:p>
            <w:pPr>
              <w:jc w:val="right"/>
              <w:spacing w:after="0"/>
              <w:rPr>
                <w:sz w:val="20"/>
                <w:szCs w:val="20"/>
                <w:color w:val="auto"/>
              </w:rPr>
            </w:pPr>
            <w:r>
              <w:rPr>
                <w:rFonts w:ascii="Arial" w:cs="Arial" w:eastAsia="Arial" w:hAnsi="Arial"/>
                <w:sz w:val="18"/>
                <w:szCs w:val="18"/>
                <w:color w:val="auto"/>
              </w:rPr>
              <w:t>bpomar@federalrealty.com</w:t>
            </w:r>
          </w:p>
        </w:tc>
      </w:tr>
    </w:tbl>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 Operating Results for the Year and Quarter Ended</w:t>
      </w:r>
    </w:p>
    <w:p>
      <w:pPr>
        <w:spacing w:after="0" w:line="63"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December 31, 2021</w:t>
      </w:r>
    </w:p>
    <w:p>
      <w:pPr>
        <w:spacing w:after="0" w:line="220" w:lineRule="exact"/>
        <w:rPr>
          <w:sz w:val="20"/>
          <w:szCs w:val="20"/>
          <w:color w:val="auto"/>
        </w:rPr>
      </w:pPr>
    </w:p>
    <w:p>
      <w:pPr>
        <w:spacing w:after="0" w:line="363" w:lineRule="auto"/>
        <w:rPr>
          <w:sz w:val="20"/>
          <w:szCs w:val="20"/>
          <w:color w:val="auto"/>
        </w:rPr>
      </w:pPr>
      <w:r>
        <w:rPr>
          <w:rFonts w:ascii="Arial" w:cs="Arial" w:eastAsia="Arial" w:hAnsi="Arial"/>
          <w:sz w:val="18"/>
          <w:szCs w:val="18"/>
          <w:color w:val="auto"/>
        </w:rPr>
        <w:t xml:space="preserve">NORTH BETHESDA, Md. (February 10, 2022) - Federal Realty Investment Trust (NYSE:FRT) today reported operating results for its year and quarter ended December 31, 2021. </w:t>
      </w:r>
      <w:r>
        <w:rPr>
          <w:rFonts w:ascii="Arial" w:cs="Arial" w:eastAsia="Arial" w:hAnsi="Arial"/>
          <w:sz w:val="18"/>
          <w:szCs w:val="18"/>
          <w:color w:val="262626"/>
        </w:rPr>
        <w:t>For the year ended December 31, 2021 and 2020, net income available for common shareholders</w:t>
      </w:r>
      <w:r>
        <w:rPr>
          <w:rFonts w:ascii="Arial" w:cs="Arial" w:eastAsia="Arial" w:hAnsi="Arial"/>
          <w:sz w:val="18"/>
          <w:szCs w:val="18"/>
          <w:color w:val="auto"/>
        </w:rPr>
        <w:t xml:space="preserve"> </w:t>
      </w:r>
      <w:r>
        <w:rPr>
          <w:rFonts w:ascii="Arial" w:cs="Arial" w:eastAsia="Arial" w:hAnsi="Arial"/>
          <w:sz w:val="18"/>
          <w:szCs w:val="18"/>
          <w:color w:val="262626"/>
        </w:rPr>
        <w:t>was $3.26 per diluted share and $1.62 per diluted share, respectively. For the three months ended December 31, 2021 and 2020, net income available for common shareholders was $1.44 per diluted share and $1.22 per diluted share,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full year and fourth quarter include:</w:t>
      </w:r>
    </w:p>
    <w:p>
      <w:pPr>
        <w:spacing w:after="0" w:line="252" w:lineRule="exact"/>
        <w:rPr>
          <w:sz w:val="20"/>
          <w:szCs w:val="20"/>
          <w:color w:val="auto"/>
        </w:rPr>
      </w:pPr>
    </w:p>
    <w:p>
      <w:pPr>
        <w:ind w:left="660" w:right="4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funds from operations available to common shareholders (FFO) per diluted share of $5.57 for the year, compared to $4.38 in 2020. For the fourth quarter, generated FFO per diluted share of $1.47, compared to $0.99 ($1.14 excluding the early extinguishment of debt charge) for the fourth quarter 2020.</w:t>
      </w:r>
    </w:p>
    <w:p>
      <w:pPr>
        <w:ind w:left="660" w:right="4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record levels of leasing with 116 signed leases for 597,673 square feet of comparable space in the fourth quarter bringing 2021 to a record 462 signed leases for 2.1 million square feet of comparable space.</w:t>
      </w:r>
    </w:p>
    <w:p>
      <w:pPr>
        <w:ind w:left="660" w:right="8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Realty’s portfolio was 91.1% occupied and 93.6% leased, representing sequential increases of 90 basis points and 80 basis points, respectively, over the third quarter.</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250 basis point spread between leased and occupied.</w:t>
      </w:r>
    </w:p>
    <w:p>
      <w:pPr>
        <w:spacing w:after="0" w:line="103" w:lineRule="exact"/>
        <w:rPr>
          <w:rFonts w:ascii="Arial" w:cs="Arial" w:eastAsia="Arial" w:hAnsi="Arial"/>
          <w:sz w:val="18"/>
          <w:szCs w:val="18"/>
          <w:color w:val="auto"/>
        </w:rPr>
      </w:pPr>
    </w:p>
    <w:p>
      <w:pPr>
        <w:ind w:left="660" w:right="22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Small shop leased rate was 87.4% as of quarter end, an increase of 130 basis points over the third quarter and an increase of 280 basis points year over year.</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276,586 square feet of office space during the quarter.</w:t>
      </w:r>
    </w:p>
    <w:p>
      <w:pPr>
        <w:spacing w:after="0" w:line="103" w:lineRule="exact"/>
        <w:rPr>
          <w:rFonts w:ascii="Arial" w:cs="Arial" w:eastAsia="Arial" w:hAnsi="Arial"/>
          <w:sz w:val="18"/>
          <w:szCs w:val="18"/>
          <w:color w:val="auto"/>
        </w:rPr>
      </w:pPr>
    </w:p>
    <w:p>
      <w:pPr>
        <w:ind w:left="660" w:right="2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Sold two shopping centers and a portion of two properties for a total sales price of $121.4 million in the fourth quarter, bringing the 2021 total disposition proceeds to $141.6 million.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5 properties totaling 1.9 million square feet and 135 acres in COVID-era, off-market transactions in 2021.</w:t>
      </w:r>
    </w:p>
    <w:p>
      <w:pPr>
        <w:spacing w:after="0" w:line="103" w:lineRule="exact"/>
        <w:rPr>
          <w:rFonts w:ascii="Arial" w:cs="Arial" w:eastAsia="Arial" w:hAnsi="Arial"/>
          <w:sz w:val="18"/>
          <w:szCs w:val="18"/>
          <w:color w:val="auto"/>
        </w:rPr>
      </w:pPr>
    </w:p>
    <w:p>
      <w:pPr>
        <w:ind w:left="660" w:right="100" w:hanging="328"/>
        <w:spacing w:after="0" w:line="3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2022 earnings per diluted share guidance to $2.30 to $2.50 and increased 2022 FFO per diluted share guidance to $5.75 to $5.95.</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20"/>
          </w:cols>
          <w:pgMar w:left="320" w:top="1440" w:right="359" w:bottom="1440" w:gutter="0" w:footer="0" w:header="0"/>
          <w:type w:val="continuous"/>
        </w:sectPr>
      </w:pPr>
    </w:p>
    <w:bookmarkStart w:id="6" w:name="page7"/>
    <w:bookmarkEnd w:id="6"/>
    <w:p>
      <w:pPr>
        <w:ind w:right="60"/>
        <w:spacing w:after="0" w:line="3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6174740</wp:posOffset>
            </wp:positionH>
            <wp:positionV relativeFrom="page">
              <wp:posOffset>88900</wp:posOffset>
            </wp:positionV>
            <wp:extent cx="1165860"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65860" cy="454025"/>
                    </a:xfrm>
                    <a:prstGeom prst="rect">
                      <a:avLst/>
                    </a:prstGeom>
                    <a:noFill/>
                  </pic:spPr>
                </pic:pic>
              </a:graphicData>
            </a:graphic>
          </wp:anchor>
        </w:drawing>
        <w:t>“2021 outperformed even our most optimistic expectations,” said Donald C. Wood, Chief Executive Officer. “Leasing momentum continued at unprecedented levels, clear indication of strong demand for our properties and our locations. The broad-based leasing that has been done over the past several quarters, along with our development and acquisitions pipelines set Federal up for an active 2022 with all eyes on bottom line earnings growth.”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w:t>
      </w:r>
      <w:r>
        <w:rPr>
          <w:rFonts w:ascii="Arial" w:cs="Arial" w:eastAsia="Arial" w:hAnsi="Arial"/>
          <w:sz w:val="18"/>
          <w:szCs w:val="18"/>
          <w:color w:val="auto"/>
        </w:rPr>
        <w:t>e</w:t>
      </w:r>
    </w:p>
    <w:p>
      <w:pPr>
        <w:spacing w:after="0" w:line="270" w:lineRule="exact"/>
        <w:rPr>
          <w:sz w:val="20"/>
          <w:szCs w:val="20"/>
          <w:color w:val="auto"/>
        </w:rPr>
      </w:pPr>
    </w:p>
    <w:p>
      <w:pPr>
        <w:ind w:right="20"/>
        <w:spacing w:after="0" w:line="365" w:lineRule="auto"/>
        <w:rPr>
          <w:sz w:val="20"/>
          <w:szCs w:val="20"/>
          <w:color w:val="auto"/>
        </w:rPr>
      </w:pPr>
      <w:r>
        <w:rPr>
          <w:rFonts w:ascii="Arial" w:cs="Arial" w:eastAsia="Arial" w:hAnsi="Arial"/>
          <w:sz w:val="18"/>
          <w:szCs w:val="18"/>
          <w:color w:val="auto"/>
        </w:rPr>
        <w:t>For the full year 2021, Federal Realty reported net income available for common shareholders of $253.5 million and earnings per diluted share of $3.26. This compares to net income available for common shareholders of $123.7 million and earnings per diluted share of $1.62 for the full year 2020.</w:t>
      </w:r>
    </w:p>
    <w:p>
      <w:pPr>
        <w:spacing w:after="0" w:line="136" w:lineRule="exact"/>
        <w:rPr>
          <w:sz w:val="20"/>
          <w:szCs w:val="20"/>
          <w:color w:val="auto"/>
        </w:rPr>
      </w:pPr>
    </w:p>
    <w:p>
      <w:pPr>
        <w:ind w:right="360"/>
        <w:spacing w:after="0" w:line="371" w:lineRule="auto"/>
        <w:rPr>
          <w:sz w:val="20"/>
          <w:szCs w:val="20"/>
          <w:color w:val="auto"/>
        </w:rPr>
      </w:pPr>
      <w:r>
        <w:rPr>
          <w:rFonts w:ascii="Arial" w:cs="Arial" w:eastAsia="Arial" w:hAnsi="Arial"/>
          <w:sz w:val="18"/>
          <w:szCs w:val="18"/>
          <w:color w:val="auto"/>
        </w:rPr>
        <w:t>For the fourth quarter 2021, net income available for common shareholders was $112.9 million and earnings per diluted share was $1.44 versus $92.7 million and $1.22, respectively, for the fourth quarter 2020.</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FFO</w:t>
      </w:r>
    </w:p>
    <w:p>
      <w:pPr>
        <w:spacing w:after="0" w:line="270" w:lineRule="exact"/>
        <w:rPr>
          <w:sz w:val="20"/>
          <w:szCs w:val="20"/>
          <w:color w:val="auto"/>
        </w:rPr>
      </w:pPr>
    </w:p>
    <w:p>
      <w:pPr>
        <w:jc w:val="both"/>
        <w:ind w:right="60"/>
        <w:spacing w:after="0" w:line="365" w:lineRule="auto"/>
        <w:rPr>
          <w:sz w:val="20"/>
          <w:szCs w:val="20"/>
          <w:color w:val="auto"/>
        </w:rPr>
      </w:pPr>
      <w:r>
        <w:rPr>
          <w:rFonts w:ascii="Arial" w:cs="Arial" w:eastAsia="Arial" w:hAnsi="Arial"/>
          <w:sz w:val="18"/>
          <w:szCs w:val="18"/>
          <w:color w:val="auto"/>
        </w:rPr>
        <w:t>For the full year 2021, Federal Realty generated funds from operations available for common shareholders (FFO) of $434.7 million, or $5.57 per diluted share. This compares to FFO of $333.8 million, or $4.38 per diluted share ($4.52 excluding the $11.2 million early extinguishment of debt charge) for the full year 2020.</w:t>
      </w:r>
    </w:p>
    <w:p>
      <w:pPr>
        <w:spacing w:after="0" w:line="136" w:lineRule="exact"/>
        <w:rPr>
          <w:sz w:val="20"/>
          <w:szCs w:val="20"/>
          <w:color w:val="auto"/>
        </w:rPr>
      </w:pPr>
    </w:p>
    <w:p>
      <w:pPr>
        <w:jc w:val="both"/>
        <w:ind w:right="60"/>
        <w:spacing w:after="0" w:line="371" w:lineRule="auto"/>
        <w:rPr>
          <w:sz w:val="20"/>
          <w:szCs w:val="20"/>
          <w:color w:val="auto"/>
        </w:rPr>
      </w:pPr>
      <w:r>
        <w:rPr>
          <w:rFonts w:ascii="Arial" w:cs="Arial" w:eastAsia="Arial" w:hAnsi="Arial"/>
          <w:sz w:val="18"/>
          <w:szCs w:val="18"/>
          <w:color w:val="auto"/>
        </w:rPr>
        <w:t>For the fourth quarter 2021, FFO was $115.8 million, or $1.47 per diluted share, compared to $75.1 million, or $0.99 per diluted share ($1.14 excluding the early extinguishment of debt charge) for the fourth quarter 2020.</w:t>
      </w:r>
    </w:p>
    <w:p>
      <w:pPr>
        <w:spacing w:after="0" w:line="116" w:lineRule="exact"/>
        <w:rPr>
          <w:sz w:val="20"/>
          <w:szCs w:val="20"/>
          <w:color w:val="auto"/>
        </w:rPr>
      </w:pPr>
    </w:p>
    <w:p>
      <w:pPr>
        <w:ind w:right="6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Update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57" w:lineRule="exact"/>
        <w:rPr>
          <w:sz w:val="20"/>
          <w:szCs w:val="20"/>
          <w:color w:val="auto"/>
        </w:rPr>
      </w:pPr>
    </w:p>
    <w:p>
      <w:pPr>
        <w:jc w:val="both"/>
        <w:ind w:right="580"/>
        <w:spacing w:after="0" w:line="365" w:lineRule="auto"/>
        <w:rPr>
          <w:sz w:val="20"/>
          <w:szCs w:val="20"/>
          <w:color w:val="auto"/>
        </w:rPr>
      </w:pPr>
      <w:r>
        <w:rPr>
          <w:rFonts w:ascii="Arial" w:cs="Arial" w:eastAsia="Arial" w:hAnsi="Arial"/>
          <w:sz w:val="18"/>
          <w:szCs w:val="18"/>
          <w:color w:val="auto"/>
        </w:rPr>
        <w:t>The portfolio was 91.1% occupied as of December 31, 2021, a sequential increase of 90 basis points over the third quarter 2021. The portfolio was 93.6% leased as of December 31, 2021, a sequential increase of 80 basis points over the third quarter 2021. The spread between our leased and occupied percentages was 250 basis points at the end of the fourth quarter.</w:t>
      </w:r>
    </w:p>
    <w:p>
      <w:pPr>
        <w:spacing w:after="0" w:line="136" w:lineRule="exact"/>
        <w:rPr>
          <w:sz w:val="20"/>
          <w:szCs w:val="20"/>
          <w:color w:val="auto"/>
        </w:rPr>
      </w:pPr>
    </w:p>
    <w:p>
      <w:pPr>
        <w:ind w:right="100"/>
        <w:spacing w:after="0" w:line="371" w:lineRule="auto"/>
        <w:rPr>
          <w:sz w:val="20"/>
          <w:szCs w:val="20"/>
          <w:color w:val="auto"/>
        </w:rPr>
      </w:pPr>
      <w:r>
        <w:rPr>
          <w:rFonts w:ascii="Arial" w:cs="Arial" w:eastAsia="Arial" w:hAnsi="Arial"/>
          <w:sz w:val="18"/>
          <w:szCs w:val="18"/>
          <w:color w:val="auto"/>
        </w:rPr>
        <w:t>Additionally, our comparable residential properties were 97.2% leased as of December 31, 2021 compared to 94.8% leased as of December 31, 2020, an increase of 240 basis points.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Activity</w:t>
      </w:r>
    </w:p>
    <w:p>
      <w:pPr>
        <w:spacing w:after="0" w:line="257"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For the full year 2021, Federal Realty signed 492 leases for 2.2 million square feet of retail space. On a comparable space basis (i.e., spaces for which there was a former tenant), Federal Realty signed 462 leases for 2.1 million square feet at an average rent of $37.00 per square foot compared to the average contractual rent of $34.52 per square foot for the last year of the prior leases, representing a cash basis rollover growth on those comparable spaces of 7%, 16% on a straight-line basis.</w:t>
      </w:r>
    </w:p>
    <w:p>
      <w:pPr>
        <w:sectPr>
          <w:pgSz w:w="11900" w:h="16838" w:orient="portrait"/>
          <w:cols w:equalWidth="0" w:num="1">
            <w:col w:w="11240"/>
          </w:cols>
          <w:pgMar w:left="320" w:top="12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46" w:right="339" w:bottom="1440" w:gutter="0" w:footer="0" w:header="0"/>
          <w:type w:val="continuous"/>
        </w:sectPr>
      </w:pPr>
    </w:p>
    <w:bookmarkStart w:id="7" w:name="page8"/>
    <w:bookmarkEnd w:id="7"/>
    <w:p>
      <w:pPr>
        <w:jc w:val="both"/>
        <w:spacing w:after="0" w:line="3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6174740</wp:posOffset>
            </wp:positionH>
            <wp:positionV relativeFrom="page">
              <wp:posOffset>88900</wp:posOffset>
            </wp:positionV>
            <wp:extent cx="1165860" cy="45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454025"/>
                    </a:xfrm>
                    <a:prstGeom prst="rect">
                      <a:avLst/>
                    </a:prstGeom>
                    <a:noFill/>
                  </pic:spPr>
                </pic:pic>
              </a:graphicData>
            </a:graphic>
          </wp:anchor>
        </w:drawing>
        <w:t>During the fourth quarter 2021, Federal Realty signed 125 leases for 619,629 square feet of retail space. On a comparable space basis (i.e., spaces for which there was a former tenant), Federal Realty signed 116 leases for 597,673 square feet at an average rent of $34.34 per square foot compared to the average contractual rent of $32.49 per square foot for the last year of the prior leases, representing a cash basis rollover growth on those comparable spaces of 6%, 12% on a straight-line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Activity</w:t>
      </w:r>
    </w:p>
    <w:p>
      <w:pPr>
        <w:spacing w:after="0" w:line="257"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In 2021, Federal Realty acquired 5 shopping centers which total 1.9 million square feet and 135 acres for a gross value of $440.9 million, of which Federal owns an average 82% controlling joint venture interest.</w:t>
      </w:r>
    </w:p>
    <w:p>
      <w:pPr>
        <w:spacing w:after="0" w:line="130"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In the fourth quarter, Federal Realty sold two shopping centers and a portion of two properties for a total sales price of $121.4 million, bringing the 2021 total disposition proceeds to $141.6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Collection Update</w:t>
      </w:r>
    </w:p>
    <w:p>
      <w:pPr>
        <w:spacing w:after="0" w:line="257"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As of January 31, 2022, the Company has collected approximately 97% of total fourth quarter 2021 billed recurring rents. Including rent deferral and abatement agreements, total addressed recurring rent was 99%.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to “UPREIT” Partnership</w:t>
      </w:r>
    </w:p>
    <w:p>
      <w:pPr>
        <w:spacing w:after="0" w:line="270" w:lineRule="exact"/>
        <w:rPr>
          <w:sz w:val="20"/>
          <w:szCs w:val="20"/>
          <w:color w:val="auto"/>
        </w:rPr>
      </w:pPr>
    </w:p>
    <w:p>
      <w:pPr>
        <w:jc w:val="both"/>
        <w:ind w:right="320"/>
        <w:spacing w:after="0" w:line="363" w:lineRule="auto"/>
        <w:rPr>
          <w:sz w:val="20"/>
          <w:szCs w:val="20"/>
          <w:color w:val="auto"/>
        </w:rPr>
      </w:pPr>
      <w:r>
        <w:rPr>
          <w:rFonts w:ascii="Arial" w:cs="Arial" w:eastAsia="Arial" w:hAnsi="Arial"/>
          <w:sz w:val="18"/>
          <w:szCs w:val="18"/>
          <w:color w:val="auto"/>
        </w:rPr>
        <w:t>Effective January 1, 2022, Federal Realty completed a holding company merger that resulted in the formation of a new holding company which is now known as Federal Realty Investment Trust and the entity formerly known as Federal Realty Investment Trust converting to a limited partnership now known as Federal Realty OP LP. Detailed information on this conversion can be found in the Form 8K12B filed on January 3, 2022 and the Form 8K filed on January 5,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274" w:lineRule="exact"/>
        <w:rPr>
          <w:sz w:val="20"/>
          <w:szCs w:val="20"/>
          <w:color w:val="auto"/>
        </w:rPr>
      </w:pPr>
    </w:p>
    <w:p>
      <w:pPr>
        <w:ind w:right="140"/>
        <w:spacing w:after="0" w:line="365" w:lineRule="auto"/>
        <w:rPr>
          <w:sz w:val="20"/>
          <w:szCs w:val="20"/>
          <w:color w:val="auto"/>
        </w:rPr>
      </w:pPr>
      <w:r>
        <w:rPr>
          <w:rFonts w:ascii="Arial" w:cs="Arial" w:eastAsia="Arial" w:hAnsi="Arial"/>
          <w:sz w:val="18"/>
          <w:szCs w:val="18"/>
          <w:color w:val="auto"/>
        </w:rPr>
        <w:t>Federal Realty announced today that its Board of Trustees declared a regular quarterly cash dividend of $1.07 per common share, resulting in an indicated annual rate of $4.28 per common share. The regular common dividend will be payable on April 15, 2022 to common shareholders of record as of March 16, 2022.</w:t>
      </w:r>
    </w:p>
    <w:p>
      <w:pPr>
        <w:spacing w:after="0" w:line="136" w:lineRule="exact"/>
        <w:rPr>
          <w:sz w:val="20"/>
          <w:szCs w:val="20"/>
          <w:color w:val="auto"/>
        </w:rPr>
      </w:pPr>
    </w:p>
    <w:p>
      <w:pPr>
        <w:jc w:val="both"/>
        <w:ind w:right="160"/>
        <w:spacing w:after="0" w:line="365"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April 15, 2022 to shareholders of record as of April 1, 2022.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ind w:right="480"/>
        <w:spacing w:after="0" w:line="371" w:lineRule="auto"/>
        <w:rPr>
          <w:sz w:val="20"/>
          <w:szCs w:val="20"/>
          <w:color w:val="auto"/>
        </w:rPr>
      </w:pPr>
      <w:r>
        <w:rPr>
          <w:rFonts w:ascii="Arial" w:cs="Arial" w:eastAsia="Arial" w:hAnsi="Arial"/>
          <w:sz w:val="18"/>
          <w:szCs w:val="18"/>
          <w:color w:val="auto"/>
        </w:rPr>
        <w:t>Federal Realty increased its 2022 guidance for earnings per diluted share to $2.30 to $2.50 and 2022 FFO per diluted share to $5.75 to $5.95.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4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6174740</wp:posOffset>
            </wp:positionH>
            <wp:positionV relativeFrom="page">
              <wp:posOffset>88900</wp:posOffset>
            </wp:positionV>
            <wp:extent cx="1165860"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65860" cy="454025"/>
                    </a:xfrm>
                    <a:prstGeom prst="rect">
                      <a:avLst/>
                    </a:prstGeom>
                    <a:noFill/>
                  </pic:spPr>
                </pic:pic>
              </a:graphicData>
            </a:graphic>
          </wp:anchor>
        </w:drawing>
        <w:t>Conference Call Information</w:t>
      </w:r>
    </w:p>
    <w:p>
      <w:pPr>
        <w:spacing w:after="0" w:line="274" w:lineRule="exact"/>
        <w:rPr>
          <w:sz w:val="20"/>
          <w:szCs w:val="20"/>
          <w:color w:val="auto"/>
        </w:rPr>
      </w:pPr>
    </w:p>
    <w:p>
      <w:pPr>
        <w:ind w:right="80"/>
        <w:spacing w:after="0" w:line="362" w:lineRule="auto"/>
        <w:rPr>
          <w:sz w:val="20"/>
          <w:szCs w:val="20"/>
          <w:color w:val="auto"/>
        </w:rPr>
      </w:pPr>
      <w:r>
        <w:rPr>
          <w:rFonts w:ascii="Arial" w:cs="Arial" w:eastAsia="Arial" w:hAnsi="Arial"/>
          <w:sz w:val="18"/>
          <w:szCs w:val="18"/>
          <w:color w:val="auto"/>
        </w:rPr>
        <w:t>Federal Realty’s management team will present an in-depth discussion of Federal Realty’s operating performance on its fourth quarter 2021 earnings conference call, which is scheduled for Thursday, February 10, 2022 at 5:00 PM ET. To participate, please call 877.407.9208 five to ten minutes prior to the call start time and use the passcode 13726468 (required). The teleconference can also be accessed via a live webcast at www.federalrealty.com in the Investors section. A replay of the webcast will be available on Federal Realty’s website at www.federalrealty.com. A telephonic replay of the conference call will also be available through February 24, 2022 by dialing 844.512.2921; Passcode: 13726468.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274" w:lineRule="exact"/>
        <w:rPr>
          <w:sz w:val="20"/>
          <w:szCs w:val="20"/>
          <w:color w:val="auto"/>
        </w:rPr>
      </w:pPr>
    </w:p>
    <w:p>
      <w:pPr>
        <w:ind w:right="80"/>
        <w:spacing w:after="0" w:line="361"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retail-based properties located primarily in major coastal markets from Washington, D.C. to Boston as well as San Francisco and Los Angeles.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104 properties include approximately 3,100 tenants, in 25 million square feet, and approximately 3,400 residential units.</w:t>
      </w:r>
    </w:p>
    <w:p>
      <w:pPr>
        <w:spacing w:after="0" w:line="143" w:lineRule="exact"/>
        <w:rPr>
          <w:sz w:val="20"/>
          <w:szCs w:val="20"/>
          <w:color w:val="auto"/>
        </w:rPr>
      </w:pPr>
    </w:p>
    <w:p>
      <w:pPr>
        <w:ind w:right="120"/>
        <w:spacing w:after="0" w:line="365" w:lineRule="auto"/>
        <w:rPr>
          <w:sz w:val="20"/>
          <w:szCs w:val="20"/>
          <w:color w:val="auto"/>
        </w:rPr>
      </w:pPr>
      <w:r>
        <w:rPr>
          <w:rFonts w:ascii="Arial" w:cs="Arial" w:eastAsia="Arial" w:hAnsi="Arial"/>
          <w:sz w:val="18"/>
          <w:szCs w:val="18"/>
          <w:color w:val="auto"/>
        </w:rPr>
        <w:t>Federal Realty has increased its quarterly dividends to its shareholders for 54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2022, and include the following:</w:t>
      </w:r>
    </w:p>
    <w:p>
      <w:pPr>
        <w:spacing w:after="0" w:line="111" w:lineRule="exact"/>
        <w:rPr>
          <w:sz w:val="20"/>
          <w:szCs w:val="20"/>
          <w:color w:val="auto"/>
        </w:rPr>
      </w:pPr>
    </w:p>
    <w:p>
      <w:pPr>
        <w:ind w:left="660" w:hanging="328"/>
        <w:spacing w:after="0" w:line="251" w:lineRule="auto"/>
        <w:tabs>
          <w:tab w:leader="none" w:pos="65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 or to fill existing vacancy;</w:t>
      </w:r>
    </w:p>
    <w:p>
      <w:pPr>
        <w:spacing w:after="0" w:line="1" w:lineRule="exact"/>
        <w:rPr>
          <w:rFonts w:ascii="Arial" w:cs="Arial" w:eastAsia="Arial" w:hAnsi="Arial"/>
          <w:sz w:val="14"/>
          <w:szCs w:val="14"/>
          <w:i w:val="1"/>
          <w:iCs w:val="1"/>
          <w:color w:val="auto"/>
        </w:rPr>
      </w:pPr>
    </w:p>
    <w:p>
      <w:pPr>
        <w:jc w:val="both"/>
        <w:ind w:left="660" w:hanging="328"/>
        <w:spacing w:after="0" w:line="243" w:lineRule="auto"/>
        <w:tabs>
          <w:tab w:leader="none" w:pos="65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59" w:lineRule="exact"/>
        <w:rPr>
          <w:rFonts w:ascii="Arial" w:cs="Arial" w:eastAsia="Arial" w:hAnsi="Arial"/>
          <w:sz w:val="14"/>
          <w:szCs w:val="14"/>
          <w:i w:val="1"/>
          <w:iCs w:val="1"/>
          <w:color w:val="auto"/>
        </w:rPr>
      </w:pPr>
    </w:p>
    <w:p>
      <w:pPr>
        <w:jc w:val="both"/>
        <w:ind w:left="660" w:hanging="328"/>
        <w:spacing w:after="0" w:line="241" w:lineRule="auto"/>
        <w:tabs>
          <w:tab w:leader="none" w:pos="65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4"/>
          <w:szCs w:val="14"/>
          <w:i w:val="1"/>
          <w:iCs w:val="1"/>
          <w:color w:val="auto"/>
        </w:rPr>
      </w:pPr>
    </w:p>
    <w:p>
      <w:pPr>
        <w:ind w:left="660" w:hanging="328"/>
        <w:spacing w:after="0"/>
        <w:tabs>
          <w:tab w:leader="none" w:pos="66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our growth will be limited if we cannot obtain additional capital;</w:t>
      </w:r>
    </w:p>
    <w:p>
      <w:pPr>
        <w:spacing w:after="0" w:line="1" w:lineRule="exact"/>
        <w:rPr>
          <w:rFonts w:ascii="Arial" w:cs="Arial" w:eastAsia="Arial" w:hAnsi="Arial"/>
          <w:sz w:val="14"/>
          <w:szCs w:val="14"/>
          <w:i w:val="1"/>
          <w:iCs w:val="1"/>
          <w:color w:val="auto"/>
        </w:rPr>
      </w:pPr>
    </w:p>
    <w:p>
      <w:pPr>
        <w:ind w:left="660" w:hanging="328"/>
        <w:spacing w:after="0"/>
        <w:tabs>
          <w:tab w:leader="none" w:pos="66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1" w:lineRule="exact"/>
        <w:rPr>
          <w:rFonts w:ascii="Arial" w:cs="Arial" w:eastAsia="Arial" w:hAnsi="Arial"/>
          <w:sz w:val="14"/>
          <w:szCs w:val="14"/>
          <w:i w:val="1"/>
          <w:iCs w:val="1"/>
          <w:color w:val="auto"/>
        </w:rPr>
      </w:pPr>
    </w:p>
    <w:p>
      <w:pPr>
        <w:ind w:left="660" w:hanging="328"/>
        <w:spacing w:after="0" w:line="241" w:lineRule="auto"/>
        <w:tabs>
          <w:tab w:leader="none" w:pos="65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jc w:val="both"/>
        <w:ind w:left="660" w:hanging="328"/>
        <w:spacing w:after="0" w:line="241" w:lineRule="auto"/>
        <w:tabs>
          <w:tab w:leader="none" w:pos="65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4"/>
          <w:szCs w:val="14"/>
          <w:i w:val="1"/>
          <w:iCs w:val="1"/>
          <w:color w:val="auto"/>
        </w:rPr>
      </w:pPr>
    </w:p>
    <w:p>
      <w:pPr>
        <w:jc w:val="both"/>
        <w:ind w:left="660" w:hanging="328"/>
        <w:spacing w:after="0" w:line="243" w:lineRule="auto"/>
        <w:tabs>
          <w:tab w:leader="none" w:pos="65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w:t>
      </w:r>
      <w:r>
        <w:rPr>
          <w:rFonts w:ascii="Arial" w:cs="Arial" w:eastAsia="Arial" w:hAnsi="Arial"/>
          <w:sz w:val="17"/>
          <w:szCs w:val="17"/>
          <w:i w:val="1"/>
          <w:iCs w:val="1"/>
          <w:color w:val="auto"/>
        </w:rPr>
        <w: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24" w:right="339" w:bottom="1440" w:gutter="0" w:footer="0" w:header="0"/>
        </w:sectPr>
      </w:pPr>
    </w:p>
    <w:bookmarkStart w:id="9" w:name="page10"/>
    <w:bookmarkEnd w:id="9"/>
    <w:p>
      <w:pPr>
        <w:jc w:val="both"/>
        <w:spacing w:after="0" w:line="260"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6174740</wp:posOffset>
            </wp:positionH>
            <wp:positionV relativeFrom="page">
              <wp:posOffset>88900</wp:posOffset>
            </wp:positionV>
            <wp:extent cx="1165860"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65860" cy="454025"/>
                    </a:xfrm>
                    <a:prstGeom prst="rect">
                      <a:avLst/>
                    </a:prstGeom>
                    <a:noFill/>
                  </pic:spPr>
                </pic:pic>
              </a:graphicData>
            </a:graphic>
          </wp:anchor>
        </w:drawing>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2022.</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83"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Income Statements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5"/>
                <w:szCs w:val="15"/>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5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Rental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253,888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218,484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948,842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832,171</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 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951,224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835,494</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Rental expenses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56,647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198,121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170,920</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taxes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119,242</w:t>
            </w: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49,856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41,680</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279,976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255,027</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646,449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586,869</w:t>
            </w: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(57,218)</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estate and change in control of interest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98,117</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Other interest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(136,289)</w:t>
            </w: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(11,179)</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partnerships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116,742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269,081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135,888</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NET INCOME ATTRIBUTABLE TO THE TRUST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114,936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94,725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261,498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131,706</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on preferred shares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253,456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123,664</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COMMON SHARE, BASIC:</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number of common shares</w:t>
            </w: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Pr>
          <w:p>
            <w:pPr>
              <w:ind w:left="220"/>
              <w:spacing w:after="0" w:line="203" w:lineRule="exact"/>
              <w:rPr>
                <w:sz w:val="20"/>
                <w:szCs w:val="20"/>
                <w:color w:val="auto"/>
              </w:rPr>
            </w:pPr>
            <w:r>
              <w:rPr>
                <w:rFonts w:ascii="Arial" w:cs="Arial" w:eastAsia="Arial" w:hAnsi="Arial"/>
                <w:sz w:val="18"/>
                <w:szCs w:val="18"/>
                <w:color w:val="auto"/>
              </w:rPr>
              <w:t>Weighted average number of common shares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78,556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75,898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77,368</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75,515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931"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14"/>
                <w:szCs w:val="14"/>
                <w:b w:val="1"/>
                <w:bCs w:val="1"/>
                <w:color w:val="auto"/>
                <w:w w:val="90"/>
              </w:rPr>
              <w:t>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5"/>
        </w:trPr>
        <w:tc>
          <w:tcPr>
            <w:tcW w:w="8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0"/>
              </w:rPr>
              <w:t>(in thousands, except share and</w:t>
            </w:r>
          </w:p>
        </w:tc>
        <w:tc>
          <w:tcPr>
            <w:tcW w:w="0" w:type="dxa"/>
            <w:vAlign w:val="bottom"/>
          </w:tcPr>
          <w:p>
            <w:pPr>
              <w:spacing w:after="0"/>
              <w:rPr>
                <w:sz w:val="1"/>
                <w:szCs w:val="1"/>
                <w:color w:val="auto"/>
              </w:rPr>
            </w:pPr>
          </w:p>
        </w:tc>
      </w:tr>
      <w:tr>
        <w:trPr>
          <w:trHeight w:val="186"/>
        </w:trPr>
        <w:tc>
          <w:tcPr>
            <w:tcW w:w="8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3"/>
              </w:rPr>
              <w:t>per share data)</w:t>
            </w:r>
          </w:p>
        </w:tc>
        <w:tc>
          <w:tcPr>
            <w:tcW w:w="0" w:type="dxa"/>
            <w:vAlign w:val="bottom"/>
          </w:tcPr>
          <w:p>
            <w:pPr>
              <w:spacing w:after="0"/>
              <w:rPr>
                <w:sz w:val="1"/>
                <w:szCs w:val="1"/>
                <w:color w:val="auto"/>
              </w:rPr>
            </w:pPr>
          </w:p>
        </w:tc>
      </w:tr>
      <w:tr>
        <w:trPr>
          <w:trHeight w:val="242"/>
        </w:trPr>
        <w:tc>
          <w:tcPr>
            <w:tcW w:w="8560" w:type="dxa"/>
            <w:vAlign w:val="bottom"/>
          </w:tcPr>
          <w:p>
            <w:pPr>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 at cost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w w:val="96"/>
              </w:rPr>
              <w:t>Operating (including $2,207,648 and $1,703,202 of consolidated variable interest 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8,814,791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7,771,981</w:t>
            </w: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rPr>
              <w:t>Construction-in-progress (including $18,752 and $44,896 of consolidated variable interest entities,</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607,271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810,889</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9,422,062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8,582,870</w:t>
            </w: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1"/>
              </w:rPr>
              <w:t>Less accumulated depreciation and amortization (including $389,950 and $335,735 of consolidated variable</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(2,531,095)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(2,357,692)</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interest entities,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Net real estate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6,890,967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6,225,178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798,329</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Accounts and notes receivable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169,007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159,780</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notes receivable, net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39,892</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Investment in partnerships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22,128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 of use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92,248</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Finance lease right of use assets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51,116</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237,069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218,953</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7,622,320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7,607,624</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AND SHAREHOLDERS’ EQUITY</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9"/>
              </w:rPr>
              <w:t>Mortgages payable, net (including $335,301 and $413,681 of consolidated variable interest entities,</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339,993</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484,111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2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301,466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402,776</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Senior notes and debentures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3,406,088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3,404,488</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Accounts payable and other expenses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235,168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228,641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83,839</w:t>
            </w: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rPr>
              <w:t>Security deposits payable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20,388</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72,441</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Finance lease liabilities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72,049</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liabilities and deferred credits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206,187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152,424</w:t>
            </w: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4,745,464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4,921,157</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213,708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137,720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Preferred shares, authorized 15,000,000 shares, $.01 par:</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4"/>
              </w:rPr>
              <w:t>5.0% Series C Cumulative Redeemable Preferred Shares, (stated at liquidation preference $25,000 per</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share), 6,000 shares issued and outstanding</w:t>
            </w: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780"/>
              <w:spacing w:after="0" w:line="176" w:lineRule="exact"/>
              <w:rPr>
                <w:sz w:val="20"/>
                <w:szCs w:val="20"/>
                <w:color w:val="auto"/>
              </w:rPr>
            </w:pPr>
            <w:r>
              <w:rPr>
                <w:rFonts w:ascii="Arial" w:cs="Arial" w:eastAsia="Arial" w:hAnsi="Arial"/>
                <w:sz w:val="18"/>
                <w:szCs w:val="18"/>
                <w:color w:val="auto"/>
                <w:w w:val="90"/>
              </w:rPr>
              <w:t>5.417% Series 1 Cumulative Convertible Preferred Shares, (stated at liquidation preference $25 per share),</w:t>
            </w: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30"/>
        </w:trPr>
        <w:tc>
          <w:tcPr>
            <w:tcW w:w="8560" w:type="dxa"/>
            <w:vAlign w:val="bottom"/>
          </w:tcPr>
          <w:p>
            <w:pPr>
              <w:ind w:left="780"/>
              <w:spacing w:after="0"/>
              <w:rPr>
                <w:sz w:val="20"/>
                <w:szCs w:val="20"/>
                <w:color w:val="auto"/>
              </w:rPr>
            </w:pPr>
            <w:r>
              <w:rPr>
                <w:rFonts w:ascii="Arial" w:cs="Arial" w:eastAsia="Arial" w:hAnsi="Arial"/>
                <w:sz w:val="18"/>
                <w:szCs w:val="18"/>
                <w:color w:val="auto"/>
              </w:rPr>
              <w:t>399,896 shares issued and outstanding</w:t>
            </w: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1"/>
              </w:rPr>
              <w:t>Common shares of beneficial interest, $.01 par, 100,000,000 shares authorized, 78,603,305 and 76,727,394</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shares issued and outstanding, respectively</w:t>
            </w: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3,488,794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3,297,305</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Accumulated dividends in excess of net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(988,272)</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 of the Trust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2,580,602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2,464,157</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84,590</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2,663,148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2,548,747</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7,622,320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7,607,624</w:t>
            </w: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931" w:right="3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80"/>
          </w:cols>
          <w:pgMar w:left="360" w:top="931" w:right="359"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Dividend Information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2021</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6"/>
                <w:szCs w:val="16"/>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18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 except per share data)</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0"/>
        </w:trPr>
        <w:tc>
          <w:tcPr>
            <w:tcW w:w="5760" w:type="dxa"/>
            <w:vAlign w:val="bottom"/>
            <w:gridSpan w:val="4"/>
            <w:shd w:val="clear" w:color="auto" w:fill="CCEEFF"/>
          </w:tcPr>
          <w:p>
            <w:pPr>
              <w:ind w:left="20"/>
              <w:spacing w:after="0" w:line="190" w:lineRule="exact"/>
              <w:rPr>
                <w:sz w:val="20"/>
                <w:szCs w:val="20"/>
                <w:color w:val="auto"/>
              </w:rPr>
            </w:pPr>
            <w:r>
              <w:rPr>
                <w:rFonts w:ascii="Arial" w:cs="Arial" w:eastAsia="Arial" w:hAnsi="Arial"/>
                <w:sz w:val="18"/>
                <w:szCs w:val="18"/>
                <w:color w:val="auto"/>
              </w:rPr>
              <w:t>Funds from Operations available for common shareholders (FFO) (1)</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auto"/>
            </w:tcBorders>
            <w:shd w:val="clear" w:color="auto" w:fill="CCEEFF"/>
          </w:tcPr>
          <w:p>
            <w:pPr>
              <w:spacing w:after="0" w:line="20" w:lineRule="exact"/>
              <w:rPr>
                <w:sz w:val="1"/>
                <w:szCs w:val="1"/>
                <w:color w:val="auto"/>
              </w:rPr>
            </w:pPr>
          </w:p>
        </w:tc>
        <w:tc>
          <w:tcPr>
            <w:tcW w:w="290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760" w:type="dxa"/>
            <w:vAlign w:val="bottom"/>
            <w:gridSpan w:val="4"/>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116,742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102,211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269,081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1"/>
              <w:spacing w:after="0"/>
              <w:rPr>
                <w:sz w:val="20"/>
                <w:szCs w:val="20"/>
                <w:color w:val="auto"/>
              </w:rPr>
            </w:pPr>
            <w:r>
              <w:rPr>
                <w:rFonts w:ascii="Arial" w:cs="Arial" w:eastAsia="Arial" w:hAnsi="Arial"/>
                <w:sz w:val="18"/>
                <w:szCs w:val="18"/>
                <w:color w:val="auto"/>
                <w:w w:val="95"/>
              </w:rPr>
              <w:t>135,888</w:t>
            </w:r>
          </w:p>
        </w:tc>
      </w:tr>
      <w:tr>
        <w:trPr>
          <w:trHeight w:val="230"/>
        </w:trPr>
        <w:tc>
          <w:tcPr>
            <w:tcW w:w="5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(7,486)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(7,583)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(4,182)</w:t>
            </w:r>
          </w:p>
        </w:tc>
      </w:tr>
      <w:tr>
        <w:trPr>
          <w:trHeight w:val="229"/>
        </w:trPr>
        <w:tc>
          <w:tcPr>
            <w:tcW w:w="5760" w:type="dxa"/>
            <w:vAlign w:val="bottom"/>
            <w:gridSpan w:val="4"/>
          </w:tcPr>
          <w:p>
            <w:pPr>
              <w:ind w:left="2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8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(72,464)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(80,240)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(89,892)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(91,922)</w:t>
            </w:r>
          </w:p>
        </w:tc>
      </w:tr>
      <w:tr>
        <w:trPr>
          <w:trHeight w:val="229"/>
        </w:trPr>
        <w:tc>
          <w:tcPr>
            <w:tcW w:w="5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Impairment charge, net (2)</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50,728</w:t>
            </w:r>
          </w:p>
        </w:tc>
      </w:tr>
      <w:tr>
        <w:trPr>
          <w:trHeight w:val="230"/>
        </w:trPr>
        <w:tc>
          <w:tcPr>
            <w:tcW w:w="5760" w:type="dxa"/>
            <w:vAlign w:val="bottom"/>
            <w:gridSpan w:val="4"/>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68,941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57,972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243,711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w w:val="95"/>
              </w:rPr>
              <w:t>228,850</w:t>
            </w:r>
          </w:p>
        </w:tc>
      </w:tr>
      <w:tr>
        <w:trPr>
          <w:trHeight w:val="229"/>
        </w:trPr>
        <w:tc>
          <w:tcPr>
            <w:tcW w:w="5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5,924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4,853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26,051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20,415</w:t>
            </w:r>
          </w:p>
        </w:tc>
      </w:tr>
      <w:tr>
        <w:trPr>
          <w:trHeight w:val="223"/>
        </w:trPr>
        <w:tc>
          <w:tcPr>
            <w:tcW w:w="20" w:type="dxa"/>
            <w:vAlign w:val="bottom"/>
          </w:tcPr>
          <w:p>
            <w:pPr>
              <w:spacing w:after="0"/>
              <w:rPr>
                <w:sz w:val="19"/>
                <w:szCs w:val="19"/>
                <w:color w:val="auto"/>
              </w:rPr>
            </w:pPr>
          </w:p>
        </w:tc>
        <w:tc>
          <w:tcPr>
            <w:tcW w:w="5740" w:type="dxa"/>
            <w:vAlign w:val="bottom"/>
            <w:gridSpan w:val="3"/>
          </w:tcPr>
          <w:p>
            <w:pPr>
              <w:ind w:left="320"/>
              <w:spacing w:after="0"/>
              <w:rPr>
                <w:sz w:val="20"/>
                <w:szCs w:val="20"/>
                <w:color w:val="auto"/>
              </w:rPr>
            </w:pPr>
            <w:r>
              <w:rPr>
                <w:rFonts w:ascii="Arial" w:cs="Arial" w:eastAsia="Arial" w:hAnsi="Arial"/>
                <w:sz w:val="18"/>
                <w:szCs w:val="18"/>
                <w:color w:val="auto"/>
              </w:rPr>
              <w:t>Funds from operations</w:t>
            </w: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117,337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77,310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441,368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w w:val="95"/>
              </w:rPr>
              <w:t>339,777</w:t>
            </w:r>
          </w:p>
        </w:tc>
      </w:tr>
      <w:tr>
        <w:trPr>
          <w:trHeight w:val="229"/>
        </w:trPr>
        <w:tc>
          <w:tcPr>
            <w:tcW w:w="5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Dividends on preferred shares (3)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(8,042)</w:t>
            </w:r>
          </w:p>
        </w:tc>
      </w:tr>
      <w:tr>
        <w:trPr>
          <w:trHeight w:val="230"/>
        </w:trPr>
        <w:tc>
          <w:tcPr>
            <w:tcW w:w="5760" w:type="dxa"/>
            <w:vAlign w:val="bottom"/>
            <w:gridSpan w:val="4"/>
          </w:tcPr>
          <w:p>
            <w:pPr>
              <w:ind w:left="20"/>
              <w:spacing w:after="0"/>
              <w:rPr>
                <w:sz w:val="20"/>
                <w:szCs w:val="20"/>
                <w:color w:val="auto"/>
              </w:rPr>
            </w:pPr>
            <w:r>
              <w:rPr>
                <w:rFonts w:ascii="Arial" w:cs="Arial" w:eastAsia="Arial" w:hAnsi="Arial"/>
                <w:sz w:val="18"/>
                <w:szCs w:val="18"/>
                <w:color w:val="auto"/>
              </w:rPr>
              <w:t>Income attributable to operating partnership units (4)</w:t>
            </w: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Arial" w:cs="Arial" w:eastAsia="Arial" w:hAnsi="Arial"/>
                <w:sz w:val="18"/>
                <w:szCs w:val="18"/>
                <w:color w:val="auto"/>
              </w:rPr>
              <w:t>3,151</w:t>
            </w:r>
          </w:p>
        </w:tc>
      </w:tr>
      <w:tr>
        <w:trPr>
          <w:trHeight w:val="229"/>
        </w:trPr>
        <w:tc>
          <w:tcPr>
            <w:tcW w:w="5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(1,037)</w:t>
            </w:r>
          </w:p>
        </w:tc>
      </w:tr>
      <w:tr>
        <w:trPr>
          <w:trHeight w:val="196"/>
        </w:trPr>
        <w:tc>
          <w:tcPr>
            <w:tcW w:w="20" w:type="dxa"/>
            <w:vAlign w:val="bottom"/>
          </w:tcPr>
          <w:p>
            <w:pPr>
              <w:spacing w:after="0"/>
              <w:rPr>
                <w:sz w:val="17"/>
                <w:szCs w:val="17"/>
                <w:color w:val="auto"/>
              </w:rPr>
            </w:pPr>
          </w:p>
        </w:tc>
        <w:tc>
          <w:tcPr>
            <w:tcW w:w="574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FFO (5)</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115,766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75,052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rPr>
              <w:t>434,743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w w:val="95"/>
              </w:rPr>
              <w:t>333,849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8"/>
        </w:trPr>
        <w:tc>
          <w:tcPr>
            <w:tcW w:w="57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diluted (3)(4)</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78,556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75,898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78,072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76,261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6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FFO per diluted share (5)</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1.47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0.99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5.57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4.38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9"/>
        </w:trPr>
        <w:tc>
          <w:tcPr>
            <w:tcW w:w="576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Dividends and Payout Ratios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0"/>
        </w:trPr>
        <w:tc>
          <w:tcPr>
            <w:tcW w:w="57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Regular common dividends declared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84,116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81,322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332,116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5"/>
              </w:rPr>
              <w:t>320,302</w:t>
            </w:r>
          </w:p>
        </w:tc>
      </w:tr>
      <w:tr>
        <w:trPr>
          <w:trHeight w:val="230"/>
        </w:trPr>
        <w:tc>
          <w:tcPr>
            <w:tcW w:w="5760" w:type="dxa"/>
            <w:vAlign w:val="bottom"/>
            <w:gridSpan w:val="4"/>
          </w:tcPr>
          <w:p>
            <w:pPr>
              <w:ind w:left="20"/>
              <w:spacing w:after="0"/>
              <w:rPr>
                <w:sz w:val="20"/>
                <w:szCs w:val="20"/>
                <w:color w:val="auto"/>
              </w:rPr>
            </w:pPr>
            <w:r>
              <w:rPr>
                <w:rFonts w:ascii="Arial" w:cs="Arial" w:eastAsia="Arial" w:hAnsi="Arial"/>
                <w:sz w:val="18"/>
                <w:szCs w:val="18"/>
                <w:color w:val="auto"/>
              </w:rPr>
              <w:t>Dividend payout ratio as a percentage of FFO</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96 %</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18" w:lineRule="exact"/>
        <w:rPr>
          <w:rFonts w:ascii="Arial" w:cs="Arial" w:eastAsia="Arial" w:hAnsi="Arial"/>
          <w:sz w:val="16"/>
          <w:szCs w:val="16"/>
          <w:color w:val="auto"/>
        </w:rPr>
      </w:pPr>
    </w:p>
    <w:p>
      <w:pPr>
        <w:ind w:left="260" w:right="300" w:hanging="252"/>
        <w:spacing w:after="0" w:line="272"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Impairment charge relates to The Shops at Sunset Place. Amount is net of the allocation to noncontrolling interests. See our Annual Report on Form 10-K for the year ended December 31, 2021 for additional information.</w:t>
      </w:r>
    </w:p>
    <w:p>
      <w:pPr>
        <w:spacing w:after="0" w:line="1" w:lineRule="exact"/>
        <w:rPr>
          <w:rFonts w:ascii="Arial" w:cs="Arial" w:eastAsia="Arial" w:hAnsi="Arial"/>
          <w:sz w:val="16"/>
          <w:szCs w:val="16"/>
          <w:color w:val="auto"/>
        </w:rPr>
      </w:pPr>
    </w:p>
    <w:p>
      <w:pPr>
        <w:ind w:left="260" w:right="940" w:hanging="252"/>
        <w:spacing w:after="0" w:line="272"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months ended December 31, 2021, dividends on our Series 1 preferred stock were not deducted in the calculation of FFO available to common shareholders, as the related shares were dilutive and included in "weighted average common shares, diluted."</w:t>
      </w:r>
    </w:p>
    <w:p>
      <w:pPr>
        <w:spacing w:after="0" w:line="1" w:lineRule="exact"/>
        <w:rPr>
          <w:rFonts w:ascii="Arial" w:cs="Arial" w:eastAsia="Arial" w:hAnsi="Arial"/>
          <w:sz w:val="16"/>
          <w:szCs w:val="16"/>
          <w:color w:val="auto"/>
        </w:rPr>
      </w:pPr>
    </w:p>
    <w:p>
      <w:pPr>
        <w:ind w:left="260" w:right="360" w:hanging="252"/>
        <w:spacing w:after="0" w:line="270" w:lineRule="auto"/>
        <w:tabs>
          <w:tab w:leader="none" w:pos="260"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 the three months ended December 31, 2020, income attributable to operating partnership units is not added back in the calculation of FFO available to common shareholders, as the related shares are not dilutive and are not included in "weighted average common shares, diluted" for this period. For the three months and year ended December 31, 2021 and the year ended December 31, 2020, the weighted average common shares used to compute FFO per diluted common share includes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pacing w:after="0" w:line="1" w:lineRule="exact"/>
        <w:rPr>
          <w:rFonts w:ascii="Arial" w:cs="Arial" w:eastAsia="Arial" w:hAnsi="Arial"/>
          <w:sz w:val="15"/>
          <w:szCs w:val="15"/>
          <w:color w:val="auto"/>
        </w:rPr>
      </w:pPr>
    </w:p>
    <w:p>
      <w:pPr>
        <w:ind w:left="260" w:right="80" w:hanging="252"/>
        <w:spacing w:after="0" w:line="264"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FFO available for common shareholders for the year ended December 31, 2020 includes a $11.2 million charge related to early extinguishment of debt. If this charge was excluded, our FFO, FFO per diluted share, and dividend payout ratio as a percentage of FFO would have been:</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Year Ended</w:t>
            </w:r>
          </w:p>
        </w:tc>
      </w:tr>
      <w:tr>
        <w:trPr>
          <w:trHeight w:val="195"/>
        </w:trPr>
        <w:tc>
          <w:tcPr>
            <w:tcW w:w="44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2"/>
              </w:rPr>
              <w:t>December 31,</w:t>
            </w:r>
          </w:p>
        </w:tc>
      </w:tr>
      <w:tr>
        <w:trPr>
          <w:trHeight w:val="187"/>
        </w:trPr>
        <w:tc>
          <w:tcPr>
            <w:tcW w:w="44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44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60" w:type="dxa"/>
            <w:vAlign w:val="bottom"/>
            <w:gridSpan w:val="5"/>
          </w:tcPr>
          <w:p>
            <w:pPr>
              <w:jc w:val="right"/>
              <w:ind w:right="759"/>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31"/>
        </w:trPr>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FFO</w:t>
            </w:r>
          </w:p>
        </w:tc>
        <w:tc>
          <w:tcPr>
            <w:tcW w:w="3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87,002</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344,994</w:t>
            </w:r>
          </w:p>
        </w:tc>
      </w:tr>
      <w:tr>
        <w:trPr>
          <w:trHeight w:val="229"/>
        </w:trPr>
        <w:tc>
          <w:tcPr>
            <w:tcW w:w="4420" w:type="dxa"/>
            <w:vAlign w:val="bottom"/>
          </w:tcPr>
          <w:p>
            <w:pPr>
              <w:ind w:left="100"/>
              <w:spacing w:after="0"/>
              <w:rPr>
                <w:sz w:val="20"/>
                <w:szCs w:val="20"/>
                <w:color w:val="auto"/>
              </w:rPr>
            </w:pPr>
            <w:r>
              <w:rPr>
                <w:rFonts w:ascii="Arial" w:cs="Arial" w:eastAsia="Arial" w:hAnsi="Arial"/>
                <w:sz w:val="18"/>
                <w:szCs w:val="18"/>
                <w:color w:val="auto"/>
              </w:rPr>
              <w:t>FFO per diluted share</w:t>
            </w:r>
          </w:p>
        </w:tc>
        <w:tc>
          <w:tcPr>
            <w:tcW w:w="3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1.14</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19"/>
              <w:spacing w:after="0"/>
              <w:rPr>
                <w:sz w:val="20"/>
                <w:szCs w:val="20"/>
                <w:color w:val="auto"/>
              </w:rPr>
            </w:pPr>
            <w:r>
              <w:rPr>
                <w:rFonts w:ascii="Arial" w:cs="Arial" w:eastAsia="Arial" w:hAnsi="Arial"/>
                <w:sz w:val="18"/>
                <w:szCs w:val="18"/>
                <w:color w:val="auto"/>
              </w:rPr>
              <w:t>4.52</w:t>
            </w:r>
          </w:p>
        </w:tc>
      </w:tr>
      <w:tr>
        <w:trPr>
          <w:trHeight w:val="230"/>
        </w:trPr>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 payout ratio as a percentage of FFO</w:t>
            </w:r>
          </w:p>
        </w:tc>
        <w:tc>
          <w:tcPr>
            <w:tcW w:w="2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864"/>
        </w:trPr>
        <w:tc>
          <w:tcPr>
            <w:tcW w:w="4420" w:type="dxa"/>
            <w:vAlign w:val="bottom"/>
          </w:tcPr>
          <w:p>
            <w:pPr>
              <w:spacing w:after="0"/>
              <w:rPr>
                <w:sz w:val="24"/>
                <w:szCs w:val="24"/>
                <w:color w:val="auto"/>
              </w:rPr>
            </w:pPr>
          </w:p>
        </w:tc>
        <w:tc>
          <w:tcPr>
            <w:tcW w:w="2780" w:type="dxa"/>
            <w:vAlign w:val="bottom"/>
          </w:tcPr>
          <w:p>
            <w:pPr>
              <w:jc w:val="right"/>
              <w:ind w:right="147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320"/>
          </w:cols>
          <w:pgMar w:left="320" w:top="931" w:right="25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Supplemental Information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2021</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ind w:left="40"/>
              <w:spacing w:after="0"/>
              <w:rPr>
                <w:sz w:val="20"/>
                <w:szCs w:val="20"/>
                <w:color w:val="auto"/>
              </w:rPr>
            </w:pPr>
            <w:r>
              <w:rPr>
                <w:rFonts w:ascii="Arial" w:cs="Arial" w:eastAsia="Arial" w:hAnsi="Arial"/>
                <w:sz w:val="14"/>
                <w:szCs w:val="14"/>
                <w:b w:val="1"/>
                <w:bCs w:val="1"/>
                <w:color w:val="auto"/>
                <w:w w:val="96"/>
              </w:rPr>
              <w:t>(in thousands, except per share data)</w:t>
            </w: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11"/>
        </w:trPr>
        <w:tc>
          <w:tcPr>
            <w:tcW w:w="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0"/>
              </w:rPr>
              <w:t>Summary of Capital Expenditures</w:t>
            </w:r>
          </w:p>
        </w:tc>
        <w:tc>
          <w:tcPr>
            <w:tcW w:w="396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Non-maintenance capital expenditures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413,432</w:t>
            </w:r>
          </w:p>
        </w:tc>
      </w:tr>
      <w:tr>
        <w:trPr>
          <w:trHeight w:val="22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Tenant improvements and incentives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52,844</w:t>
            </w: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110,818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466,276</w:t>
            </w:r>
          </w:p>
        </w:tc>
      </w:tr>
      <w:tr>
        <w:trPr>
          <w:trHeight w:val="22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Maintenance capital expenditures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14,297</w:t>
            </w: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116,342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480,573</w:t>
            </w:r>
          </w:p>
        </w:tc>
      </w:tr>
      <w:tr>
        <w:trPr>
          <w:trHeight w:val="203"/>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9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2"/>
              </w:rPr>
              <w:t>Noncontrolling Interests Supplemental Information (1)</w:t>
            </w:r>
          </w:p>
        </w:tc>
        <w:tc>
          <w:tcPr>
            <w:tcW w:w="2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Property operating income (2)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14,290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9,874</w:t>
            </w: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sale of real estate,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r>
      <w:tr>
        <w:trPr>
          <w:trHeight w:val="229"/>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Impairment charge</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(6,490)</w:t>
            </w: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w:t>
            </w:r>
          </w:p>
        </w:tc>
      </w:tr>
      <w:tr>
        <w:trPr>
          <w:trHeight w:val="22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reflect the components of "net income attributable to noncontrolling interests," but excludes "income attributable to operating partnership units."</w:t>
      </w:r>
    </w:p>
    <w:p>
      <w:pPr>
        <w:spacing w:after="0" w:line="45" w:lineRule="exact"/>
        <w:rPr>
          <w:rFonts w:ascii="Arial" w:cs="Arial" w:eastAsia="Arial" w:hAnsi="Arial"/>
          <w:sz w:val="16"/>
          <w:szCs w:val="16"/>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31"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COVID-19 Collectibility Related Impacts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2021</w:t>
      </w:r>
    </w:p>
    <w:p>
      <w:pPr>
        <w:spacing w:after="0" w:line="34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following provides supplemental information regarding our collectibility related impacts resulting from COVID-19 for the three months ended December 31, 2021. The primary drivers of our collectibility impacts in the quarter include COVID-19 abatements and the impacts of cash basis tenants who did not make full contractual rent payments. These increases to collectibility charges were partially offset by the collection of rents due from previous quarters. We change a tenant to a cash basis of accounting when we determine collection of substantially all lease payments during the lease term is not considered probable; revenue is then limited to the lesser of revenue recognized under accrual accounting or cash received. Our full revenue recognition policy with respect to leases can be found in Note 2 of our December 31, 2021 Annual Report on Form 10-K.</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80" w:type="dxa"/>
            <w:vAlign w:val="bottom"/>
          </w:tcPr>
          <w:p>
            <w:pPr>
              <w:spacing w:after="0"/>
              <w:rPr>
                <w:sz w:val="20"/>
                <w:szCs w:val="20"/>
                <w:color w:val="auto"/>
              </w:rPr>
            </w:pPr>
            <w:r>
              <w:rPr>
                <w:rFonts w:ascii="Arial" w:cs="Arial" w:eastAsia="Arial" w:hAnsi="Arial"/>
                <w:sz w:val="17"/>
                <w:szCs w:val="17"/>
                <w:b w:val="1"/>
                <w:bCs w:val="1"/>
                <w:color w:val="auto"/>
              </w:rPr>
              <w:t>Collectibility Impacts for the Quarter Ended December 31, 2021</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200"/>
              <w:spacing w:after="0" w:line="193" w:lineRule="exact"/>
              <w:rPr>
                <w:sz w:val="20"/>
                <w:szCs w:val="20"/>
                <w:color w:val="auto"/>
              </w:rPr>
            </w:pPr>
            <w:r>
              <w:rPr>
                <w:rFonts w:ascii="Arial" w:cs="Arial" w:eastAsia="Arial" w:hAnsi="Arial"/>
                <w:sz w:val="17"/>
                <w:szCs w:val="17"/>
                <w:b w:val="1"/>
                <w:bCs w:val="1"/>
                <w:color w:val="auto"/>
                <w:w w:val="87"/>
              </w:rPr>
              <w:t>Accounts Receivable</w:t>
            </w:r>
          </w:p>
        </w:tc>
        <w:tc>
          <w:tcPr>
            <w:tcW w:w="140" w:type="dxa"/>
            <w:vAlign w:val="bottom"/>
          </w:tcPr>
          <w:p>
            <w:pPr>
              <w:spacing w:after="0"/>
              <w:rPr>
                <w:sz w:val="16"/>
                <w:szCs w:val="16"/>
                <w:color w:val="auto"/>
              </w:rPr>
            </w:pPr>
          </w:p>
        </w:tc>
        <w:tc>
          <w:tcPr>
            <w:tcW w:w="1720" w:type="dxa"/>
            <w:vAlign w:val="bottom"/>
            <w:gridSpan w:val="2"/>
          </w:tcPr>
          <w:p>
            <w:pPr>
              <w:jc w:val="center"/>
              <w:ind w:right="240"/>
              <w:spacing w:after="0" w:line="193" w:lineRule="exact"/>
              <w:rPr>
                <w:sz w:val="20"/>
                <w:szCs w:val="20"/>
                <w:color w:val="auto"/>
              </w:rPr>
            </w:pPr>
            <w:r>
              <w:rPr>
                <w:rFonts w:ascii="Arial" w:cs="Arial" w:eastAsia="Arial" w:hAnsi="Arial"/>
                <w:sz w:val="17"/>
                <w:szCs w:val="17"/>
                <w:b w:val="1"/>
                <w:bCs w:val="1"/>
                <w:color w:val="auto"/>
                <w:w w:val="94"/>
              </w:rPr>
              <w:t>Straight-Line Rent</w:t>
            </w:r>
          </w:p>
        </w:tc>
        <w:tc>
          <w:tcPr>
            <w:tcW w:w="400" w:type="dxa"/>
            <w:vAlign w:val="bottom"/>
          </w:tcPr>
          <w:p>
            <w:pPr>
              <w:spacing w:after="0"/>
              <w:rPr>
                <w:sz w:val="16"/>
                <w:szCs w:val="16"/>
                <w:color w:val="auto"/>
              </w:rPr>
            </w:pPr>
          </w:p>
        </w:tc>
        <w:tc>
          <w:tcPr>
            <w:tcW w:w="1360" w:type="dxa"/>
            <w:vAlign w:val="bottom"/>
            <w:vMerge w:val="restart"/>
          </w:tcPr>
          <w:p>
            <w:pPr>
              <w:jc w:val="right"/>
              <w:ind w:right="61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8"/>
              </w:rPr>
              <w:t>Impact</w:t>
            </w: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Receivable Impact</w:t>
            </w: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8"/>
              </w:rPr>
              <w:t>(in thousands)</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collectibility impact (1)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2,149</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34" w:lineRule="exact"/>
        <w:rPr>
          <w:sz w:val="20"/>
          <w:szCs w:val="20"/>
          <w:color w:val="auto"/>
        </w:rPr>
      </w:pPr>
    </w:p>
    <w:p>
      <w:pPr>
        <w:ind w:left="660" w:hanging="652"/>
        <w:spacing w:after="0" w:line="274" w:lineRule="auto"/>
        <w:tabs>
          <w:tab w:leader="none" w:pos="654"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approximately $4 million related to the abatement of Q4 2021 contractual rents due to COVID-19 and is offset by the collection of approximately $5 million of rents due from previous quarters.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20" w:type="dxa"/>
            <w:vAlign w:val="bottom"/>
          </w:tcPr>
          <w:p>
            <w:pPr>
              <w:spacing w:after="0"/>
              <w:rPr>
                <w:sz w:val="20"/>
                <w:szCs w:val="20"/>
                <w:color w:val="auto"/>
              </w:rPr>
            </w:pPr>
            <w:r>
              <w:rPr>
                <w:rFonts w:ascii="Arial" w:cs="Arial" w:eastAsia="Arial" w:hAnsi="Arial"/>
                <w:sz w:val="17"/>
                <w:szCs w:val="17"/>
                <w:b w:val="1"/>
                <w:bCs w:val="1"/>
                <w:color w:val="auto"/>
              </w:rPr>
              <w:t>Other Information on Cash Basis Tenants</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520" w:type="dxa"/>
            <w:vAlign w:val="bottom"/>
          </w:tcPr>
          <w:p>
            <w:pPr>
              <w:spacing w:after="0"/>
              <w:rPr>
                <w:sz w:val="21"/>
                <w:szCs w:val="21"/>
                <w:color w:val="auto"/>
              </w:rPr>
            </w:pPr>
          </w:p>
        </w:tc>
        <w:tc>
          <w:tcPr>
            <w:tcW w:w="316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7"/>
                <w:szCs w:val="17"/>
                <w:b w:val="1"/>
                <w:bCs w:val="1"/>
                <w:color w:val="auto"/>
              </w:rPr>
              <w:t>As of December 31, 2021</w:t>
            </w: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7520" w:type="dxa"/>
            <w:vAlign w:val="bottom"/>
          </w:tcPr>
          <w:p>
            <w:pPr>
              <w:spacing w:after="0"/>
              <w:rPr>
                <w:sz w:val="13"/>
                <w:szCs w:val="13"/>
                <w:color w:val="auto"/>
              </w:rPr>
            </w:pPr>
          </w:p>
        </w:tc>
        <w:tc>
          <w:tcPr>
            <w:tcW w:w="116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Total</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2"/>
          </w:tcPr>
          <w:p>
            <w:pPr>
              <w:jc w:val="right"/>
              <w:spacing w:after="0" w:line="158" w:lineRule="exact"/>
              <w:rPr>
                <w:sz w:val="20"/>
                <w:szCs w:val="20"/>
                <w:color w:val="auto"/>
              </w:rPr>
            </w:pPr>
            <w:r>
              <w:rPr>
                <w:rFonts w:ascii="Arial" w:cs="Arial" w:eastAsia="Arial" w:hAnsi="Arial"/>
                <w:sz w:val="17"/>
                <w:szCs w:val="17"/>
                <w:b w:val="1"/>
                <w:bCs w:val="1"/>
                <w:color w:val="auto"/>
                <w:w w:val="91"/>
              </w:rPr>
              <w:t>% Recognized on a Cash</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Basis</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Active commercial tenant leases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3,051</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7"/>
                <w:szCs w:val="17"/>
                <w:color w:val="auto"/>
              </w:rPr>
              <w:t>Annualized base rent from commercial tenants (in millions) (2)</w:t>
            </w:r>
          </w:p>
        </w:tc>
        <w:tc>
          <w:tcPr>
            <w:tcW w:w="1160" w:type="dxa"/>
            <w:vAlign w:val="bottom"/>
          </w:tcPr>
          <w:p>
            <w:pPr>
              <w:jc w:val="right"/>
              <w:ind w:right="97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679</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779"/>
        </w:trPr>
        <w:tc>
          <w:tcPr>
            <w:tcW w:w="7520" w:type="dxa"/>
            <w:vAlign w:val="bottom"/>
          </w:tcPr>
          <w:p>
            <w:pPr>
              <w:spacing w:after="0"/>
              <w:rPr>
                <w:sz w:val="20"/>
                <w:szCs w:val="20"/>
                <w:color w:val="auto"/>
              </w:rPr>
            </w:pPr>
            <w:r>
              <w:rPr>
                <w:rFonts w:ascii="Arial" w:cs="Arial" w:eastAsia="Arial" w:hAnsi="Arial"/>
                <w:sz w:val="17"/>
                <w:szCs w:val="17"/>
                <w:b w:val="1"/>
                <w:bCs w:val="1"/>
                <w:color w:val="auto"/>
              </w:rPr>
              <w:t>Rent Deferrals and Rent Abatements</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7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rent deferred (in millions) (3)</w:t>
            </w:r>
          </w:p>
        </w:tc>
        <w:tc>
          <w:tcPr>
            <w:tcW w:w="11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101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7"/>
                <w:szCs w:val="17"/>
                <w:color w:val="auto"/>
              </w:rPr>
              <w:t>Cumulative deferral payments collected through December 31, 2021 (in millions) (4)</w:t>
            </w:r>
          </w:p>
        </w:tc>
        <w:tc>
          <w:tcPr>
            <w:tcW w:w="1160" w:type="dxa"/>
            <w:vAlign w:val="bottom"/>
          </w:tcPr>
          <w:p>
            <w:pPr>
              <w:spacing w:after="0"/>
              <w:rPr>
                <w:sz w:val="18"/>
                <w:szCs w:val="18"/>
                <w:color w:val="auto"/>
              </w:rPr>
            </w:pPr>
          </w:p>
        </w:tc>
        <w:tc>
          <w:tcPr>
            <w:tcW w:w="2000" w:type="dxa"/>
            <w:vAlign w:val="bottom"/>
            <w:gridSpan w:val="3"/>
          </w:tcPr>
          <w:p>
            <w:pPr>
              <w:jc w:val="right"/>
              <w:ind w:right="101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rent abated (in millions) (5)</w:t>
            </w:r>
          </w:p>
        </w:tc>
        <w:tc>
          <w:tcPr>
            <w:tcW w:w="11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101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34"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61" w:lineRule="exact"/>
        <w:rPr>
          <w:rFonts w:ascii="Arial" w:cs="Arial" w:eastAsia="Arial" w:hAnsi="Arial"/>
          <w:sz w:val="17"/>
          <w:szCs w:val="17"/>
          <w:color w:val="auto"/>
        </w:rPr>
      </w:pPr>
    </w:p>
    <w:p>
      <w:pPr>
        <w:ind w:left="660" w:right="240" w:hanging="652"/>
        <w:spacing w:after="0" w:line="319" w:lineRule="auto"/>
        <w:tabs>
          <w:tab w:leader="none" w:pos="654" w:val="left"/>
        </w:tabs>
        <w:numPr>
          <w:ilvl w:val="0"/>
          <w:numId w:val="9"/>
        </w:numPr>
        <w:rPr>
          <w:rFonts w:ascii="Arial" w:cs="Arial" w:eastAsia="Arial" w:hAnsi="Arial"/>
          <w:sz w:val="15"/>
          <w:szCs w:val="15"/>
          <w:color w:val="auto"/>
        </w:rPr>
      </w:pPr>
      <w:r>
        <w:rPr>
          <w:rFonts w:ascii="Arial" w:cs="Arial" w:eastAsia="Arial" w:hAnsi="Arial"/>
          <w:sz w:val="15"/>
          <w:szCs w:val="15"/>
          <w:color w:val="auto"/>
        </w:rPr>
        <w:t>Total contractual rent for April 2020 through December 2021 that has been deferred pursuant to modification agreements signed through December 31, 2021. Accrual basis tenants comprise approximately 50% of this cumulative deferred rent for executed agreements in place as of December 31, 2021.</w:t>
      </w:r>
    </w:p>
    <w:p>
      <w:pPr>
        <w:ind w:left="640" w:hanging="632"/>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Deferral payments collected to date represent approximately 90% of the amounts agreed to be repaid by December 31, 2021.</w:t>
      </w:r>
    </w:p>
    <w:p>
      <w:pPr>
        <w:spacing w:after="0" w:line="61" w:lineRule="exact"/>
        <w:rPr>
          <w:rFonts w:ascii="Arial" w:cs="Arial" w:eastAsia="Arial" w:hAnsi="Arial"/>
          <w:sz w:val="17"/>
          <w:szCs w:val="17"/>
          <w:color w:val="auto"/>
        </w:rPr>
      </w:pPr>
    </w:p>
    <w:p>
      <w:pPr>
        <w:ind w:left="640" w:hanging="632"/>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Total contractual rent abated related to the year ended December 31, 2021.</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300" w:type="dxa"/>
            <w:vAlign w:val="bottom"/>
          </w:tcPr>
          <w:p>
            <w:pPr>
              <w:spacing w:after="0"/>
              <w:rPr>
                <w:sz w:val="20"/>
                <w:szCs w:val="20"/>
                <w:color w:val="auto"/>
              </w:rPr>
            </w:pPr>
            <w:r>
              <w:rPr>
                <w:rFonts w:ascii="Arial" w:cs="Arial" w:eastAsia="Arial" w:hAnsi="Arial"/>
                <w:sz w:val="17"/>
                <w:szCs w:val="17"/>
                <w:b w:val="1"/>
                <w:bCs w:val="1"/>
                <w:color w:val="auto"/>
              </w:rPr>
              <w:t>Collection Rates - Q4 2021 Billed Recurring Rents (6)</w:t>
            </w:r>
          </w:p>
        </w:tc>
        <w:tc>
          <w:tcPr>
            <w:tcW w:w="1940" w:type="dxa"/>
            <w:vAlign w:val="bottom"/>
          </w:tcPr>
          <w:p>
            <w:pPr>
              <w:spacing w:after="0"/>
              <w:rPr>
                <w:sz w:val="19"/>
                <w:szCs w:val="19"/>
                <w:color w:val="auto"/>
              </w:rPr>
            </w:pPr>
          </w:p>
        </w:tc>
      </w:tr>
      <w:tr>
        <w:trPr>
          <w:trHeight w:val="112"/>
        </w:trPr>
        <w:tc>
          <w:tcPr>
            <w:tcW w:w="9300" w:type="dxa"/>
            <w:vAlign w:val="bottom"/>
          </w:tcPr>
          <w:p>
            <w:pPr>
              <w:spacing w:after="0"/>
              <w:rPr>
                <w:sz w:val="9"/>
                <w:szCs w:val="9"/>
                <w:color w:val="auto"/>
              </w:rPr>
            </w:pPr>
          </w:p>
        </w:tc>
        <w:tc>
          <w:tcPr>
            <w:tcW w:w="1940" w:type="dxa"/>
            <w:vAlign w:val="bottom"/>
          </w:tcPr>
          <w:p>
            <w:pPr>
              <w:spacing w:after="0"/>
              <w:rPr>
                <w:sz w:val="9"/>
                <w:szCs w:val="9"/>
                <w:color w:val="auto"/>
              </w:rPr>
            </w:pPr>
          </w:p>
        </w:tc>
      </w:tr>
      <w:tr>
        <w:trPr>
          <w:trHeight w:val="216"/>
        </w:trPr>
        <w:tc>
          <w:tcPr>
            <w:tcW w:w="9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Collection rate - recurring rents</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97 %</w:t>
            </w:r>
          </w:p>
        </w:tc>
      </w:tr>
      <w:tr>
        <w:trPr>
          <w:trHeight w:val="216"/>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Executed abatement/deferral agreements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r>
      <w:tr>
        <w:trPr>
          <w:trHeight w:val="234"/>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addressed - recurring rent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99 %</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ind w:left="720" w:hanging="694"/>
        <w:spacing w:after="0"/>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Billed recurring rents are primarily composed of base rent and cost reimbursements. Amounts are as of January 31, 2022.</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12</w:t>
      </w:r>
    </w:p>
    <w:p>
      <w:pPr>
        <w:sectPr>
          <w:pgSz w:w="11900" w:h="16838" w:orient="portrait"/>
          <w:cols w:equalWidth="0" w:num="1">
            <w:col w:w="11240"/>
          </w:cols>
          <w:pgMar w:left="320" w:top="931"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Components of Rental Income (1)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6"/>
                <w:szCs w:val="16"/>
                <w:color w:val="auto"/>
              </w:rPr>
            </w:pPr>
          </w:p>
        </w:tc>
      </w:tr>
      <w:tr>
        <w:trPr>
          <w:trHeight w:val="195"/>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183"/>
        </w:trPr>
        <w:tc>
          <w:tcPr>
            <w:tcW w:w="5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1"/>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rents (2)</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Commercial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170,857</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158,618</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657,653</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627,557</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22,556</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82,467</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80,659</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47,692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46,139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179,202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175,977</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rents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Other (3)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11,068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10,094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43,354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36,336</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Collectibility related impact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(17,394)</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(23,093)</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(93,859)</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253,888</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218,484</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948,842</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832,171</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line="26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spacing w:after="0" w:line="2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total, minimum rents include the following:</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236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6"/>
                <w:szCs w:val="16"/>
                <w:color w:val="auto"/>
              </w:rPr>
            </w:pPr>
          </w:p>
        </w:tc>
      </w:tr>
      <w:tr>
        <w:trPr>
          <w:trHeight w:val="195"/>
        </w:trPr>
        <w:tc>
          <w:tcPr>
            <w:tcW w:w="55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476"/>
              <w:spacing w:after="0"/>
              <w:rPr>
                <w:sz w:val="20"/>
                <w:szCs w:val="20"/>
                <w:color w:val="auto"/>
              </w:rPr>
            </w:pPr>
            <w:r>
              <w:rPr>
                <w:rFonts w:ascii="Arial" w:cs="Arial" w:eastAsia="Arial" w:hAnsi="Arial"/>
                <w:sz w:val="14"/>
                <w:szCs w:val="14"/>
                <w:b w:val="1"/>
                <w:bCs w:val="1"/>
                <w:color w:val="auto"/>
                <w:w w:val="98"/>
              </w:rPr>
              <w:t>December 31,</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55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183"/>
        </w:trPr>
        <w:tc>
          <w:tcPr>
            <w:tcW w:w="5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7"/>
        </w:trPr>
        <w:tc>
          <w:tcPr>
            <w:tcW w:w="5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Straight-line rents</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6"/>
              <w:spacing w:after="0"/>
              <w:rPr>
                <w:sz w:val="20"/>
                <w:szCs w:val="20"/>
                <w:color w:val="auto"/>
              </w:rPr>
            </w:pPr>
            <w:r>
              <w:rPr>
                <w:rFonts w:ascii="Arial" w:cs="Arial" w:eastAsia="Arial" w:hAnsi="Arial"/>
                <w:sz w:val="18"/>
                <w:szCs w:val="18"/>
                <w:color w:val="auto"/>
              </w:rPr>
              <w:t>5.3</w:t>
            </w:r>
          </w:p>
        </w:tc>
        <w:tc>
          <w:tcPr>
            <w:tcW w:w="1000" w:type="dxa"/>
            <w:vAlign w:val="bottom"/>
          </w:tcPr>
          <w:p>
            <w:pPr>
              <w:jc w:val="right"/>
              <w:ind w:right="716"/>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1"/>
              <w:spacing w:after="0"/>
              <w:rPr>
                <w:sz w:val="20"/>
                <w:szCs w:val="20"/>
                <w:color w:val="auto"/>
              </w:rPr>
            </w:pPr>
            <w:r>
              <w:rPr>
                <w:rFonts w:ascii="Arial" w:cs="Arial" w:eastAsia="Arial" w:hAnsi="Arial"/>
                <w:sz w:val="18"/>
                <w:szCs w:val="18"/>
                <w:color w:val="auto"/>
              </w:rPr>
              <w:t>18.2</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in-place leases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10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8.7</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bl>
    <w:p>
      <w:pPr>
        <w:spacing w:after="0" w:line="125" w:lineRule="exact"/>
        <w:rPr>
          <w:sz w:val="20"/>
          <w:szCs w:val="20"/>
          <w:color w:val="auto"/>
        </w:rPr>
      </w:pPr>
    </w:p>
    <w:p>
      <w:pPr>
        <w:ind w:left="660" w:right="10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year ended December 31, 2021, other rental income includes a $2.8 million net lease termination fee related to a tenant who vacated early in Q2 2021; the $2.8 million is net of the write-off of $8.8 million of a straight-line rent receivable.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31" w:right="339"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Comparable Property Information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2021</w:t>
      </w:r>
    </w:p>
    <w:p>
      <w:pPr>
        <w:spacing w:after="0" w:line="242" w:lineRule="exact"/>
        <w:rPr>
          <w:sz w:val="20"/>
          <w:szCs w:val="20"/>
          <w:color w:val="auto"/>
        </w:rPr>
      </w:pPr>
    </w:p>
    <w:p>
      <w:pPr>
        <w:ind w:left="40" w:right="60"/>
        <w:spacing w:after="0" w:line="218" w:lineRule="auto"/>
        <w:rPr>
          <w:sz w:val="20"/>
          <w:szCs w:val="20"/>
          <w:color w:val="auto"/>
        </w:rPr>
      </w:pPr>
      <w:r>
        <w:rPr>
          <w:rFonts w:ascii="Arial" w:cs="Arial" w:eastAsia="Arial" w:hAnsi="Arial"/>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Q4 include: Assembly Row Phase 3, CocoWalk, Darien Commons, Pike &amp; Rose Phase 3, Freedom Plaza, Huntington Shopping Center, and all properties acquired or disposed of from Q4 2020 to Q4 2021. Comparable Property property operating income ("Comparable Property POI") is a non-GAAP measure used by management in evaluating the operating performance of our properties period over period. However, given the impacts of COVID-19, management believes this metric is less relevant in the current environment, and is not necessarily indicative of results. The amounts shown below for the years ended December 31, 2021 and 2020 reflect the summation of our reported quarterly results during 2021.</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Reconciliation of GAAP operating income to Comparable Property POI</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4"/>
          </w:tcPr>
          <w:p>
            <w:pPr>
              <w:jc w:val="center"/>
              <w:ind w:right="197"/>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4"/>
          </w:tcPr>
          <w:p>
            <w:pPr>
              <w:jc w:val="center"/>
              <w:ind w:right="177"/>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147,490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151,799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289,524</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7"/>
                <w:szCs w:val="17"/>
                <w:color w:val="auto"/>
              </w:rPr>
              <w:t>Add:</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64,424</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279,976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255,027</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14,499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12,307</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49,856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41,680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charge</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57,218</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Gain on sale of real estate and change in control of interests</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(86,435)</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(89,950)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(98,117)</w:t>
            </w: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operating income (POI)</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167,283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142,095</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634,607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545,332</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7"/>
                <w:szCs w:val="17"/>
                <w:color w:val="auto"/>
              </w:rPr>
              <w:t>Less: Non-comparable POI - acquisitions/dispositions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(10,367)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(3,773)</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(21,933)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(6,776)</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Non-comparable POI - redevelopment, development &amp; other</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(2,485)</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(21,414)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(7,575)</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7"/>
                <w:szCs w:val="17"/>
                <w:color w:val="auto"/>
              </w:rPr>
              <w:t>Comparable Property POI</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151,006</w:t>
            </w:r>
          </w:p>
        </w:tc>
        <w:tc>
          <w:tcPr>
            <w:tcW w:w="12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135,837</w:t>
            </w:r>
          </w:p>
        </w:tc>
        <w:tc>
          <w:tcPr>
            <w:tcW w:w="9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591,260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530,981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540" w:type="dxa"/>
            <w:vAlign w:val="bottom"/>
            <w:gridSpan w:val="2"/>
          </w:tcPr>
          <w:p>
            <w:pPr>
              <w:ind w:left="20"/>
              <w:spacing w:after="0"/>
              <w:rPr>
                <w:sz w:val="20"/>
                <w:szCs w:val="20"/>
                <w:color w:val="auto"/>
              </w:rPr>
            </w:pPr>
            <w:r>
              <w:rPr>
                <w:rFonts w:ascii="Arial" w:cs="Arial" w:eastAsia="Arial" w:hAnsi="Arial"/>
                <w:sz w:val="17"/>
                <w:szCs w:val="17"/>
                <w:i w:val="1"/>
                <w:iCs w:val="1"/>
                <w:color w:val="auto"/>
                <w:w w:val="94"/>
              </w:rPr>
              <w:t>Additional information regarding the components of Comparable Property POI</w:t>
            </w:r>
          </w:p>
        </w:tc>
        <w:tc>
          <w:tcPr>
            <w:tcW w:w="1820" w:type="dxa"/>
            <w:vAlign w:val="bottom"/>
            <w:gridSpan w:val="4"/>
            <w:vMerge w:val="restart"/>
          </w:tcPr>
          <w:p>
            <w:pPr>
              <w:jc w:val="center"/>
              <w:ind w:right="197"/>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4"/>
            <w:vMerge w:val="restart"/>
          </w:tcPr>
          <w:p>
            <w:pPr>
              <w:jc w:val="center"/>
              <w:ind w:right="37"/>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4"/>
            <w:vMerge w:val="continue"/>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4"/>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8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2020</w:t>
            </w:r>
          </w:p>
        </w:tc>
        <w:tc>
          <w:tcPr>
            <w:tcW w:w="820" w:type="dxa"/>
            <w:vAlign w:val="bottom"/>
          </w:tcPr>
          <w:p>
            <w:pPr>
              <w:jc w:val="right"/>
              <w:ind w:right="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8"/>
        </w:trPr>
        <w:tc>
          <w:tcPr>
            <w:tcW w:w="5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4"/>
          </w:tcPr>
          <w:p>
            <w:pPr>
              <w:jc w:val="center"/>
              <w:ind w:right="197"/>
              <w:spacing w:after="0"/>
              <w:rPr>
                <w:sz w:val="20"/>
                <w:szCs w:val="20"/>
                <w:color w:val="auto"/>
              </w:rPr>
            </w:pPr>
            <w:r>
              <w:rPr>
                <w:rFonts w:ascii="Arial" w:cs="Arial" w:eastAsia="Arial" w:hAnsi="Arial"/>
                <w:sz w:val="16"/>
                <w:szCs w:val="16"/>
                <w:b w:val="1"/>
                <w:bCs w:val="1"/>
                <w:color w:val="auto"/>
                <w:w w:val="88"/>
              </w:rPr>
              <w:t>(in thousands)</w:t>
            </w: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6"/>
                <w:szCs w:val="16"/>
                <w:b w:val="1"/>
                <w:bCs w:val="1"/>
                <w:color w:val="auto"/>
                <w:w w:val="88"/>
              </w:rPr>
              <w:t>(in thousands)</w:t>
            </w: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income</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226,631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208,211</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880,493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803,410</w:t>
            </w: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expenses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(44,873)</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(158,600)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Real estate taxes</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(27,291)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(27,501)</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(110,715)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(113,829)</w:t>
            </w: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(72,374)</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(289,233)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(272,429)</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Comparable Property POI</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135,837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11.2 %  $</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591,260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530,981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11.4 %</w:t>
            </w:r>
          </w:p>
        </w:tc>
        <w:tc>
          <w:tcPr>
            <w:tcW w:w="0" w:type="dxa"/>
            <w:vAlign w:val="bottom"/>
          </w:tcPr>
          <w:p>
            <w:pPr>
              <w:spacing w:after="0"/>
              <w:rPr>
                <w:sz w:val="1"/>
                <w:szCs w:val="1"/>
                <w:color w:val="auto"/>
              </w:rPr>
            </w:pPr>
          </w:p>
        </w:tc>
      </w:tr>
      <w:tr>
        <w:trPr>
          <w:trHeight w:val="414"/>
        </w:trPr>
        <w:tc>
          <w:tcPr>
            <w:tcW w:w="5280" w:type="dxa"/>
            <w:vAlign w:val="bottom"/>
          </w:tcPr>
          <w:p>
            <w:pPr>
              <w:ind w:left="20"/>
              <w:spacing w:after="0"/>
              <w:rPr>
                <w:sz w:val="20"/>
                <w:szCs w:val="20"/>
                <w:color w:val="auto"/>
              </w:rPr>
            </w:pPr>
            <w:r>
              <w:rPr>
                <w:rFonts w:ascii="Arial" w:cs="Arial" w:eastAsia="Arial" w:hAnsi="Arial"/>
                <w:sz w:val="17"/>
                <w:szCs w:val="17"/>
                <w:i w:val="1"/>
                <w:iCs w:val="1"/>
                <w:color w:val="auto"/>
              </w:rPr>
              <w:t>Comparable Property - Summary of Capital Expenditures (1)</w:t>
            </w:r>
          </w:p>
        </w:tc>
        <w:tc>
          <w:tcPr>
            <w:tcW w:w="260" w:type="dxa"/>
            <w:vAlign w:val="bottom"/>
          </w:tcPr>
          <w:p>
            <w:pPr>
              <w:spacing w:after="0"/>
              <w:rPr>
                <w:sz w:val="24"/>
                <w:szCs w:val="24"/>
                <w:color w:val="auto"/>
              </w:rPr>
            </w:pPr>
          </w:p>
        </w:tc>
        <w:tc>
          <w:tcPr>
            <w:tcW w:w="1820" w:type="dxa"/>
            <w:vAlign w:val="bottom"/>
            <w:gridSpan w:val="4"/>
            <w:vMerge w:val="restart"/>
          </w:tcPr>
          <w:p>
            <w:pPr>
              <w:jc w:val="center"/>
              <w:ind w:right="197"/>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4"/>
            <w:vMerge w:val="restart"/>
          </w:tcPr>
          <w:p>
            <w:pPr>
              <w:jc w:val="center"/>
              <w:ind w:right="37"/>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4"/>
            <w:vMerge w:val="continue"/>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4"/>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17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4"/>
          </w:tcPr>
          <w:p>
            <w:pPr>
              <w:jc w:val="center"/>
              <w:ind w:right="197"/>
              <w:spacing w:after="0"/>
              <w:rPr>
                <w:sz w:val="20"/>
                <w:szCs w:val="20"/>
                <w:color w:val="auto"/>
              </w:rPr>
            </w:pPr>
            <w:r>
              <w:rPr>
                <w:rFonts w:ascii="Arial" w:cs="Arial" w:eastAsia="Arial" w:hAnsi="Arial"/>
                <w:sz w:val="16"/>
                <w:szCs w:val="16"/>
                <w:b w:val="1"/>
                <w:bCs w:val="1"/>
                <w:color w:val="auto"/>
                <w:w w:val="88"/>
              </w:rPr>
              <w:t>(in thousands)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4"/>
          </w:tcPr>
          <w:p>
            <w:pPr>
              <w:jc w:val="center"/>
              <w:ind w:right="57"/>
              <w:spacing w:after="0"/>
              <w:rPr>
                <w:sz w:val="20"/>
                <w:szCs w:val="20"/>
                <w:color w:val="auto"/>
              </w:rPr>
            </w:pPr>
            <w:r>
              <w:rPr>
                <w:rFonts w:ascii="Arial" w:cs="Arial" w:eastAsia="Arial" w:hAnsi="Arial"/>
                <w:sz w:val="16"/>
                <w:szCs w:val="16"/>
                <w:b w:val="1"/>
                <w:bCs w:val="1"/>
                <w:color w:val="auto"/>
                <w:w w:val="88"/>
              </w:rPr>
              <w:t>(in thousands)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Redevelopment and tenant improvements and incentives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28,710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122,718</w:t>
            </w: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Maintenance capital expenditures</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5,336</w:t>
            </w: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16,103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13,270</w:t>
            </w: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34,046</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135,988</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5280" w:type="dxa"/>
            <w:vAlign w:val="bottom"/>
          </w:tcPr>
          <w:p>
            <w:pPr>
              <w:ind w:left="20"/>
              <w:spacing w:after="0"/>
              <w:rPr>
                <w:sz w:val="20"/>
                <w:szCs w:val="20"/>
                <w:color w:val="auto"/>
              </w:rPr>
            </w:pPr>
            <w:r>
              <w:rPr>
                <w:rFonts w:ascii="Arial" w:cs="Arial" w:eastAsia="Arial" w:hAnsi="Arial"/>
                <w:sz w:val="17"/>
                <w:szCs w:val="17"/>
                <w:i w:val="1"/>
                <w:iCs w:val="1"/>
                <w:color w:val="auto"/>
              </w:rPr>
              <w:t>Comparable Property - Occupancy Statistics (2)</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4"/>
            <w:vMerge w:val="restart"/>
          </w:tcPr>
          <w:p>
            <w:pPr>
              <w:jc w:val="center"/>
              <w:ind w:right="37"/>
              <w:spacing w:after="0"/>
              <w:rPr>
                <w:sz w:val="20"/>
                <w:szCs w:val="20"/>
                <w:color w:val="auto"/>
              </w:rPr>
            </w:pPr>
            <w:r>
              <w:rPr>
                <w:rFonts w:ascii="Arial" w:cs="Arial" w:eastAsia="Arial" w:hAnsi="Arial"/>
                <w:sz w:val="14"/>
                <w:szCs w:val="14"/>
                <w:b w:val="1"/>
                <w:bCs w:val="1"/>
                <w:color w:val="auto"/>
                <w:w w:val="94"/>
              </w:rPr>
              <w:t>At December 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2020</w:t>
            </w:r>
          </w:p>
        </w:tc>
        <w:tc>
          <w:tcPr>
            <w:tcW w:w="8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GLA - comparable commercial properties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40"/>
              <w:spacing w:after="0"/>
              <w:rPr>
                <w:sz w:val="20"/>
                <w:szCs w:val="20"/>
                <w:color w:val="auto"/>
              </w:rPr>
            </w:pPr>
            <w:r>
              <w:rPr>
                <w:rFonts w:ascii="Arial" w:cs="Arial" w:eastAsia="Arial" w:hAnsi="Arial"/>
                <w:sz w:val="17"/>
                <w:szCs w:val="17"/>
                <w:color w:val="auto"/>
                <w:w w:val="89"/>
              </w:rPr>
              <w:t>22,264,000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37"/>
              <w:spacing w:after="0"/>
              <w:rPr>
                <w:sz w:val="20"/>
                <w:szCs w:val="20"/>
                <w:color w:val="auto"/>
              </w:rPr>
            </w:pPr>
            <w:r>
              <w:rPr>
                <w:rFonts w:ascii="Arial" w:cs="Arial" w:eastAsia="Arial" w:hAnsi="Arial"/>
                <w:sz w:val="17"/>
                <w:szCs w:val="17"/>
                <w:color w:val="auto"/>
                <w:w w:val="89"/>
              </w:rPr>
              <w:t>22,292,000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7"/>
                <w:szCs w:val="17"/>
                <w:color w:val="auto"/>
              </w:rPr>
              <w:t>Leased % - comparable commercial properties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40"/>
              <w:spacing w:after="0"/>
              <w:rPr>
                <w:sz w:val="20"/>
                <w:szCs w:val="20"/>
                <w:color w:val="auto"/>
              </w:rPr>
            </w:pPr>
            <w:r>
              <w:rPr>
                <w:rFonts w:ascii="Arial" w:cs="Arial" w:eastAsia="Arial" w:hAnsi="Arial"/>
                <w:sz w:val="17"/>
                <w:szCs w:val="17"/>
                <w:color w:val="auto"/>
                <w:w w:val="91"/>
              </w:rPr>
              <w:t>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37"/>
              <w:spacing w:after="0"/>
              <w:rPr>
                <w:sz w:val="20"/>
                <w:szCs w:val="20"/>
                <w:color w:val="auto"/>
              </w:rPr>
            </w:pPr>
            <w:r>
              <w:rPr>
                <w:rFonts w:ascii="Arial" w:cs="Arial" w:eastAsia="Arial" w:hAnsi="Arial"/>
                <w:sz w:val="17"/>
                <w:szCs w:val="17"/>
                <w:color w:val="auto"/>
                <w:w w:val="91"/>
              </w:rPr>
              <w:t>92.3%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Occupancy % - comparable commercial properties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right="40"/>
              <w:spacing w:after="0"/>
              <w:rPr>
                <w:sz w:val="20"/>
                <w:szCs w:val="20"/>
                <w:color w:val="auto"/>
              </w:rPr>
            </w:pPr>
            <w:r>
              <w:rPr>
                <w:rFonts w:ascii="Arial" w:cs="Arial" w:eastAsia="Arial" w:hAnsi="Arial"/>
                <w:sz w:val="17"/>
                <w:szCs w:val="17"/>
                <w:color w:val="auto"/>
                <w:w w:val="91"/>
              </w:rPr>
              <w:t>90.9%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37"/>
              <w:spacing w:after="0"/>
              <w:rPr>
                <w:sz w:val="20"/>
                <w:szCs w:val="20"/>
                <w:color w:val="auto"/>
              </w:rPr>
            </w:pPr>
            <w:r>
              <w:rPr>
                <w:rFonts w:ascii="Arial" w:cs="Arial" w:eastAsia="Arial" w:hAnsi="Arial"/>
                <w:sz w:val="17"/>
                <w:szCs w:val="17"/>
                <w:color w:val="auto"/>
                <w:w w:val="91"/>
              </w:rPr>
              <w:t>90.5%</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See page </w:t>
      </w:r>
      <w:hyperlink w:anchor="page13">
        <w:r>
          <w:rPr>
            <w:rFonts w:ascii="Arial" w:cs="Arial" w:eastAsia="Arial" w:hAnsi="Arial"/>
            <w:sz w:val="16"/>
            <w:szCs w:val="16"/>
            <w:color w:val="auto"/>
          </w:rPr>
          <w:t xml:space="preserve">11 </w:t>
        </w:r>
      </w:hyperlink>
      <w:r>
        <w:rPr>
          <w:rFonts w:ascii="Arial" w:cs="Arial" w:eastAsia="Arial" w:hAnsi="Arial"/>
          <w:sz w:val="16"/>
          <w:szCs w:val="16"/>
          <w:color w:val="auto"/>
        </w:rPr>
        <w:t>for "Summary of Capital Expenditures" for our entire portfolio.</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See page </w:t>
      </w:r>
      <w:hyperlink w:anchor="page32">
        <w:r>
          <w:rPr>
            <w:rFonts w:ascii="Arial" w:cs="Arial" w:eastAsia="Arial" w:hAnsi="Arial"/>
            <w:sz w:val="16"/>
            <w:szCs w:val="16"/>
            <w:color w:val="auto"/>
          </w:rPr>
          <w:t xml:space="preserve">30 </w:t>
        </w:r>
      </w:hyperlink>
      <w:r>
        <w:rPr>
          <w:rFonts w:ascii="Arial" w:cs="Arial" w:eastAsia="Arial" w:hAnsi="Arial"/>
          <w:sz w:val="16"/>
          <w:szCs w:val="16"/>
          <w:color w:val="auto"/>
        </w:rPr>
        <w:t>for entire portfolio occupancy statistics.</w:t>
      </w:r>
    </w:p>
    <w:p>
      <w:pPr>
        <w:sectPr>
          <w:pgSz w:w="11900" w:h="16838" w:orient="portrait"/>
          <w:cols w:equalWidth="0" w:num="1">
            <w:col w:w="11240"/>
          </w:cols>
          <w:pgMar w:left="320" w:top="850" w:right="339" w:bottom="1440" w:gutter="0" w:footer="0" w:header="0"/>
        </w:sectPr>
      </w:pP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850" w:right="339" w:bottom="1440"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 Data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183"/>
        </w:trPr>
        <w:tc>
          <w:tcPr>
            <w:tcW w:w="8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183"/>
        </w:trPr>
        <w:tc>
          <w:tcPr>
            <w:tcW w:w="8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6"/>
              </w:rPr>
              <w:t>(in thousands, except per share data)</w:t>
            </w: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rPr>
              <w:t>Common shares outstanding and operating partnership units (1)</w:t>
            </w:r>
          </w:p>
        </w:tc>
        <w:tc>
          <w:tcPr>
            <w:tcW w:w="28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79,270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77,472</w:t>
            </w: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 price per common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136.32</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85.12</w:t>
            </w:r>
          </w:p>
        </w:tc>
      </w:tr>
      <w:tr>
        <w:trPr>
          <w:trHeight w:val="223"/>
        </w:trPr>
        <w:tc>
          <w:tcPr>
            <w:tcW w:w="81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10,806,086</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6,594,417</w:t>
            </w:r>
          </w:p>
        </w:tc>
      </w:tr>
      <w:tr>
        <w:trPr>
          <w:trHeight w:val="196"/>
        </w:trPr>
        <w:tc>
          <w:tcPr>
            <w:tcW w:w="8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rPr>
              <w:t>Series C preferred shares outstanding</w:t>
            </w:r>
          </w:p>
        </w:tc>
        <w:tc>
          <w:tcPr>
            <w:tcW w:w="28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w:t>
            </w:r>
          </w:p>
        </w:tc>
      </w:tr>
      <w:tr>
        <w:trPr>
          <w:trHeight w:val="23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Liquidation price per Series C preferred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25,000.00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25,000.00</w:t>
            </w:r>
          </w:p>
        </w:tc>
      </w:tr>
      <w:tr>
        <w:trPr>
          <w:trHeight w:val="223"/>
        </w:trPr>
        <w:tc>
          <w:tcPr>
            <w:tcW w:w="81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Series C preferred equity market capitalization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150,000</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150,000</w:t>
            </w:r>
          </w:p>
        </w:tc>
      </w:tr>
      <w:tr>
        <w:trPr>
          <w:trHeight w:val="196"/>
        </w:trPr>
        <w:tc>
          <w:tcPr>
            <w:tcW w:w="8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rPr>
              <w:t>Series 1 preferred shares outstanding (2)</w:t>
            </w:r>
          </w:p>
        </w:tc>
        <w:tc>
          <w:tcPr>
            <w:tcW w:w="28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400</w:t>
            </w: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Liquidation price per Series 1 preferred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25.00</w:t>
            </w:r>
          </w:p>
        </w:tc>
      </w:tr>
      <w:tr>
        <w:trPr>
          <w:trHeight w:val="223"/>
        </w:trPr>
        <w:tc>
          <w:tcPr>
            <w:tcW w:w="81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Series 1 preferred equity market capitalization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10,000</w:t>
            </w:r>
          </w:p>
        </w:tc>
      </w:tr>
      <w:tr>
        <w:trPr>
          <w:trHeight w:val="196"/>
        </w:trPr>
        <w:tc>
          <w:tcPr>
            <w:tcW w:w="8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8100" w:type="dxa"/>
            <w:vAlign w:val="bottom"/>
          </w:tcPr>
          <w:p>
            <w:pPr>
              <w:ind w:left="280"/>
              <w:spacing w:after="0"/>
              <w:rPr>
                <w:sz w:val="20"/>
                <w:szCs w:val="20"/>
                <w:color w:val="auto"/>
              </w:rPr>
            </w:pPr>
            <w:r>
              <w:rPr>
                <w:rFonts w:ascii="Arial" w:cs="Arial" w:eastAsia="Arial" w:hAnsi="Arial"/>
                <w:sz w:val="18"/>
                <w:szCs w:val="18"/>
                <w:color w:val="auto"/>
              </w:rPr>
              <w:t>Equity market capitalization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10,966,086</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6,754,417</w:t>
            </w:r>
          </w:p>
        </w:tc>
      </w:tr>
      <w:tr>
        <w:trPr>
          <w:trHeight w:val="216"/>
        </w:trPr>
        <w:tc>
          <w:tcPr>
            <w:tcW w:w="8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4,047,547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4,291,375</w:t>
            </w: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(162,132)</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(798,329)</w:t>
            </w:r>
          </w:p>
        </w:tc>
      </w:tr>
      <w:tr>
        <w:trPr>
          <w:trHeight w:val="223"/>
        </w:trPr>
        <w:tc>
          <w:tcPr>
            <w:tcW w:w="81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net debt (3)</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3,885,415</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3,493,046</w:t>
            </w:r>
          </w:p>
        </w:tc>
      </w:tr>
      <w:tr>
        <w:trPr>
          <w:trHeight w:val="196"/>
        </w:trPr>
        <w:tc>
          <w:tcPr>
            <w:tcW w:w="8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r>
      <w:tr>
        <w:trPr>
          <w:trHeight w:val="223"/>
        </w:trPr>
        <w:tc>
          <w:tcPr>
            <w:tcW w:w="8100" w:type="dxa"/>
            <w:vAlign w:val="bottom"/>
          </w:tcPr>
          <w:p>
            <w:pPr>
              <w:ind w:left="280"/>
              <w:spacing w:after="0"/>
              <w:rPr>
                <w:sz w:val="20"/>
                <w:szCs w:val="20"/>
                <w:color w:val="auto"/>
              </w:rPr>
            </w:pPr>
            <w:r>
              <w:rPr>
                <w:rFonts w:ascii="Arial" w:cs="Arial" w:eastAsia="Arial" w:hAnsi="Arial"/>
                <w:sz w:val="18"/>
                <w:szCs w:val="18"/>
                <w:color w:val="auto"/>
              </w:rPr>
              <w:t>Total market capitalization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14,851,501</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10,247,463</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8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30"/>
        </w:trPr>
        <w:tc>
          <w:tcPr>
            <w:tcW w:w="8100" w:type="dxa"/>
            <w:vAlign w:val="bottom"/>
          </w:tcPr>
          <w:p>
            <w:pPr>
              <w:ind w:left="280"/>
              <w:spacing w:after="0"/>
              <w:rPr>
                <w:sz w:val="20"/>
                <w:szCs w:val="20"/>
                <w:color w:val="auto"/>
              </w:rPr>
            </w:pPr>
            <w:r>
              <w:rPr>
                <w:rFonts w:ascii="Arial" w:cs="Arial" w:eastAsia="Arial" w:hAnsi="Arial"/>
                <w:sz w:val="18"/>
                <w:szCs w:val="18"/>
                <w:color w:val="auto"/>
              </w:rPr>
              <w:t>Total net debt to market capitalization at market price per common share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26 %</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34 %</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include 666,831 and 744,617 operating partnership units outstanding at December 31, 2021 and 2020,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Total net debt includes mortgages payable, notes payable, senior notes and debentures, net of premiums/discounts and debt issuance costs and net of cash and cash equivalents from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31"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rPr>
              <w:t>As of December 31, 2021</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Stated maturity date</w:t>
            </w:r>
          </w:p>
        </w:tc>
        <w:tc>
          <w:tcPr>
            <w:tcW w:w="1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Stated interest rate</w:t>
            </w:r>
          </w:p>
        </w:tc>
        <w:tc>
          <w:tcPr>
            <w:tcW w:w="180" w:type="dxa"/>
            <w:vAlign w:val="bottom"/>
          </w:tcPr>
          <w:p>
            <w:pPr>
              <w:spacing w:after="0"/>
              <w:rPr>
                <w:sz w:val="11"/>
                <w:szCs w:val="11"/>
                <w:color w:val="auto"/>
              </w:rPr>
            </w:pP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Balance</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right"/>
              <w:ind w:right="119"/>
              <w:spacing w:after="0" w:line="13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effective rate (7)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3460" w:type="dxa"/>
            <w:vAlign w:val="bottom"/>
            <w:gridSpan w:val="4"/>
            <w:shd w:val="clear" w:color="auto" w:fill="CCEEFF"/>
          </w:tcPr>
          <w:p>
            <w:pPr>
              <w:spacing w:after="0" w:line="177" w:lineRule="exact"/>
              <w:rPr>
                <w:sz w:val="20"/>
                <w:szCs w:val="20"/>
                <w:color w:val="auto"/>
              </w:rPr>
            </w:pPr>
            <w:r>
              <w:rPr>
                <w:rFonts w:ascii="Arial" w:cs="Arial" w:eastAsia="Arial" w:hAnsi="Arial"/>
                <w:sz w:val="16"/>
                <w:szCs w:val="16"/>
                <w:color w:val="auto"/>
              </w:rPr>
              <w:t>Mortgages payable (1)</w:t>
            </w:r>
          </w:p>
        </w:tc>
        <w:tc>
          <w:tcPr>
            <w:tcW w:w="1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i w:val="1"/>
                <w:iCs w:val="1"/>
                <w:color w:val="auto"/>
              </w:rPr>
              <w:t>Secured fixed rate</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Azalea</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11/1/2025</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Bell Gardens</w:t>
            </w:r>
          </w:p>
        </w:tc>
        <w:tc>
          <w:tcPr>
            <w:tcW w:w="1780" w:type="dxa"/>
            <w:vAlign w:val="bottom"/>
          </w:tcPr>
          <w:p>
            <w:pPr>
              <w:jc w:val="center"/>
              <w:spacing w:after="0"/>
              <w:rPr>
                <w:sz w:val="20"/>
                <w:szCs w:val="20"/>
                <w:color w:val="auto"/>
              </w:rPr>
            </w:pPr>
            <w:r>
              <w:rPr>
                <w:rFonts w:ascii="Arial" w:cs="Arial" w:eastAsia="Arial" w:hAnsi="Arial"/>
                <w:sz w:val="16"/>
                <w:szCs w:val="16"/>
                <w:color w:val="auto"/>
                <w:w w:val="93"/>
              </w:rPr>
              <w:t>8/1/2026</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4.06%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12,127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6/5/2027</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The Grove at Shrewsbury (East)</w:t>
            </w:r>
          </w:p>
        </w:tc>
        <w:tc>
          <w:tcPr>
            <w:tcW w:w="1780" w:type="dxa"/>
            <w:vAlign w:val="bottom"/>
          </w:tcPr>
          <w:p>
            <w:pPr>
              <w:jc w:val="center"/>
              <w:spacing w:after="0"/>
              <w:rPr>
                <w:sz w:val="20"/>
                <w:szCs w:val="20"/>
                <w:color w:val="auto"/>
              </w:rPr>
            </w:pPr>
            <w:r>
              <w:rPr>
                <w:rFonts w:ascii="Arial" w:cs="Arial" w:eastAsia="Arial" w:hAnsi="Arial"/>
                <w:sz w:val="16"/>
                <w:szCs w:val="16"/>
                <w:color w:val="auto"/>
                <w:w w:val="93"/>
              </w:rPr>
              <w:t>9/1/2027</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3.77%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43,600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7/1/2029</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Hoboken (24 Buildings) (2)</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12/15/2029</w:t>
            </w:r>
          </w:p>
        </w:tc>
        <w:tc>
          <w:tcPr>
            <w:tcW w:w="14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LIBOR + 1.95%</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56,450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Various Hoboken (14 Buildings)</w:t>
            </w: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Various through 2029</w:t>
            </w:r>
          </w:p>
        </w:tc>
        <w:tc>
          <w:tcPr>
            <w:tcW w:w="17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Various (3)</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Chelsea</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1/15/2031</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4,851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Hoboken (1 Building) (4)</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7/1/2042</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3.75%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60" w:type="dxa"/>
            <w:vAlign w:val="bottom"/>
            <w:gridSpan w:val="4"/>
          </w:tcPr>
          <w:p>
            <w:pPr>
              <w:ind w:left="700"/>
              <w:spacing w:after="0"/>
              <w:rPr>
                <w:sz w:val="20"/>
                <w:szCs w:val="20"/>
                <w:color w:val="auto"/>
              </w:rPr>
            </w:pPr>
            <w:r>
              <w:rPr>
                <w:rFonts w:ascii="Arial" w:cs="Arial" w:eastAsia="Arial" w:hAnsi="Arial"/>
                <w:sz w:val="16"/>
                <w:szCs w:val="16"/>
                <w:color w:val="auto"/>
              </w:rPr>
              <w:t>Subtotal</w:t>
            </w: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341,579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6"/>
            <w:shd w:val="clear" w:color="auto" w:fill="CCEEFF"/>
          </w:tcPr>
          <w:p>
            <w:pPr>
              <w:ind w:left="900"/>
              <w:spacing w:after="0"/>
              <w:rPr>
                <w:sz w:val="20"/>
                <w:szCs w:val="20"/>
                <w:color w:val="auto"/>
              </w:rPr>
            </w:pPr>
            <w:r>
              <w:rPr>
                <w:rFonts w:ascii="Arial" w:cs="Arial" w:eastAsia="Arial" w:hAnsi="Arial"/>
                <w:sz w:val="16"/>
                <w:szCs w:val="16"/>
                <w:color w:val="auto"/>
              </w:rPr>
              <w:t>Net unamortized debt issuance costs and premium</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gridSpan w:val="4"/>
          </w:tcPr>
          <w:p>
            <w:pPr>
              <w:ind w:left="700"/>
              <w:spacing w:after="0"/>
              <w:rPr>
                <w:sz w:val="20"/>
                <w:szCs w:val="20"/>
                <w:color w:val="auto"/>
              </w:rPr>
            </w:pPr>
            <w:r>
              <w:rPr>
                <w:rFonts w:ascii="Arial" w:cs="Arial" w:eastAsia="Arial" w:hAnsi="Arial"/>
                <w:sz w:val="16"/>
                <w:szCs w:val="16"/>
                <w:color w:val="auto"/>
              </w:rPr>
              <w:t>Total mortgages payable, net</w:t>
            </w:r>
          </w:p>
        </w:tc>
        <w:tc>
          <w:tcPr>
            <w:tcW w:w="17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339,993</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3.97 %</w:t>
            </w:r>
          </w:p>
        </w:tc>
        <w:tc>
          <w:tcPr>
            <w:tcW w:w="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gridSpan w:val="4"/>
          </w:tcPr>
          <w:p>
            <w:pPr>
              <w:spacing w:after="0" w:line="175" w:lineRule="exact"/>
              <w:rPr>
                <w:sz w:val="20"/>
                <w:szCs w:val="20"/>
                <w:color w:val="auto"/>
              </w:rPr>
            </w:pPr>
            <w:r>
              <w:rPr>
                <w:rFonts w:ascii="Arial" w:cs="Arial" w:eastAsia="Arial" w:hAnsi="Arial"/>
                <w:sz w:val="16"/>
                <w:szCs w:val="16"/>
                <w:color w:val="auto"/>
              </w:rPr>
              <w:t>Notes payable</w:t>
            </w: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Revolving credit facility (5)</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1/19/2024</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LIBOR + 0.775%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Term Loan</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4/16/2024</w:t>
            </w:r>
          </w:p>
        </w:tc>
        <w:tc>
          <w:tcPr>
            <w:tcW w:w="14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LIBOR + 0.80%</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9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1"/>
              </w:rPr>
              <w:t>Various through 2028</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11.31%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460" w:type="dxa"/>
            <w:vAlign w:val="bottom"/>
            <w:gridSpan w:val="4"/>
          </w:tcPr>
          <w:p>
            <w:pPr>
              <w:ind w:left="700"/>
              <w:spacing w:after="0"/>
              <w:rPr>
                <w:sz w:val="20"/>
                <w:szCs w:val="20"/>
                <w:color w:val="auto"/>
              </w:rPr>
            </w:pPr>
            <w:r>
              <w:rPr>
                <w:rFonts w:ascii="Arial" w:cs="Arial" w:eastAsia="Arial" w:hAnsi="Arial"/>
                <w:sz w:val="16"/>
                <w:szCs w:val="16"/>
                <w:color w:val="auto"/>
              </w:rPr>
              <w:t>Subtotal</w:t>
            </w: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302,635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900"/>
              <w:spacing w:after="0"/>
              <w:rPr>
                <w:sz w:val="20"/>
                <w:szCs w:val="20"/>
                <w:color w:val="auto"/>
              </w:rPr>
            </w:pPr>
            <w:r>
              <w:rPr>
                <w:rFonts w:ascii="Arial" w:cs="Arial" w:eastAsia="Arial" w:hAnsi="Arial"/>
                <w:sz w:val="16"/>
                <w:szCs w:val="16"/>
                <w:color w:val="auto"/>
                <w:w w:val="96"/>
              </w:rPr>
              <w:t>Net unamortized debt issuance costs</w:t>
            </w:r>
          </w:p>
        </w:tc>
        <w:tc>
          <w:tcPr>
            <w:tcW w:w="1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gridSpan w:val="4"/>
          </w:tcPr>
          <w:p>
            <w:pPr>
              <w:ind w:left="700"/>
              <w:spacing w:after="0"/>
              <w:rPr>
                <w:sz w:val="20"/>
                <w:szCs w:val="20"/>
                <w:color w:val="auto"/>
              </w:rPr>
            </w:pPr>
            <w:r>
              <w:rPr>
                <w:rFonts w:ascii="Arial" w:cs="Arial" w:eastAsia="Arial" w:hAnsi="Arial"/>
                <w:sz w:val="16"/>
                <w:szCs w:val="16"/>
                <w:color w:val="auto"/>
              </w:rPr>
              <w:t>Total notes payable, net</w:t>
            </w:r>
          </w:p>
        </w:tc>
        <w:tc>
          <w:tcPr>
            <w:tcW w:w="17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301,466</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1.15 %</w:t>
            </w:r>
          </w:p>
        </w:tc>
        <w:tc>
          <w:tcPr>
            <w:tcW w:w="3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60" w:type="dxa"/>
            <w:vAlign w:val="bottom"/>
            <w:gridSpan w:val="4"/>
          </w:tcPr>
          <w:p>
            <w:pPr>
              <w:spacing w:after="0" w:line="175" w:lineRule="exact"/>
              <w:rPr>
                <w:sz w:val="20"/>
                <w:szCs w:val="20"/>
                <w:color w:val="auto"/>
              </w:rPr>
            </w:pPr>
            <w:r>
              <w:rPr>
                <w:rFonts w:ascii="Arial" w:cs="Arial" w:eastAsia="Arial" w:hAnsi="Arial"/>
                <w:sz w:val="16"/>
                <w:szCs w:val="16"/>
                <w:color w:val="auto"/>
              </w:rPr>
              <w:t>Senior notes and debentures</w:t>
            </w: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i w:val="1"/>
                <w:iCs w:val="1"/>
                <w:color w:val="auto"/>
              </w:rPr>
              <w:t>Unsecured fixed rate</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2.75% notes</w:t>
            </w:r>
          </w:p>
        </w:tc>
        <w:tc>
          <w:tcPr>
            <w:tcW w:w="1780" w:type="dxa"/>
            <w:vAlign w:val="bottom"/>
          </w:tcPr>
          <w:p>
            <w:pPr>
              <w:jc w:val="center"/>
              <w:spacing w:after="0"/>
              <w:rPr>
                <w:sz w:val="20"/>
                <w:szCs w:val="20"/>
                <w:color w:val="auto"/>
              </w:rPr>
            </w:pPr>
            <w:r>
              <w:rPr>
                <w:rFonts w:ascii="Arial" w:cs="Arial" w:eastAsia="Arial" w:hAnsi="Arial"/>
                <w:sz w:val="16"/>
                <w:szCs w:val="16"/>
                <w:color w:val="auto"/>
                <w:w w:val="93"/>
              </w:rPr>
              <w:t>6/1/2023</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1/15/2024</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1.25% notes</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2/15/2026</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1.25%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8/15/2026</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3.25% notes</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7/15/2027</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3.25%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475,000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8/1/2027</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3.20% notes</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6/15/2029</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3.20%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3.50% notes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6/1/2030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ind w:left="380"/>
              <w:spacing w:after="0"/>
              <w:rPr>
                <w:sz w:val="20"/>
                <w:szCs w:val="20"/>
                <w:color w:val="auto"/>
              </w:rPr>
            </w:pPr>
            <w:r>
              <w:rPr>
                <w:rFonts w:ascii="Arial" w:cs="Arial" w:eastAsia="Arial" w:hAnsi="Arial"/>
                <w:sz w:val="16"/>
                <w:szCs w:val="16"/>
                <w:color w:val="auto"/>
              </w:rPr>
              <w:t>4.50% notes</w:t>
            </w:r>
          </w:p>
        </w:tc>
        <w:tc>
          <w:tcPr>
            <w:tcW w:w="1780" w:type="dxa"/>
            <w:vAlign w:val="bottom"/>
          </w:tcPr>
          <w:p>
            <w:pPr>
              <w:jc w:val="center"/>
              <w:spacing w:after="0"/>
              <w:rPr>
                <w:sz w:val="20"/>
                <w:szCs w:val="20"/>
                <w:color w:val="auto"/>
              </w:rPr>
            </w:pPr>
            <w:r>
              <w:rPr>
                <w:rFonts w:ascii="Arial" w:cs="Arial" w:eastAsia="Arial" w:hAnsi="Arial"/>
                <w:sz w:val="16"/>
                <w:szCs w:val="16"/>
                <w:color w:val="auto"/>
                <w:w w:val="92"/>
              </w:rPr>
              <w:t>12/1/2044</w:t>
            </w: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4.50%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8/1/2046</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60" w:type="dxa"/>
            <w:vAlign w:val="bottom"/>
            <w:gridSpan w:val="4"/>
          </w:tcPr>
          <w:p>
            <w:pPr>
              <w:ind w:left="700"/>
              <w:spacing w:after="0"/>
              <w:rPr>
                <w:sz w:val="20"/>
                <w:szCs w:val="20"/>
                <w:color w:val="auto"/>
              </w:rPr>
            </w:pPr>
            <w:r>
              <w:rPr>
                <w:rFonts w:ascii="Arial" w:cs="Arial" w:eastAsia="Arial" w:hAnsi="Arial"/>
                <w:sz w:val="16"/>
                <w:szCs w:val="16"/>
                <w:color w:val="auto"/>
              </w:rPr>
              <w:t>Subtotal</w:t>
            </w: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3,419,200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6"/>
            <w:shd w:val="clear" w:color="auto" w:fill="CCEEFF"/>
          </w:tcPr>
          <w:p>
            <w:pPr>
              <w:ind w:left="900"/>
              <w:spacing w:after="0"/>
              <w:rPr>
                <w:sz w:val="20"/>
                <w:szCs w:val="20"/>
                <w:color w:val="auto"/>
              </w:rPr>
            </w:pPr>
            <w:r>
              <w:rPr>
                <w:rFonts w:ascii="Arial" w:cs="Arial" w:eastAsia="Arial" w:hAnsi="Arial"/>
                <w:sz w:val="16"/>
                <w:szCs w:val="16"/>
                <w:color w:val="auto"/>
              </w:rPr>
              <w:t>Net unamortized debt issuance costs and premium</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gridSpan w:val="4"/>
          </w:tcPr>
          <w:p>
            <w:pPr>
              <w:ind w:left="700"/>
              <w:spacing w:after="0"/>
              <w:rPr>
                <w:sz w:val="20"/>
                <w:szCs w:val="20"/>
                <w:color w:val="auto"/>
              </w:rPr>
            </w:pPr>
            <w:r>
              <w:rPr>
                <w:rFonts w:ascii="Arial" w:cs="Arial" w:eastAsia="Arial" w:hAnsi="Arial"/>
                <w:sz w:val="16"/>
                <w:szCs w:val="16"/>
                <w:color w:val="auto"/>
              </w:rPr>
              <w:t>Total senior notes and debentures, net</w:t>
            </w:r>
          </w:p>
        </w:tc>
        <w:tc>
          <w:tcPr>
            <w:tcW w:w="17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3,406,088</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3.49 %</w:t>
            </w:r>
          </w:p>
        </w:tc>
        <w:tc>
          <w:tcPr>
            <w:tcW w:w="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64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24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60" w:type="dxa"/>
            <w:vAlign w:val="bottom"/>
            <w:gridSpan w:val="4"/>
          </w:tcPr>
          <w:p>
            <w:pPr>
              <w:ind w:left="380"/>
              <w:spacing w:after="0" w:line="183" w:lineRule="exact"/>
              <w:rPr>
                <w:sz w:val="20"/>
                <w:szCs w:val="20"/>
                <w:color w:val="auto"/>
              </w:rPr>
            </w:pPr>
            <w:r>
              <w:rPr>
                <w:rFonts w:ascii="Arial" w:cs="Arial" w:eastAsia="Arial" w:hAnsi="Arial"/>
                <w:sz w:val="16"/>
                <w:szCs w:val="16"/>
                <w:color w:val="auto"/>
              </w:rPr>
              <w:t>Total debt, net</w:t>
            </w: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4,047,547</w:t>
            </w:r>
          </w:p>
        </w:tc>
        <w:tc>
          <w:tcPr>
            <w:tcW w:w="100" w:type="dxa"/>
            <w:vAlign w:val="bottom"/>
          </w:tcPr>
          <w:p>
            <w:pPr>
              <w:spacing w:after="0"/>
              <w:rPr>
                <w:sz w:val="15"/>
                <w:szCs w:val="15"/>
                <w:color w:val="auto"/>
              </w:rPr>
            </w:pPr>
          </w:p>
        </w:tc>
        <w:tc>
          <w:tcPr>
            <w:tcW w:w="900" w:type="dxa"/>
            <w:vAlign w:val="bottom"/>
          </w:tcPr>
          <w:p>
            <w:pPr>
              <w:jc w:val="right"/>
              <w:ind w:right="619"/>
              <w:spacing w:after="0" w:line="183" w:lineRule="exact"/>
              <w:rPr>
                <w:sz w:val="20"/>
                <w:szCs w:val="20"/>
                <w:color w:val="auto"/>
              </w:rPr>
            </w:pPr>
            <w:r>
              <w:rPr>
                <w:rFonts w:ascii="Arial" w:cs="Arial" w:eastAsia="Arial" w:hAnsi="Arial"/>
                <w:sz w:val="16"/>
                <w:szCs w:val="16"/>
                <w:color w:val="auto"/>
                <w:w w:val="91"/>
              </w:rPr>
              <w:t>(6)</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spacing w:after="0"/>
              <w:rPr>
                <w:sz w:val="20"/>
                <w:szCs w:val="20"/>
                <w:color w:val="auto"/>
              </w:rPr>
            </w:pPr>
            <w:r>
              <w:rPr>
                <w:rFonts w:ascii="Arial" w:cs="Arial" w:eastAsia="Arial" w:hAnsi="Arial"/>
                <w:sz w:val="16"/>
                <w:szCs w:val="16"/>
                <w:color w:val="auto"/>
              </w:rPr>
              <w:t>Total fixed rate debt, net</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3,748,669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3.54 %</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Total variable rate debt, net</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298,878</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60" w:type="dxa"/>
            <w:vAlign w:val="bottom"/>
            <w:gridSpan w:val="4"/>
          </w:tcPr>
          <w:p>
            <w:pPr>
              <w:spacing w:after="0"/>
              <w:rPr>
                <w:sz w:val="20"/>
                <w:szCs w:val="20"/>
                <w:color w:val="auto"/>
              </w:rPr>
            </w:pPr>
            <w:r>
              <w:rPr>
                <w:rFonts w:ascii="Arial" w:cs="Arial" w:eastAsia="Arial" w:hAnsi="Arial"/>
                <w:sz w:val="16"/>
                <w:szCs w:val="16"/>
                <w:color w:val="auto"/>
              </w:rPr>
              <w:t>Total debt, net</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4,047,547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3.36 %</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400" w:top="936" w:right="3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10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Year Ended</w:t>
            </w:r>
          </w:p>
        </w:tc>
        <w:tc>
          <w:tcPr>
            <w:tcW w:w="6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10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200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r>
      <w:tr>
        <w:trPr>
          <w:trHeight w:val="187"/>
        </w:trPr>
        <w:tc>
          <w:tcPr>
            <w:tcW w:w="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572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89"/>
              </w:rPr>
              <w:t>2020</w:t>
            </w: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spacing w:after="0" w:line="157" w:lineRule="exact"/>
              <w:rPr>
                <w:sz w:val="20"/>
                <w:szCs w:val="20"/>
                <w:color w:val="auto"/>
              </w:rPr>
            </w:pPr>
            <w:r>
              <w:rPr>
                <w:rFonts w:ascii="Arial" w:cs="Arial" w:eastAsia="Arial" w:hAnsi="Arial"/>
                <w:sz w:val="16"/>
                <w:szCs w:val="16"/>
                <w:color w:val="auto"/>
                <w:w w:val="91"/>
              </w:rPr>
              <w:t>Operational Statistics</w:t>
            </w:r>
          </w:p>
        </w:tc>
        <w:tc>
          <w:tcPr>
            <w:tcW w:w="57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6"/>
                <w:szCs w:val="16"/>
                <w:color w:val="auto"/>
              </w:rPr>
              <w:t>Excluding early extinguishment of debt: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Ratio of EBITDAre to combined fixed charges and preferred share dividends (9)</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3.89x</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2.76x</w:t>
            </w:r>
          </w:p>
        </w:tc>
        <w:tc>
          <w:tcPr>
            <w:tcW w:w="138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3.61x</w:t>
            </w:r>
          </w:p>
        </w:tc>
        <w:tc>
          <w:tcPr>
            <w:tcW w:w="6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1"/>
              </w:rPr>
              <w:t>2.90x</w:t>
            </w:r>
          </w:p>
        </w:tc>
      </w:tr>
      <w:tr>
        <w:trPr>
          <w:trHeight w:val="213"/>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6"/>
                <w:szCs w:val="16"/>
                <w:color w:val="auto"/>
              </w:rPr>
              <w:t>Including early extinguishment of debt: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Ratio of EBITDAre to combined fixed charges and preferred share dividends (9)</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3.89x</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2.23x</w:t>
            </w:r>
          </w:p>
        </w:tc>
        <w:tc>
          <w:tcPr>
            <w:tcW w:w="138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3.61x</w:t>
            </w:r>
          </w:p>
        </w:tc>
        <w:tc>
          <w:tcPr>
            <w:tcW w:w="62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1"/>
              </w:rPr>
              <w:t>2.72x</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20" w:hanging="652"/>
        <w:spacing w:after="0" w:line="273" w:lineRule="auto"/>
        <w:tabs>
          <w:tab w:leader="none" w:pos="658" w:val="left"/>
        </w:tabs>
        <w:numPr>
          <w:ilvl w:val="0"/>
          <w:numId w:val="15"/>
        </w:numPr>
        <w:rPr>
          <w:rFonts w:ascii="Arial" w:cs="Arial" w:eastAsia="Arial" w:hAnsi="Arial"/>
          <w:sz w:val="14"/>
          <w:szCs w:val="14"/>
          <w:color w:val="auto"/>
        </w:rPr>
      </w:pPr>
      <w:r>
        <w:rPr>
          <w:rFonts w:ascii="Arial" w:cs="Arial" w:eastAsia="Arial" w:hAnsi="Arial"/>
          <w:sz w:val="14"/>
          <w:szCs w:val="14"/>
          <w:color w:val="auto"/>
        </w:rPr>
        <w:t>Mortgages payable does not include our share of debt on our unconsolidated real estate partnerships. At December 31, 2021, our share of unconsolidated debt was approximately $28.4 million. At December 31, 2021, our noncontrolling interests' share of mortgages payable was $44.8 million.</w:t>
      </w:r>
    </w:p>
    <w:p>
      <w:pPr>
        <w:spacing w:after="0" w:line="16" w:lineRule="exact"/>
        <w:rPr>
          <w:rFonts w:ascii="Arial" w:cs="Arial" w:eastAsia="Arial" w:hAnsi="Arial"/>
          <w:sz w:val="14"/>
          <w:szCs w:val="14"/>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have two interest rate swap agreements that fix the interest rate on the mortgage loan at 3.67%</w:t>
      </w:r>
      <w:r>
        <w:rPr>
          <w:rFonts w:ascii="Arial" w:cs="Arial" w:eastAsia="Arial" w:hAnsi="Arial"/>
          <w:sz w:val="17"/>
          <w:szCs w:val="17"/>
          <w:color w:val="auto"/>
        </w:rPr>
        <w:t>.</w:t>
      </w:r>
    </w:p>
    <w:p>
      <w:pPr>
        <w:spacing w:after="0" w:line="70" w:lineRule="exact"/>
        <w:rPr>
          <w:rFonts w:ascii="Arial" w:cs="Arial" w:eastAsia="Arial" w:hAnsi="Arial"/>
          <w:sz w:val="14"/>
          <w:szCs w:val="14"/>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interest rates on these mortgages range from 3.91% to 5.00%.</w:t>
      </w:r>
    </w:p>
    <w:p>
      <w:pPr>
        <w:spacing w:after="0" w:line="55" w:lineRule="exact"/>
        <w:rPr>
          <w:rFonts w:ascii="Arial" w:cs="Arial" w:eastAsia="Arial" w:hAnsi="Arial"/>
          <w:sz w:val="14"/>
          <w:szCs w:val="14"/>
          <w:color w:val="auto"/>
        </w:rPr>
      </w:pPr>
    </w:p>
    <w:p>
      <w:pPr>
        <w:ind w:left="660" w:right="40" w:hanging="652"/>
        <w:spacing w:after="0" w:line="273" w:lineRule="auto"/>
        <w:tabs>
          <w:tab w:leader="none" w:pos="658"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mortgage loan has a fixed interest rate, however, the rate resets every five years until maturity. The current rate is fixed until July 1, 2022 and the loan is prepayable at par anytime after this date.</w:t>
      </w:r>
    </w:p>
    <w:p>
      <w:pPr>
        <w:spacing w:after="0" w:line="11" w:lineRule="exact"/>
        <w:rPr>
          <w:rFonts w:ascii="Arial" w:cs="Arial" w:eastAsia="Arial" w:hAnsi="Arial"/>
          <w:sz w:val="14"/>
          <w:szCs w:val="14"/>
          <w:color w:val="auto"/>
        </w:rPr>
      </w:pPr>
    </w:p>
    <w:p>
      <w:pPr>
        <w:ind w:left="660" w:right="80" w:hanging="652"/>
        <w:spacing w:after="0" w:line="257" w:lineRule="auto"/>
        <w:tabs>
          <w:tab w:leader="none" w:pos="658"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revolving credit facility has a borrowing capacity of $1.0 billion. The maximum amount drawn under our revolving credit facility during both the three months and year ended December 31, 2021 was $150.0 million. The weighted average effective interest rate on borrowing under our credit facility, before amortization of debt fees, for both the three months and year ended December 31, 2021 was 0.9%.</w:t>
      </w:r>
    </w:p>
    <w:p>
      <w:pPr>
        <w:spacing w:after="0" w:line="22" w:lineRule="exact"/>
        <w:rPr>
          <w:rFonts w:ascii="Arial" w:cs="Arial" w:eastAsia="Arial" w:hAnsi="Arial"/>
          <w:sz w:val="14"/>
          <w:szCs w:val="14"/>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weighted average remaining term on our mortgages payable, notes payable, and senior notes and debentures, is approximately 8 years.</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weighted average effective interest rate includes the amortization of any debt issuance costs and discounts and premiums, if applicable, except as described in Note 8.</w:t>
      </w:r>
    </w:p>
    <w:p>
      <w:pPr>
        <w:spacing w:after="0" w:line="66" w:lineRule="exact"/>
        <w:rPr>
          <w:rFonts w:ascii="Arial" w:cs="Arial" w:eastAsia="Arial" w:hAnsi="Arial"/>
          <w:sz w:val="13"/>
          <w:szCs w:val="13"/>
          <w:color w:val="auto"/>
        </w:rPr>
      </w:pPr>
    </w:p>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$0.6 million in quarterly financing fees and quarterly debt fee amortization on our revolving credit facility.</w:t>
      </w:r>
    </w:p>
    <w:p>
      <w:pPr>
        <w:spacing w:after="0" w:line="55" w:lineRule="exact"/>
        <w:rPr>
          <w:rFonts w:ascii="Arial" w:cs="Arial" w:eastAsia="Arial" w:hAnsi="Arial"/>
          <w:sz w:val="14"/>
          <w:szCs w:val="14"/>
          <w:color w:val="auto"/>
        </w:rPr>
      </w:pPr>
    </w:p>
    <w:p>
      <w:pPr>
        <w:ind w:left="660" w:right="200" w:hanging="652"/>
        <w:spacing w:after="0" w:line="273" w:lineRule="auto"/>
        <w:tabs>
          <w:tab w:leader="none" w:pos="658"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and finance leases (including capitalized interest), amortization of debt discount/premium and debt costs, and the portion of rent expense representing an interest factor. EBITDAre is reconciled to net income in the Glossary of Terms.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927"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of Debt Maturities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6"/>
                <w:szCs w:val="16"/>
                <w:b w:val="1"/>
                <w:bCs w:val="1"/>
                <w:color w:val="auto"/>
                <w:w w:val="86"/>
              </w:rPr>
              <w:t>Scheduled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w w:val="98"/>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5"/>
              </w:rPr>
              <w:t>Cumulative</w:t>
            </w:r>
          </w:p>
        </w:tc>
        <w:tc>
          <w:tcPr>
            <w:tcW w:w="166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1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w:t>
            </w:r>
          </w:p>
        </w:tc>
        <w:tc>
          <w:tcPr>
            <w:tcW w:w="1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Maturities</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3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Percent of Debt</w:t>
            </w: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8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6"/>
              </w:rPr>
              <w:t>Amortization</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Maturing</w:t>
            </w:r>
          </w:p>
        </w:tc>
        <w:tc>
          <w:tcPr>
            <w:tcW w:w="16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w w:val="98"/>
              </w:rPr>
              <w:t>Average Rate (3)</w:t>
            </w:r>
          </w:p>
        </w:tc>
        <w:tc>
          <w:tcPr>
            <w:tcW w:w="0" w:type="dxa"/>
            <w:vAlign w:val="bottom"/>
          </w:tcPr>
          <w:p>
            <w:pPr>
              <w:spacing w:after="0"/>
              <w:rPr>
                <w:sz w:val="1"/>
                <w:szCs w:val="1"/>
                <w:color w:val="auto"/>
              </w:rPr>
            </w:pPr>
          </w:p>
        </w:tc>
      </w:tr>
      <w:tr>
        <w:trPr>
          <w:trHeight w:val="184"/>
        </w:trPr>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275,000</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279,307</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6.9 %</w:t>
            </w:r>
          </w:p>
        </w:tc>
        <w:tc>
          <w:tcPr>
            <w:tcW w:w="1520" w:type="dxa"/>
            <w:vAlign w:val="bottom"/>
          </w:tcPr>
          <w:p>
            <w:pPr>
              <w:jc w:val="right"/>
              <w:spacing w:after="0"/>
              <w:rPr>
                <w:sz w:val="20"/>
                <w:szCs w:val="20"/>
                <w:color w:val="auto"/>
              </w:rPr>
            </w:pPr>
            <w:r>
              <w:rPr>
                <w:rFonts w:ascii="Arial" w:cs="Arial" w:eastAsia="Arial" w:hAnsi="Arial"/>
                <w:sz w:val="18"/>
                <w:szCs w:val="18"/>
                <w:color w:val="auto"/>
              </w:rPr>
              <w:t>7.0 %</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380" w:type="dxa"/>
            <w:vAlign w:val="bottom"/>
            <w:shd w:val="clear" w:color="auto" w:fill="CCEEFF"/>
          </w:tcPr>
          <w:p>
            <w:pPr>
              <w:jc w:val="right"/>
              <w:ind w:right="75"/>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904,347</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6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 xml:space="preserve">2.8 % </w:t>
            </w: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4,118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44,298</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48,416</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1.2 %</w:t>
            </w:r>
          </w:p>
        </w:tc>
        <w:tc>
          <w:tcPr>
            <w:tcW w:w="1520" w:type="dxa"/>
            <w:vAlign w:val="bottom"/>
          </w:tcPr>
          <w:p>
            <w:pPr>
              <w:jc w:val="right"/>
              <w:spacing w:after="0"/>
              <w:rPr>
                <w:sz w:val="20"/>
                <w:szCs w:val="20"/>
                <w:color w:val="auto"/>
              </w:rPr>
            </w:pPr>
            <w:r>
              <w:rPr>
                <w:rFonts w:ascii="Arial" w:cs="Arial" w:eastAsia="Arial" w:hAnsi="Arial"/>
                <w:sz w:val="18"/>
                <w:szCs w:val="18"/>
                <w:color w:val="auto"/>
              </w:rPr>
              <w:t>30.4 %</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452,450</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455,911</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2027</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690,570</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693,624</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17.1 %</w:t>
            </w:r>
          </w:p>
        </w:tc>
        <w:tc>
          <w:tcPr>
            <w:tcW w:w="1520" w:type="dxa"/>
            <w:vAlign w:val="bottom"/>
          </w:tcPr>
          <w:p>
            <w:pPr>
              <w:jc w:val="right"/>
              <w:spacing w:after="0"/>
              <w:rPr>
                <w:sz w:val="20"/>
                <w:szCs w:val="20"/>
                <w:color w:val="auto"/>
              </w:rPr>
            </w:pPr>
            <w:r>
              <w:rPr>
                <w:rFonts w:ascii="Arial" w:cs="Arial" w:eastAsia="Arial" w:hAnsi="Arial"/>
                <w:sz w:val="18"/>
                <w:szCs w:val="18"/>
                <w:color w:val="auto"/>
              </w:rPr>
              <w:t>58.7 %</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2029</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458,099</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460,869</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11.3 %</w:t>
            </w:r>
          </w:p>
        </w:tc>
        <w:tc>
          <w:tcPr>
            <w:tcW w:w="1520" w:type="dxa"/>
            <w:vAlign w:val="bottom"/>
          </w:tcPr>
          <w:p>
            <w:pPr>
              <w:jc w:val="right"/>
              <w:spacing w:after="0"/>
              <w:rPr>
                <w:sz w:val="20"/>
                <w:szCs w:val="20"/>
                <w:color w:val="auto"/>
              </w:rPr>
            </w:pPr>
            <w:r>
              <w:rPr>
                <w:rFonts w:ascii="Arial" w:cs="Arial" w:eastAsia="Arial" w:hAnsi="Arial"/>
                <w:sz w:val="18"/>
                <w:szCs w:val="18"/>
                <w:color w:val="auto"/>
              </w:rPr>
              <w:t>70.1 %</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401,141</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2031</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80.0 %</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805,899</w:t>
            </w:r>
          </w:p>
        </w:tc>
        <w:tc>
          <w:tcPr>
            <w:tcW w:w="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812,181</w:t>
            </w:r>
          </w:p>
        </w:tc>
        <w:tc>
          <w:tcPr>
            <w:tcW w:w="3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3"/>
        </w:trPr>
        <w:tc>
          <w:tcPr>
            <w:tcW w:w="188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37,098</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4,026,316</w:t>
            </w:r>
          </w:p>
        </w:tc>
        <w:tc>
          <w:tcPr>
            <w:tcW w:w="3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4,063,414</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w w:val="91"/>
              </w:rPr>
              <w:t>(2)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$300.0 million term loan matures on April 16, 2024, plus two one-year extensions, at our option.</w:t>
      </w:r>
    </w:p>
    <w:p>
      <w:pPr>
        <w:spacing w:after="0" w:line="59" w:lineRule="exact"/>
        <w:rPr>
          <w:rFonts w:ascii="Arial" w:cs="Arial" w:eastAsia="Arial" w:hAnsi="Arial"/>
          <w:sz w:val="16"/>
          <w:szCs w:val="16"/>
          <w:color w:val="auto"/>
        </w:rPr>
      </w:pPr>
    </w:p>
    <w:p>
      <w:pPr>
        <w:ind w:left="660" w:right="140" w:hanging="652"/>
        <w:spacing w:after="0" w:line="27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total debt maturities differ from the total reported on the consolidated balance sheet due to the debt issuance costs and unamortized net premium/discount on certain mortgage loans, notes payable, and senior notes as of December 31, 2021.</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right="80" w:hanging="652"/>
        <w:spacing w:after="0" w:line="349"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weighted average rate excludes $0.6 million in quarterly financing fees and quarterly debt fee amortization on our $1.0 billion revolving credit facility, which had no balance outstanding at December 31, 2021. Our revolving credit facility matures on January 19, 2024, plus two six-month extensions at our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31" w:right="3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w:t>
      </w:r>
    </w:p>
    <w:p>
      <w:pPr>
        <w:ind w:left="40"/>
        <w:spacing w:after="0"/>
        <w:rPr>
          <w:sz w:val="20"/>
          <w:szCs w:val="20"/>
          <w:color w:val="auto"/>
        </w:rPr>
      </w:pPr>
      <w:r>
        <w:rPr>
          <w:rFonts w:ascii="Arial" w:cs="Arial" w:eastAsia="Arial" w:hAnsi="Arial"/>
          <w:sz w:val="16"/>
          <w:szCs w:val="16"/>
          <w:b w:val="1"/>
          <w:bCs w:val="1"/>
          <w:color w:val="auto"/>
        </w:rPr>
        <w:t>2021</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 (1)</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Impacts of Current Environment:</w:t>
      </w:r>
    </w:p>
    <w:p>
      <w:pPr>
        <w:spacing w:after="0" w:line="32" w:lineRule="exact"/>
        <w:rPr>
          <w:sz w:val="20"/>
          <w:szCs w:val="20"/>
          <w:color w:val="auto"/>
        </w:rPr>
      </w:pPr>
    </w:p>
    <w:p>
      <w:pPr>
        <w:ind w:left="40" w:right="80"/>
        <w:spacing w:after="0" w:line="236" w:lineRule="auto"/>
        <w:rPr>
          <w:sz w:val="20"/>
          <w:szCs w:val="20"/>
          <w:color w:val="auto"/>
        </w:rPr>
      </w:pPr>
      <w:r>
        <w:rPr>
          <w:rFonts w:ascii="Arial" w:cs="Arial" w:eastAsia="Arial" w:hAnsi="Arial"/>
          <w:sz w:val="14"/>
          <w:szCs w:val="14"/>
          <w:color w:val="auto"/>
        </w:rPr>
        <w:t>Information provided below reflects management’s best estimate based on current available information, however the completion of construction, final costs, return on investment, and timing of stabilization may be impacted by the current environment, including the impacts of COVID-19 and supply chain disruptions currently affecting the broader economy.</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Projected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Cost to</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7"/>
        </w:trPr>
        <w:tc>
          <w:tcPr>
            <w:tcW w:w="11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Property</w:t>
            </w:r>
          </w:p>
        </w:tc>
        <w:tc>
          <w:tcPr>
            <w:tcW w:w="10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Location</w:t>
            </w:r>
          </w:p>
        </w:tc>
        <w:tc>
          <w:tcPr>
            <w:tcW w:w="578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Opportunity</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ROI (2)</w:t>
            </w:r>
          </w:p>
        </w:tc>
        <w:tc>
          <w:tcPr>
            <w:tcW w:w="1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Cost (1)</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9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88"/>
        </w:trPr>
        <w:tc>
          <w:tcPr>
            <w:tcW w:w="11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57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30"/>
        </w:trPr>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Arial" w:cs="Arial" w:eastAsia="Arial" w:hAnsi="Arial"/>
                <w:sz w:val="14"/>
                <w:szCs w:val="14"/>
                <w:color w:val="auto"/>
              </w:rPr>
              <w:t>(in</w:t>
            </w:r>
          </w:p>
        </w:tc>
        <w:tc>
          <w:tcPr>
            <w:tcW w:w="660" w:type="dxa"/>
            <w:vAlign w:val="bottom"/>
          </w:tcPr>
          <w:p>
            <w:pPr>
              <w:jc w:val="center"/>
              <w:spacing w:after="0" w:line="130" w:lineRule="exact"/>
              <w:rPr>
                <w:sz w:val="20"/>
                <w:szCs w:val="20"/>
                <w:color w:val="auto"/>
              </w:rPr>
            </w:pPr>
            <w:r>
              <w:rPr>
                <w:rFonts w:ascii="Arial" w:cs="Arial" w:eastAsia="Arial" w:hAnsi="Arial"/>
                <w:sz w:val="14"/>
                <w:szCs w:val="14"/>
                <w:color w:val="auto"/>
              </w:rPr>
              <w:t>(in</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millions)</w:t>
            </w:r>
          </w:p>
        </w:tc>
        <w:tc>
          <w:tcPr>
            <w:tcW w:w="660" w:type="dxa"/>
            <w:vAlign w:val="bottom"/>
          </w:tcPr>
          <w:p>
            <w:pPr>
              <w:jc w:val="center"/>
              <w:spacing w:after="0"/>
              <w:rPr>
                <w:sz w:val="20"/>
                <w:szCs w:val="20"/>
                <w:color w:val="auto"/>
              </w:rPr>
            </w:pPr>
            <w:r>
              <w:rPr>
                <w:rFonts w:ascii="Arial" w:cs="Arial" w:eastAsia="Arial" w:hAnsi="Arial"/>
                <w:sz w:val="14"/>
                <w:szCs w:val="14"/>
                <w:color w:val="auto"/>
              </w:rPr>
              <w:t>millions)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Project Stabilized in 2021</w:t>
            </w:r>
          </w:p>
        </w:tc>
        <w:tc>
          <w:tcPr>
            <w:tcW w:w="5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1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8"/>
              </w:rPr>
              <w:t>Freedom Plaza (4)</w:t>
            </w:r>
          </w:p>
        </w:tc>
        <w:tc>
          <w:tcPr>
            <w:tcW w:w="686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4"/>
                <w:szCs w:val="14"/>
                <w:color w:val="auto"/>
                <w:w w:val="94"/>
              </w:rPr>
              <w:t>Los Angeles, CA Development of a new 113,000 square foot single-story grocery anchored neighborhood shopping</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w w:val="96"/>
              </w:rPr>
              <w:t>%</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$39</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$36</w:t>
            </w:r>
          </w:p>
        </w:tc>
        <w:tc>
          <w:tcPr>
            <w:tcW w:w="94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20"/>
              <w:spacing w:after="0" w:line="135" w:lineRule="exact"/>
              <w:rPr>
                <w:sz w:val="20"/>
                <w:szCs w:val="20"/>
                <w:color w:val="auto"/>
              </w:rPr>
            </w:pPr>
            <w:r>
              <w:rPr>
                <w:rFonts w:ascii="Arial" w:cs="Arial" w:eastAsia="Arial" w:hAnsi="Arial"/>
                <w:sz w:val="14"/>
                <w:szCs w:val="14"/>
                <w:color w:val="auto"/>
              </w:rPr>
              <w:t>Bala Cynwyd</w:t>
            </w:r>
          </w:p>
        </w:tc>
        <w:tc>
          <w:tcPr>
            <w:tcW w:w="1080" w:type="dxa"/>
            <w:vAlign w:val="bottom"/>
          </w:tcPr>
          <w:p>
            <w:pPr>
              <w:ind w:left="80"/>
              <w:spacing w:after="0" w:line="135" w:lineRule="exact"/>
              <w:rPr>
                <w:sz w:val="20"/>
                <w:szCs w:val="20"/>
                <w:color w:val="auto"/>
              </w:rPr>
            </w:pPr>
            <w:r>
              <w:rPr>
                <w:rFonts w:ascii="Arial" w:cs="Arial" w:eastAsia="Arial" w:hAnsi="Arial"/>
                <w:sz w:val="14"/>
                <w:szCs w:val="14"/>
                <w:color w:val="auto"/>
              </w:rPr>
              <w:t>Bala Cynwyd,</w:t>
            </w:r>
          </w:p>
        </w:tc>
        <w:tc>
          <w:tcPr>
            <w:tcW w:w="5780" w:type="dxa"/>
            <w:vAlign w:val="bottom"/>
          </w:tcPr>
          <w:p>
            <w:pPr>
              <w:ind w:left="40"/>
              <w:spacing w:after="0" w:line="135" w:lineRule="exact"/>
              <w:rPr>
                <w:sz w:val="20"/>
                <w:szCs w:val="20"/>
                <w:color w:val="auto"/>
              </w:rPr>
            </w:pPr>
            <w:r>
              <w:rPr>
                <w:rFonts w:ascii="Arial" w:cs="Arial" w:eastAsia="Arial" w:hAnsi="Arial"/>
                <w:sz w:val="14"/>
                <w:szCs w:val="14"/>
                <w:color w:val="auto"/>
                <w:w w:val="96"/>
              </w:rPr>
              <w:t>New 87 unit residential apartment building constructed on underutilized land behind our existing</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6</w:t>
            </w:r>
          </w:p>
        </w:tc>
        <w:tc>
          <w:tcPr>
            <w:tcW w:w="180" w:type="dxa"/>
            <w:vAlign w:val="bottom"/>
          </w:tcPr>
          <w:p>
            <w:pPr>
              <w:jc w:val="right"/>
              <w:spacing w:after="0" w:line="135" w:lineRule="exact"/>
              <w:rPr>
                <w:sz w:val="20"/>
                <w:szCs w:val="20"/>
                <w:color w:val="auto"/>
              </w:rPr>
            </w:pPr>
            <w:r>
              <w:rPr>
                <w:rFonts w:ascii="Arial" w:cs="Arial" w:eastAsia="Arial" w:hAnsi="Arial"/>
                <w:sz w:val="14"/>
                <w:szCs w:val="14"/>
                <w:color w:val="auto"/>
                <w:w w:val="96"/>
              </w:rPr>
              <w:t>%</w:t>
            </w: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$22</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$22</w:t>
            </w: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6"/>
        </w:trPr>
        <w:tc>
          <w:tcPr>
            <w:tcW w:w="1180" w:type="dxa"/>
            <w:vAlign w:val="bottom"/>
          </w:tcPr>
          <w:p>
            <w:pPr>
              <w:spacing w:after="0"/>
              <w:rPr>
                <w:sz w:val="16"/>
                <w:szCs w:val="16"/>
                <w:color w:val="auto"/>
              </w:rPr>
            </w:pPr>
          </w:p>
        </w:tc>
        <w:tc>
          <w:tcPr>
            <w:tcW w:w="1080" w:type="dxa"/>
            <w:vAlign w:val="bottom"/>
          </w:tcPr>
          <w:p>
            <w:pPr>
              <w:ind w:left="80"/>
              <w:spacing w:after="0"/>
              <w:rPr>
                <w:sz w:val="20"/>
                <w:szCs w:val="20"/>
                <w:color w:val="auto"/>
              </w:rPr>
            </w:pPr>
            <w:r>
              <w:rPr>
                <w:rFonts w:ascii="Arial" w:cs="Arial" w:eastAsia="Arial" w:hAnsi="Arial"/>
                <w:sz w:val="14"/>
                <w:szCs w:val="14"/>
                <w:color w:val="auto"/>
              </w:rPr>
              <w:t>PA</w:t>
            </w:r>
          </w:p>
        </w:tc>
        <w:tc>
          <w:tcPr>
            <w:tcW w:w="5780" w:type="dxa"/>
            <w:vAlign w:val="bottom"/>
          </w:tcPr>
          <w:p>
            <w:pPr>
              <w:ind w:left="40"/>
              <w:spacing w:after="0"/>
              <w:rPr>
                <w:sz w:val="20"/>
                <w:szCs w:val="20"/>
                <w:color w:val="auto"/>
              </w:rPr>
            </w:pPr>
            <w:r>
              <w:rPr>
                <w:rFonts w:ascii="Arial" w:cs="Arial" w:eastAsia="Arial" w:hAnsi="Arial"/>
                <w:sz w:val="14"/>
                <w:szCs w:val="14"/>
                <w:color w:val="auto"/>
              </w:rPr>
              <w:t>shopping center</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7021 Hollywood</w:t>
            </w:r>
          </w:p>
        </w:tc>
        <w:tc>
          <w:tcPr>
            <w:tcW w:w="6860" w:type="dxa"/>
            <w:vAlign w:val="bottom"/>
            <w:gridSpan w:val="2"/>
            <w:shd w:val="clear" w:color="auto" w:fill="CCEEFF"/>
          </w:tcPr>
          <w:p>
            <w:pPr>
              <w:ind w:left="80"/>
              <w:spacing w:after="0" w:line="139" w:lineRule="exact"/>
              <w:rPr>
                <w:sz w:val="20"/>
                <w:szCs w:val="20"/>
                <w:color w:val="auto"/>
              </w:rPr>
            </w:pPr>
            <w:r>
              <w:rPr>
                <w:rFonts w:ascii="Arial" w:cs="Arial" w:eastAsia="Arial" w:hAnsi="Arial"/>
                <w:sz w:val="14"/>
                <w:szCs w:val="14"/>
                <w:color w:val="auto"/>
              </w:rPr>
              <w:t>Los Angeles, CA Renovation of the center to accommodate a new 39,000 square foot anchor tenant</w:t>
            </w: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6"/>
              </w:rPr>
              <w:t>%</w:t>
            </w: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w:t>
            </w: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w:t>
            </w: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Blvd</w:t>
            </w:r>
          </w:p>
        </w:tc>
        <w:tc>
          <w:tcPr>
            <w:tcW w:w="1080" w:type="dxa"/>
            <w:vAlign w:val="bottom"/>
            <w:shd w:val="clear" w:color="auto" w:fill="CCEEFF"/>
          </w:tcPr>
          <w:p>
            <w:pPr>
              <w:spacing w:after="0"/>
              <w:rPr>
                <w:sz w:val="16"/>
                <w:szCs w:val="16"/>
                <w:color w:val="auto"/>
              </w:rPr>
            </w:pPr>
          </w:p>
        </w:tc>
        <w:tc>
          <w:tcPr>
            <w:tcW w:w="57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80" w:type="dxa"/>
            <w:vAlign w:val="bottom"/>
          </w:tcPr>
          <w:p>
            <w:pPr>
              <w:ind w:left="20"/>
              <w:spacing w:after="0"/>
              <w:rPr>
                <w:sz w:val="20"/>
                <w:szCs w:val="20"/>
                <w:color w:val="auto"/>
              </w:rPr>
            </w:pPr>
            <w:r>
              <w:rPr>
                <w:rFonts w:ascii="Arial" w:cs="Arial" w:eastAsia="Arial" w:hAnsi="Arial"/>
                <w:sz w:val="14"/>
                <w:szCs w:val="14"/>
                <w:color w:val="auto"/>
              </w:rPr>
              <w:t>Melville Mall</w:t>
            </w:r>
          </w:p>
        </w:tc>
        <w:tc>
          <w:tcPr>
            <w:tcW w:w="1080" w:type="dxa"/>
            <w:vAlign w:val="bottom"/>
          </w:tcPr>
          <w:p>
            <w:pPr>
              <w:ind w:left="80"/>
              <w:spacing w:after="0"/>
              <w:rPr>
                <w:sz w:val="20"/>
                <w:szCs w:val="20"/>
                <w:color w:val="auto"/>
              </w:rPr>
            </w:pPr>
            <w:r>
              <w:rPr>
                <w:rFonts w:ascii="Arial" w:cs="Arial" w:eastAsia="Arial" w:hAnsi="Arial"/>
                <w:sz w:val="14"/>
                <w:szCs w:val="14"/>
                <w:color w:val="auto"/>
              </w:rPr>
              <w:t>Huntington, NY</w:t>
            </w:r>
          </w:p>
        </w:tc>
        <w:tc>
          <w:tcPr>
            <w:tcW w:w="5780" w:type="dxa"/>
            <w:vAlign w:val="bottom"/>
          </w:tcPr>
          <w:p>
            <w:pPr>
              <w:ind w:left="40"/>
              <w:spacing w:after="0"/>
              <w:rPr>
                <w:sz w:val="20"/>
                <w:szCs w:val="20"/>
                <w:color w:val="auto"/>
              </w:rPr>
            </w:pPr>
            <w:r>
              <w:rPr>
                <w:rFonts w:ascii="Arial" w:cs="Arial" w:eastAsia="Arial" w:hAnsi="Arial"/>
                <w:sz w:val="14"/>
                <w:szCs w:val="14"/>
                <w:color w:val="auto"/>
                <w:w w:val="96"/>
              </w:rPr>
              <w:t>Development of a new 15,000 square foot pad site consisting of two multi-tenant retail buildings</w:t>
            </w: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92"/>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Sylmar Town Center Sylmar, CA</w:t>
            </w:r>
          </w:p>
        </w:tc>
        <w:tc>
          <w:tcPr>
            <w:tcW w:w="5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Development of a new 3,800 square foot two-tenant pad building</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0"/>
        </w:trPr>
        <w:tc>
          <w:tcPr>
            <w:tcW w:w="8040" w:type="dxa"/>
            <w:vAlign w:val="bottom"/>
            <w:gridSpan w:val="3"/>
          </w:tcPr>
          <w:p>
            <w:pPr>
              <w:ind w:left="340"/>
              <w:spacing w:after="0"/>
              <w:rPr>
                <w:sz w:val="20"/>
                <w:szCs w:val="20"/>
                <w:color w:val="auto"/>
              </w:rPr>
            </w:pPr>
            <w:r>
              <w:rPr>
                <w:rFonts w:ascii="Arial" w:cs="Arial" w:eastAsia="Arial" w:hAnsi="Arial"/>
                <w:sz w:val="14"/>
                <w:szCs w:val="14"/>
                <w:b w:val="1"/>
                <w:bCs w:val="1"/>
                <w:color w:val="auto"/>
              </w:rPr>
              <w:t>Total Project Stabilized in 2021 (3) (5)</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7 %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Active Redevelopment Projects</w:t>
            </w:r>
          </w:p>
        </w:tc>
        <w:tc>
          <w:tcPr>
            <w:tcW w:w="5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260" w:type="dxa"/>
            <w:vAlign w:val="bottom"/>
            <w:gridSpan w:val="2"/>
            <w:vMerge w:val="continue"/>
          </w:tcPr>
          <w:p>
            <w:pPr>
              <w:spacing w:after="0"/>
              <w:rPr>
                <w:sz w:val="24"/>
                <w:szCs w:val="24"/>
                <w:color w:val="auto"/>
              </w:rPr>
            </w:pPr>
          </w:p>
        </w:tc>
        <w:tc>
          <w:tcPr>
            <w:tcW w:w="5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1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Darien Commons</w:t>
            </w:r>
          </w:p>
        </w:tc>
        <w:tc>
          <w:tcPr>
            <w:tcW w:w="108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rPr>
              <w:t>Darien, CT</w:t>
            </w:r>
          </w:p>
        </w:tc>
        <w:tc>
          <w:tcPr>
            <w:tcW w:w="5780" w:type="dxa"/>
            <w:vAlign w:val="bottom"/>
            <w:shd w:val="clear" w:color="auto" w:fill="CCEEFF"/>
          </w:tcPr>
          <w:p>
            <w:pPr>
              <w:ind w:left="40"/>
              <w:spacing w:after="0" w:line="141" w:lineRule="exact"/>
              <w:rPr>
                <w:sz w:val="20"/>
                <w:szCs w:val="20"/>
                <w:color w:val="auto"/>
              </w:rPr>
            </w:pPr>
            <w:r>
              <w:rPr>
                <w:rFonts w:ascii="Arial" w:cs="Arial" w:eastAsia="Arial" w:hAnsi="Arial"/>
                <w:sz w:val="14"/>
                <w:szCs w:val="14"/>
                <w:color w:val="auto"/>
                <w:w w:val="98"/>
              </w:rPr>
              <w:t>Demolition of a 45,000 square foot anchor space to construct 75,000 square feet of new retail</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w w:val="96"/>
              </w:rPr>
              <w:t>%</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$110 -</w:t>
            </w:r>
          </w:p>
        </w:tc>
        <w:tc>
          <w:tcPr>
            <w:tcW w:w="6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$59</w:t>
            </w:r>
          </w:p>
        </w:tc>
        <w:tc>
          <w:tcPr>
            <w:tcW w:w="94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space, 122 rental apartments, and 720 parking spaces</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20"/>
              <w:spacing w:after="0" w:line="135" w:lineRule="exact"/>
              <w:rPr>
                <w:sz w:val="20"/>
                <w:szCs w:val="20"/>
                <w:color w:val="auto"/>
              </w:rPr>
            </w:pPr>
            <w:r>
              <w:rPr>
                <w:rFonts w:ascii="Arial" w:cs="Arial" w:eastAsia="Arial" w:hAnsi="Arial"/>
                <w:sz w:val="14"/>
                <w:szCs w:val="14"/>
                <w:color w:val="auto"/>
              </w:rPr>
              <w:t>CocoWalk (6)</w:t>
            </w:r>
          </w:p>
        </w:tc>
        <w:tc>
          <w:tcPr>
            <w:tcW w:w="1080" w:type="dxa"/>
            <w:vAlign w:val="bottom"/>
          </w:tcPr>
          <w:p>
            <w:pPr>
              <w:ind w:left="80"/>
              <w:spacing w:after="0" w:line="135" w:lineRule="exact"/>
              <w:rPr>
                <w:sz w:val="20"/>
                <w:szCs w:val="20"/>
                <w:color w:val="auto"/>
              </w:rPr>
            </w:pPr>
            <w:r>
              <w:rPr>
                <w:rFonts w:ascii="Arial" w:cs="Arial" w:eastAsia="Arial" w:hAnsi="Arial"/>
                <w:sz w:val="14"/>
                <w:szCs w:val="14"/>
                <w:color w:val="auto"/>
                <w:w w:val="99"/>
              </w:rPr>
              <w:t>Coconut Grove,</w:t>
            </w:r>
          </w:p>
        </w:tc>
        <w:tc>
          <w:tcPr>
            <w:tcW w:w="5780" w:type="dxa"/>
            <w:vAlign w:val="bottom"/>
          </w:tcPr>
          <w:p>
            <w:pPr>
              <w:ind w:left="40"/>
              <w:spacing w:after="0" w:line="135" w:lineRule="exact"/>
              <w:rPr>
                <w:sz w:val="20"/>
                <w:szCs w:val="20"/>
                <w:color w:val="auto"/>
              </w:rPr>
            </w:pPr>
            <w:r>
              <w:rPr>
                <w:rFonts w:ascii="Arial" w:cs="Arial" w:eastAsia="Arial" w:hAnsi="Arial"/>
                <w:sz w:val="14"/>
                <w:szCs w:val="14"/>
                <w:color w:val="auto"/>
              </w:rPr>
              <w:t>Entire shopping center redevelopment to include: demolition of three story east wing of the</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6</w:t>
            </w:r>
          </w:p>
        </w:tc>
        <w:tc>
          <w:tcPr>
            <w:tcW w:w="180" w:type="dxa"/>
            <w:vAlign w:val="bottom"/>
          </w:tcPr>
          <w:p>
            <w:pPr>
              <w:jc w:val="right"/>
              <w:spacing w:after="0" w:line="135" w:lineRule="exact"/>
              <w:rPr>
                <w:sz w:val="20"/>
                <w:szCs w:val="20"/>
                <w:color w:val="auto"/>
              </w:rPr>
            </w:pPr>
            <w:r>
              <w:rPr>
                <w:rFonts w:ascii="Arial" w:cs="Arial" w:eastAsia="Arial" w:hAnsi="Arial"/>
                <w:sz w:val="14"/>
                <w:szCs w:val="14"/>
                <w:color w:val="auto"/>
                <w:w w:val="96"/>
              </w:rPr>
              <w:t>%</w:t>
            </w: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$93 - $97</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$89</w:t>
            </w: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080" w:type="dxa"/>
            <w:vAlign w:val="bottom"/>
          </w:tcPr>
          <w:p>
            <w:pPr>
              <w:ind w:left="80"/>
              <w:spacing w:after="0" w:line="135" w:lineRule="exact"/>
              <w:rPr>
                <w:sz w:val="20"/>
                <w:szCs w:val="20"/>
                <w:color w:val="auto"/>
              </w:rPr>
            </w:pPr>
            <w:r>
              <w:rPr>
                <w:rFonts w:ascii="Arial" w:cs="Arial" w:eastAsia="Arial" w:hAnsi="Arial"/>
                <w:sz w:val="14"/>
                <w:szCs w:val="14"/>
                <w:color w:val="auto"/>
              </w:rPr>
              <w:t>FL</w:t>
            </w:r>
          </w:p>
        </w:tc>
        <w:tc>
          <w:tcPr>
            <w:tcW w:w="5780" w:type="dxa"/>
            <w:vAlign w:val="bottom"/>
          </w:tcPr>
          <w:p>
            <w:pPr>
              <w:ind w:left="40"/>
              <w:spacing w:after="0" w:line="135" w:lineRule="exact"/>
              <w:rPr>
                <w:sz w:val="20"/>
                <w:szCs w:val="20"/>
                <w:color w:val="auto"/>
              </w:rPr>
            </w:pPr>
            <w:r>
              <w:rPr>
                <w:rFonts w:ascii="Arial" w:cs="Arial" w:eastAsia="Arial" w:hAnsi="Arial"/>
                <w:sz w:val="14"/>
                <w:szCs w:val="14"/>
                <w:color w:val="auto"/>
              </w:rPr>
              <w:t>property and construction of a 107,000 square foot 5-story office/retail building with 22,000</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780" w:type="dxa"/>
            <w:vAlign w:val="bottom"/>
          </w:tcPr>
          <w:p>
            <w:pPr>
              <w:ind w:left="40"/>
              <w:spacing w:after="0"/>
              <w:rPr>
                <w:sz w:val="20"/>
                <w:szCs w:val="20"/>
                <w:color w:val="auto"/>
              </w:rPr>
            </w:pPr>
            <w:r>
              <w:rPr>
                <w:rFonts w:ascii="Arial" w:cs="Arial" w:eastAsia="Arial" w:hAnsi="Arial"/>
                <w:sz w:val="14"/>
                <w:szCs w:val="14"/>
                <w:color w:val="auto"/>
              </w:rPr>
              <w:t>square feet of retail; complete renovation of the west wing</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Huntington</w:t>
            </w:r>
          </w:p>
        </w:tc>
        <w:tc>
          <w:tcPr>
            <w:tcW w:w="108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rPr>
              <w:t>Huntington, NY</w:t>
            </w:r>
          </w:p>
        </w:tc>
        <w:tc>
          <w:tcPr>
            <w:tcW w:w="578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color w:val="auto"/>
                <w:w w:val="97"/>
              </w:rPr>
              <w:t>Demolition of the main two level building consisting of 161,000 square feet of anchor and small</w:t>
            </w: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6"/>
              </w:rPr>
              <w:t>%</w:t>
            </w: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$80 - $85</w:t>
            </w: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w:t>
            </w:r>
          </w:p>
        </w:tc>
        <w:tc>
          <w:tcPr>
            <w:tcW w:w="9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2024</w:t>
            </w:r>
          </w:p>
        </w:tc>
        <w:tc>
          <w:tcPr>
            <w:tcW w:w="0" w:type="dxa"/>
            <w:vAlign w:val="bottom"/>
          </w:tcPr>
          <w:p>
            <w:pPr>
              <w:spacing w:after="0"/>
              <w:rPr>
                <w:sz w:val="1"/>
                <w:szCs w:val="1"/>
                <w:color w:val="auto"/>
              </w:rPr>
            </w:pPr>
          </w:p>
        </w:tc>
      </w:tr>
      <w:tr>
        <w:trPr>
          <w:trHeight w:val="135"/>
        </w:trPr>
        <w:tc>
          <w:tcPr>
            <w:tcW w:w="1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5780" w:type="dxa"/>
            <w:vAlign w:val="bottom"/>
            <w:shd w:val="clear" w:color="auto" w:fill="CCEEFF"/>
          </w:tcPr>
          <w:p>
            <w:pPr>
              <w:ind w:left="40"/>
              <w:spacing w:after="0" w:line="135" w:lineRule="exact"/>
              <w:rPr>
                <w:sz w:val="20"/>
                <w:szCs w:val="20"/>
                <w:color w:val="auto"/>
              </w:rPr>
            </w:pPr>
            <w:r>
              <w:rPr>
                <w:rFonts w:ascii="Arial" w:cs="Arial" w:eastAsia="Arial" w:hAnsi="Arial"/>
                <w:sz w:val="14"/>
                <w:szCs w:val="14"/>
                <w:color w:val="auto"/>
                <w:w w:val="98"/>
              </w:rPr>
              <w:t>shop space to construct 102,000 square feet of new ground-level anchor and small shop retail</w:t>
            </w: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space</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80" w:type="dxa"/>
            <w:vAlign w:val="bottom"/>
          </w:tcPr>
          <w:p>
            <w:pPr>
              <w:ind w:left="20"/>
              <w:spacing w:after="0" w:line="135" w:lineRule="exact"/>
              <w:rPr>
                <w:sz w:val="20"/>
                <w:szCs w:val="20"/>
                <w:color w:val="auto"/>
              </w:rPr>
            </w:pPr>
            <w:r>
              <w:rPr>
                <w:rFonts w:ascii="Arial" w:cs="Arial" w:eastAsia="Arial" w:hAnsi="Arial"/>
                <w:sz w:val="14"/>
                <w:szCs w:val="14"/>
                <w:color w:val="auto"/>
              </w:rPr>
              <w:t>Lawrence Park</w:t>
            </w:r>
          </w:p>
        </w:tc>
        <w:tc>
          <w:tcPr>
            <w:tcW w:w="1080" w:type="dxa"/>
            <w:vAlign w:val="bottom"/>
          </w:tcPr>
          <w:p>
            <w:pPr>
              <w:ind w:left="80"/>
              <w:spacing w:after="0" w:line="135" w:lineRule="exact"/>
              <w:rPr>
                <w:sz w:val="20"/>
                <w:szCs w:val="20"/>
                <w:color w:val="auto"/>
              </w:rPr>
            </w:pPr>
            <w:r>
              <w:rPr>
                <w:rFonts w:ascii="Arial" w:cs="Arial" w:eastAsia="Arial" w:hAnsi="Arial"/>
                <w:sz w:val="14"/>
                <w:szCs w:val="14"/>
                <w:color w:val="auto"/>
              </w:rPr>
              <w:t>Broomall, PA</w:t>
            </w:r>
          </w:p>
        </w:tc>
        <w:tc>
          <w:tcPr>
            <w:tcW w:w="5780" w:type="dxa"/>
            <w:vAlign w:val="bottom"/>
          </w:tcPr>
          <w:p>
            <w:pPr>
              <w:ind w:left="40"/>
              <w:spacing w:after="0" w:line="135" w:lineRule="exact"/>
              <w:rPr>
                <w:sz w:val="20"/>
                <w:szCs w:val="20"/>
                <w:color w:val="auto"/>
              </w:rPr>
            </w:pPr>
            <w:r>
              <w:rPr>
                <w:rFonts w:ascii="Arial" w:cs="Arial" w:eastAsia="Arial" w:hAnsi="Arial"/>
                <w:sz w:val="14"/>
                <w:szCs w:val="14"/>
                <w:color w:val="auto"/>
                <w:w w:val="97"/>
              </w:rPr>
              <w:t>Full shopping center redevelopment to include expansion of Main Line Health into vacant lower</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8</w:t>
            </w:r>
          </w:p>
        </w:tc>
        <w:tc>
          <w:tcPr>
            <w:tcW w:w="180" w:type="dxa"/>
            <w:vAlign w:val="bottom"/>
          </w:tcPr>
          <w:p>
            <w:pPr>
              <w:jc w:val="right"/>
              <w:spacing w:after="0" w:line="135" w:lineRule="exact"/>
              <w:rPr>
                <w:sz w:val="20"/>
                <w:szCs w:val="20"/>
                <w:color w:val="auto"/>
              </w:rPr>
            </w:pPr>
            <w:r>
              <w:rPr>
                <w:rFonts w:ascii="Arial" w:cs="Arial" w:eastAsia="Arial" w:hAnsi="Arial"/>
                <w:sz w:val="14"/>
                <w:szCs w:val="14"/>
                <w:color w:val="auto"/>
                <w:w w:val="96"/>
              </w:rPr>
              <w:t>%</w:t>
            </w: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$15</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$10</w:t>
            </w:r>
          </w:p>
        </w:tc>
        <w:tc>
          <w:tcPr>
            <w:tcW w:w="940" w:type="dxa"/>
            <w:vAlign w:val="bottom"/>
          </w:tcPr>
          <w:p>
            <w:pPr>
              <w:jc w:val="center"/>
              <w:spacing w:after="0" w:line="135" w:lineRule="exact"/>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780" w:type="dxa"/>
            <w:vAlign w:val="bottom"/>
          </w:tcPr>
          <w:p>
            <w:pPr>
              <w:ind w:left="40"/>
              <w:spacing w:after="0" w:line="135" w:lineRule="exact"/>
              <w:rPr>
                <w:sz w:val="20"/>
                <w:szCs w:val="20"/>
                <w:color w:val="auto"/>
              </w:rPr>
            </w:pPr>
            <w:r>
              <w:rPr>
                <w:rFonts w:ascii="Arial" w:cs="Arial" w:eastAsia="Arial" w:hAnsi="Arial"/>
                <w:sz w:val="14"/>
                <w:szCs w:val="14"/>
                <w:color w:val="auto"/>
                <w:w w:val="97"/>
              </w:rPr>
              <w:t>level space, creation of 17,800 square feet of small shop space converted from vacated anchor</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780" w:type="dxa"/>
            <w:vAlign w:val="bottom"/>
          </w:tcPr>
          <w:p>
            <w:pPr>
              <w:ind w:left="40"/>
              <w:spacing w:after="0"/>
              <w:rPr>
                <w:sz w:val="20"/>
                <w:szCs w:val="20"/>
                <w:color w:val="auto"/>
              </w:rPr>
            </w:pPr>
            <w:r>
              <w:rPr>
                <w:rFonts w:ascii="Arial" w:cs="Arial" w:eastAsia="Arial" w:hAnsi="Arial"/>
                <w:sz w:val="14"/>
                <w:szCs w:val="14"/>
                <w:color w:val="auto"/>
                <w:w w:val="96"/>
              </w:rPr>
              <w:t>space, a new 2,000 square foot bank pad building, and a façade renovation for the entire center</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Azalea</w:t>
            </w:r>
          </w:p>
        </w:tc>
        <w:tc>
          <w:tcPr>
            <w:tcW w:w="1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Southgate, CA</w:t>
            </w:r>
          </w:p>
        </w:tc>
        <w:tc>
          <w:tcPr>
            <w:tcW w:w="5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Development of a new 3,000 square foot single tenant pad building</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86"/>
        </w:trPr>
        <w:tc>
          <w:tcPr>
            <w:tcW w:w="1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Flourtown</w:t>
            </w:r>
          </w:p>
        </w:tc>
        <w:tc>
          <w:tcPr>
            <w:tcW w:w="10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Flourtown, PA</w:t>
            </w:r>
          </w:p>
        </w:tc>
        <w:tc>
          <w:tcPr>
            <w:tcW w:w="5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Development of a new 2,450 square foot bank pad building</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32"/>
        </w:trPr>
        <w:tc>
          <w:tcPr>
            <w:tcW w:w="8040" w:type="dxa"/>
            <w:vAlign w:val="bottom"/>
            <w:gridSpan w:val="3"/>
            <w:shd w:val="clear" w:color="auto" w:fill="CCEEFF"/>
          </w:tcPr>
          <w:p>
            <w:pPr>
              <w:ind w:left="340"/>
              <w:spacing w:after="0" w:line="132" w:lineRule="exact"/>
              <w:rPr>
                <w:sz w:val="20"/>
                <w:szCs w:val="20"/>
                <w:color w:val="auto"/>
              </w:rPr>
            </w:pPr>
            <w:r>
              <w:rPr>
                <w:rFonts w:ascii="Arial" w:cs="Arial" w:eastAsia="Arial" w:hAnsi="Arial"/>
                <w:sz w:val="14"/>
                <w:szCs w:val="14"/>
                <w:b w:val="1"/>
                <w:bCs w:val="1"/>
                <w:color w:val="auto"/>
              </w:rPr>
              <w:t>Total Active Redevelopment projects (5)</w:t>
            </w:r>
          </w:p>
        </w:tc>
        <w:tc>
          <w:tcPr>
            <w:tcW w:w="84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4"/>
                <w:szCs w:val="14"/>
                <w:b w:val="1"/>
                <w:bCs w:val="1"/>
                <w:color w:val="auto"/>
              </w:rPr>
              <w:t>6 %</w:t>
            </w:r>
          </w:p>
        </w:tc>
        <w:tc>
          <w:tcPr>
            <w:tcW w:w="74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b w:val="1"/>
                <w:bCs w:val="1"/>
                <w:color w:val="auto"/>
              </w:rPr>
              <w:t>$303 -</w:t>
            </w:r>
          </w:p>
        </w:tc>
        <w:tc>
          <w:tcPr>
            <w:tcW w:w="66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b w:val="1"/>
                <w:bCs w:val="1"/>
                <w:color w:val="auto"/>
              </w:rPr>
              <w:t>$167</w:t>
            </w: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7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$322</w:t>
            </w: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gridSpan w:val="3"/>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Active Property Improvement Projects (7)</w:t>
            </w:r>
          </w:p>
        </w:tc>
        <w:tc>
          <w:tcPr>
            <w:tcW w:w="6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180" w:type="dxa"/>
            <w:vAlign w:val="bottom"/>
          </w:tcPr>
          <w:p>
            <w:pPr>
              <w:ind w:left="20"/>
              <w:spacing w:after="0" w:line="115" w:lineRule="exact"/>
              <w:rPr>
                <w:sz w:val="20"/>
                <w:szCs w:val="20"/>
                <w:color w:val="auto"/>
              </w:rPr>
            </w:pPr>
            <w:r>
              <w:rPr>
                <w:rFonts w:ascii="Arial" w:cs="Arial" w:eastAsia="Arial" w:hAnsi="Arial"/>
                <w:sz w:val="13"/>
                <w:szCs w:val="13"/>
                <w:color w:val="auto"/>
              </w:rPr>
              <w:t>Various Properties</w:t>
            </w:r>
          </w:p>
        </w:tc>
        <w:tc>
          <w:tcPr>
            <w:tcW w:w="1080" w:type="dxa"/>
            <w:vAlign w:val="bottom"/>
          </w:tcPr>
          <w:p>
            <w:pPr>
              <w:spacing w:after="0"/>
              <w:rPr>
                <w:sz w:val="10"/>
                <w:szCs w:val="10"/>
                <w:color w:val="auto"/>
              </w:rPr>
            </w:pPr>
          </w:p>
        </w:tc>
        <w:tc>
          <w:tcPr>
            <w:tcW w:w="5780" w:type="dxa"/>
            <w:vAlign w:val="bottom"/>
          </w:tcPr>
          <w:p>
            <w:pPr>
              <w:ind w:left="40"/>
              <w:spacing w:after="0" w:line="115" w:lineRule="exact"/>
              <w:rPr>
                <w:sz w:val="20"/>
                <w:szCs w:val="20"/>
                <w:color w:val="auto"/>
              </w:rPr>
            </w:pPr>
            <w:r>
              <w:rPr>
                <w:rFonts w:ascii="Arial" w:cs="Arial" w:eastAsia="Arial" w:hAnsi="Arial"/>
                <w:sz w:val="13"/>
                <w:szCs w:val="13"/>
                <w:color w:val="auto"/>
              </w:rPr>
              <w:t>Ongoing improvements at 21 properties to better position properties to capture a disproportionate</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6% - 13%</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780" w:type="dxa"/>
            <w:vAlign w:val="bottom"/>
          </w:tcPr>
          <w:p>
            <w:pPr>
              <w:ind w:left="40"/>
              <w:spacing w:after="0"/>
              <w:rPr>
                <w:sz w:val="20"/>
                <w:szCs w:val="20"/>
                <w:color w:val="auto"/>
              </w:rPr>
            </w:pPr>
            <w:r>
              <w:rPr>
                <w:rFonts w:ascii="Arial" w:cs="Arial" w:eastAsia="Arial" w:hAnsi="Arial"/>
                <w:sz w:val="14"/>
                <w:szCs w:val="14"/>
                <w:color w:val="auto"/>
              </w:rPr>
              <w:t>amount of retail demand post-COVID</w:t>
            </w:r>
          </w:p>
        </w:tc>
        <w:tc>
          <w:tcPr>
            <w:tcW w:w="84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right="20" w:hanging="652"/>
        <w:spacing w:after="0" w:line="260" w:lineRule="auto"/>
        <w:tabs>
          <w:tab w:leader="none" w:pos="321"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100" w:hanging="652"/>
        <w:spacing w:after="0" w:line="241" w:lineRule="auto"/>
        <w:tabs>
          <w:tab w:leader="none" w:pos="3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Stabilization is generally the year in which 90%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660" w:right="660" w:hanging="652"/>
        <w:spacing w:after="0" w:line="241" w:lineRule="auto"/>
        <w:tabs>
          <w:tab w:leader="none" w:pos="3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Cost to date and projected cost are net of the proceeds we will receive from our New Market Tax Credit structure. See Note 3 of our December 31, 2019 Form 10-K for additional information.</w:t>
      </w: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right="80" w:hanging="652"/>
        <w:spacing w:after="0" w:line="241" w:lineRule="auto"/>
        <w:tabs>
          <w:tab w:leader="none" w:pos="3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CocoWalk is expected to stabilize during 2022 with a full year of stabilized POI of approximately $11 million in 2023. 2021 generated and 2022 is expected to generate approximately 30% and 75-80%, respectively, of this amount.</w:t>
      </w:r>
    </w:p>
    <w:p>
      <w:pPr>
        <w:ind w:left="660" w:right="120" w:hanging="652"/>
        <w:spacing w:after="0" w:line="246" w:lineRule="auto"/>
        <w:tabs>
          <w:tab w:leader="none" w:pos="3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612"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2021</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Impacts of current environment:</w:t>
      </w:r>
    </w:p>
    <w:p>
      <w:pPr>
        <w:spacing w:after="0" w:line="32" w:lineRule="exact"/>
        <w:rPr>
          <w:sz w:val="20"/>
          <w:szCs w:val="20"/>
          <w:color w:val="auto"/>
        </w:rPr>
      </w:pPr>
    </w:p>
    <w:p>
      <w:pPr>
        <w:ind w:left="20" w:right="100"/>
        <w:spacing w:after="0" w:line="236" w:lineRule="auto"/>
        <w:rPr>
          <w:sz w:val="20"/>
          <w:szCs w:val="20"/>
          <w:color w:val="auto"/>
        </w:rPr>
      </w:pPr>
      <w:r>
        <w:rPr>
          <w:rFonts w:ascii="Arial" w:cs="Arial" w:eastAsia="Arial" w:hAnsi="Arial"/>
          <w:sz w:val="14"/>
          <w:szCs w:val="14"/>
          <w:color w:val="auto"/>
        </w:rPr>
        <w:t>Information provided below reflects management’s best estimate based on current available information, however the completion of construction, final costs, return on investment, and timing of stabilization may be impacted by the current environment, including the impacts of COVID-19 and supply chain disruptions affecting the broader economy.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9"/>
              </w:rPr>
              <w:t>Projected POI Delivered</w:t>
            </w:r>
          </w:p>
        </w:tc>
        <w:tc>
          <w:tcPr>
            <w:tcW w:w="224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3"/>
          </w:tcPr>
          <w:p>
            <w:pPr>
              <w:jc w:val="center"/>
              <w:ind w:right="600"/>
              <w:spacing w:after="0"/>
              <w:rPr>
                <w:sz w:val="20"/>
                <w:szCs w:val="20"/>
                <w:color w:val="auto"/>
              </w:rPr>
            </w:pPr>
            <w:r>
              <w:rPr>
                <w:rFonts w:ascii="Arial" w:cs="Arial" w:eastAsia="Arial" w:hAnsi="Arial"/>
                <w:sz w:val="13"/>
                <w:szCs w:val="13"/>
                <w:b w:val="1"/>
                <w:bCs w:val="1"/>
                <w:color w:val="auto"/>
                <w:w w:val="88"/>
              </w:rPr>
              <w:t>(as a % of Total)</w:t>
            </w:r>
          </w:p>
        </w:tc>
        <w:tc>
          <w:tcPr>
            <w:tcW w:w="224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7"/>
              </w:rPr>
              <w:t>Projected</w:t>
            </w:r>
          </w:p>
        </w:tc>
        <w:tc>
          <w:tcPr>
            <w:tcW w:w="840" w:type="dxa"/>
            <w:vAlign w:val="bottom"/>
          </w:tcPr>
          <w:p>
            <w:pPr>
              <w:jc w:val="center"/>
              <w:ind w:left="54"/>
              <w:spacing w:after="0"/>
              <w:rPr>
                <w:sz w:val="20"/>
                <w:szCs w:val="20"/>
                <w:color w:val="auto"/>
              </w:rPr>
            </w:pPr>
            <w:r>
              <w:rPr>
                <w:rFonts w:ascii="Arial" w:cs="Arial" w:eastAsia="Arial" w:hAnsi="Arial"/>
                <w:sz w:val="13"/>
                <w:szCs w:val="13"/>
                <w:b w:val="1"/>
                <w:bCs w:val="1"/>
                <w:color w:val="auto"/>
                <w:w w:val="89"/>
              </w:rPr>
              <w:t>Total</w:t>
            </w: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Costs to</w:t>
            </w:r>
          </w:p>
        </w:tc>
        <w:tc>
          <w:tcPr>
            <w:tcW w:w="21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8"/>
              </w:rPr>
              <w:t>For Year Ended December 31, (2)</w:t>
            </w:r>
          </w:p>
        </w:tc>
        <w:tc>
          <w:tcPr>
            <w:tcW w:w="2240" w:type="dxa"/>
            <w:vAlign w:val="bottom"/>
          </w:tcPr>
          <w:p>
            <w:pPr>
              <w:spacing w:after="0"/>
              <w:rPr>
                <w:sz w:val="16"/>
                <w:szCs w:val="16"/>
                <w:color w:val="auto"/>
              </w:rPr>
            </w:pPr>
          </w:p>
        </w:tc>
      </w:tr>
      <w:tr>
        <w:trPr>
          <w:trHeight w:val="170"/>
        </w:trPr>
        <w:tc>
          <w:tcPr>
            <w:tcW w:w="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b w:val="1"/>
                <w:bCs w:val="1"/>
                <w:color w:val="auto"/>
              </w:rPr>
              <w:t>Property (1)</w:t>
            </w:r>
          </w:p>
        </w:tc>
        <w:tc>
          <w:tcPr>
            <w:tcW w:w="3160" w:type="dxa"/>
            <w:vAlign w:val="bottom"/>
            <w:gridSpan w:val="4"/>
          </w:tcPr>
          <w:p>
            <w:pPr>
              <w:ind w:left="20"/>
              <w:spacing w:after="0"/>
              <w:rPr>
                <w:sz w:val="20"/>
                <w:szCs w:val="20"/>
                <w:color w:val="auto"/>
              </w:rPr>
            </w:pPr>
            <w:r>
              <w:rPr>
                <w:rFonts w:ascii="Arial" w:cs="Arial" w:eastAsia="Arial" w:hAnsi="Arial"/>
                <w:sz w:val="13"/>
                <w:szCs w:val="13"/>
                <w:b w:val="1"/>
                <w:bCs w:val="1"/>
                <w:color w:val="auto"/>
              </w:rPr>
              <w:t>Opportunity</w:t>
            </w:r>
          </w:p>
        </w:tc>
        <w:tc>
          <w:tcPr>
            <w:tcW w:w="820" w:type="dxa"/>
            <w:vAlign w:val="bottom"/>
          </w:tcPr>
          <w:p>
            <w:pPr>
              <w:jc w:val="center"/>
              <w:ind w:right="14"/>
              <w:spacing w:after="0"/>
              <w:rPr>
                <w:sz w:val="20"/>
                <w:szCs w:val="20"/>
                <w:color w:val="auto"/>
              </w:rPr>
            </w:pPr>
            <w:r>
              <w:rPr>
                <w:rFonts w:ascii="Arial" w:cs="Arial" w:eastAsia="Arial" w:hAnsi="Arial"/>
                <w:sz w:val="13"/>
                <w:szCs w:val="13"/>
                <w:b w:val="1"/>
                <w:bCs w:val="1"/>
                <w:color w:val="auto"/>
                <w:w w:val="98"/>
              </w:rPr>
              <w:t>ROI (2)</w:t>
            </w:r>
          </w:p>
        </w:tc>
        <w:tc>
          <w:tcPr>
            <w:tcW w:w="840" w:type="dxa"/>
            <w:vAlign w:val="bottom"/>
          </w:tcPr>
          <w:p>
            <w:pPr>
              <w:jc w:val="center"/>
              <w:ind w:left="34"/>
              <w:spacing w:after="0"/>
              <w:rPr>
                <w:sz w:val="20"/>
                <w:szCs w:val="20"/>
                <w:color w:val="auto"/>
              </w:rPr>
            </w:pPr>
            <w:r>
              <w:rPr>
                <w:rFonts w:ascii="Arial" w:cs="Arial" w:eastAsia="Arial" w:hAnsi="Arial"/>
                <w:sz w:val="13"/>
                <w:szCs w:val="13"/>
                <w:b w:val="1"/>
                <w:bCs w:val="1"/>
                <w:color w:val="auto"/>
                <w:w w:val="86"/>
              </w:rPr>
              <w:t>Cost (3)</w:t>
            </w:r>
          </w:p>
        </w:tc>
        <w:tc>
          <w:tcPr>
            <w:tcW w:w="9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Date</w:t>
            </w:r>
          </w:p>
        </w:tc>
        <w:tc>
          <w:tcPr>
            <w:tcW w:w="500" w:type="dxa"/>
            <w:vAlign w:val="bottom"/>
            <w:tcBorders>
              <w:top w:val="single" w:sz="8" w:color="auto"/>
            </w:tcBorders>
          </w:tcPr>
          <w:p>
            <w:pPr>
              <w:jc w:val="center"/>
              <w:ind w:left="114"/>
              <w:spacing w:after="0"/>
              <w:rPr>
                <w:sz w:val="20"/>
                <w:szCs w:val="20"/>
                <w:color w:val="auto"/>
              </w:rPr>
            </w:pPr>
            <w:r>
              <w:rPr>
                <w:rFonts w:ascii="Arial" w:cs="Arial" w:eastAsia="Arial" w:hAnsi="Arial"/>
                <w:sz w:val="13"/>
                <w:szCs w:val="13"/>
                <w:b w:val="1"/>
                <w:bCs w:val="1"/>
                <w:color w:val="auto"/>
                <w:w w:val="82"/>
              </w:rPr>
              <w:t>2021</w:t>
            </w:r>
          </w:p>
        </w:tc>
        <w:tc>
          <w:tcPr>
            <w:tcW w:w="820" w:type="dxa"/>
            <w:vAlign w:val="bottom"/>
            <w:tcBorders>
              <w:top w:val="single" w:sz="8" w:color="auto"/>
            </w:tcBorders>
          </w:tcPr>
          <w:p>
            <w:pPr>
              <w:jc w:val="center"/>
              <w:ind w:left="114"/>
              <w:spacing w:after="0"/>
              <w:rPr>
                <w:sz w:val="20"/>
                <w:szCs w:val="20"/>
                <w:color w:val="auto"/>
              </w:rPr>
            </w:pPr>
            <w:r>
              <w:rPr>
                <w:rFonts w:ascii="Arial" w:cs="Arial" w:eastAsia="Arial" w:hAnsi="Arial"/>
                <w:sz w:val="13"/>
                <w:szCs w:val="13"/>
                <w:b w:val="1"/>
                <w:bCs w:val="1"/>
                <w:color w:val="auto"/>
                <w:w w:val="82"/>
              </w:rPr>
              <w:t>2022</w:t>
            </w: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2023</w:t>
            </w:r>
          </w:p>
        </w:tc>
        <w:tc>
          <w:tcPr>
            <w:tcW w:w="100" w:type="dxa"/>
            <w:vAlign w:val="bottom"/>
          </w:tcPr>
          <w:p>
            <w:pPr>
              <w:spacing w:after="0"/>
              <w:rPr>
                <w:sz w:val="14"/>
                <w:szCs w:val="14"/>
                <w:color w:val="auto"/>
              </w:rPr>
            </w:pPr>
          </w:p>
        </w:tc>
        <w:tc>
          <w:tcPr>
            <w:tcW w:w="2240" w:type="dxa"/>
            <w:vAlign w:val="bottom"/>
          </w:tcPr>
          <w:p>
            <w:pPr>
              <w:ind w:left="20"/>
              <w:spacing w:after="0"/>
              <w:rPr>
                <w:sz w:val="20"/>
                <w:szCs w:val="20"/>
                <w:color w:val="auto"/>
              </w:rPr>
            </w:pPr>
            <w:r>
              <w:rPr>
                <w:rFonts w:ascii="Arial" w:cs="Arial" w:eastAsia="Arial" w:hAnsi="Arial"/>
                <w:sz w:val="13"/>
                <w:szCs w:val="13"/>
                <w:b w:val="1"/>
                <w:bCs w:val="1"/>
                <w:color w:val="auto"/>
              </w:rPr>
              <w:t>Expected Opening Timeframe</w:t>
            </w:r>
          </w:p>
        </w:tc>
      </w:tr>
      <w:tr>
        <w:trPr>
          <w:trHeight w:val="121"/>
        </w:trPr>
        <w:tc>
          <w:tcPr>
            <w:tcW w:w="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3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left="34"/>
              <w:spacing w:after="0" w:line="121" w:lineRule="exact"/>
              <w:rPr>
                <w:sz w:val="20"/>
                <w:szCs w:val="20"/>
                <w:color w:val="auto"/>
              </w:rPr>
            </w:pPr>
            <w:r>
              <w:rPr>
                <w:rFonts w:ascii="Arial" w:cs="Arial" w:eastAsia="Arial" w:hAnsi="Arial"/>
                <w:sz w:val="13"/>
                <w:szCs w:val="13"/>
                <w:color w:val="auto"/>
                <w:w w:val="96"/>
              </w:rPr>
              <w:t>(in</w:t>
            </w:r>
          </w:p>
        </w:tc>
        <w:tc>
          <w:tcPr>
            <w:tcW w:w="62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3"/>
                <w:szCs w:val="13"/>
                <w:color w:val="auto"/>
                <w:w w:val="96"/>
              </w:rPr>
              <w:t>(in</w:t>
            </w:r>
          </w:p>
        </w:tc>
        <w:tc>
          <w:tcPr>
            <w:tcW w:w="3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40" w:type="dxa"/>
            <w:vAlign w:val="bottom"/>
            <w:tcBorders>
              <w:top w:val="single" w:sz="8" w:color="auto"/>
            </w:tcBorders>
          </w:tcPr>
          <w:p>
            <w:pPr>
              <w:spacing w:after="0"/>
              <w:rPr>
                <w:sz w:val="10"/>
                <w:szCs w:val="10"/>
                <w:color w:val="auto"/>
              </w:rPr>
            </w:pPr>
          </w:p>
        </w:tc>
      </w:tr>
      <w:tr>
        <w:trPr>
          <w:trHeight w:val="16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jc w:val="center"/>
              <w:ind w:left="34"/>
              <w:spacing w:after="0"/>
              <w:rPr>
                <w:sz w:val="20"/>
                <w:szCs w:val="20"/>
                <w:color w:val="auto"/>
              </w:rPr>
            </w:pPr>
            <w:r>
              <w:rPr>
                <w:rFonts w:ascii="Arial" w:cs="Arial" w:eastAsia="Arial" w:hAnsi="Arial"/>
                <w:sz w:val="13"/>
                <w:szCs w:val="13"/>
                <w:color w:val="auto"/>
                <w:w w:val="96"/>
              </w:rPr>
              <w:t>millions)</w:t>
            </w:r>
          </w:p>
        </w:tc>
        <w:tc>
          <w:tcPr>
            <w:tcW w:w="920" w:type="dxa"/>
            <w:vAlign w:val="bottom"/>
            <w:gridSpan w:val="2"/>
          </w:tcPr>
          <w:p>
            <w:pPr>
              <w:jc w:val="center"/>
              <w:ind w:right="320"/>
              <w:spacing w:after="0"/>
              <w:rPr>
                <w:sz w:val="20"/>
                <w:szCs w:val="20"/>
                <w:color w:val="auto"/>
              </w:rPr>
            </w:pPr>
            <w:r>
              <w:rPr>
                <w:rFonts w:ascii="Arial" w:cs="Arial" w:eastAsia="Arial" w:hAnsi="Arial"/>
                <w:sz w:val="13"/>
                <w:szCs w:val="13"/>
                <w:color w:val="auto"/>
                <w:w w:val="92"/>
              </w:rPr>
              <w:t>millions)</w:t>
            </w: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4300" w:type="dxa"/>
            <w:vAlign w:val="bottom"/>
            <w:gridSpan w:val="5"/>
          </w:tcPr>
          <w:p>
            <w:pPr>
              <w:spacing w:after="0"/>
              <w:rPr>
                <w:sz w:val="20"/>
                <w:szCs w:val="20"/>
                <w:color w:val="auto"/>
              </w:rPr>
            </w:pPr>
            <w:r>
              <w:rPr>
                <w:rFonts w:ascii="Arial" w:cs="Arial" w:eastAsia="Arial" w:hAnsi="Arial"/>
                <w:sz w:val="14"/>
                <w:szCs w:val="14"/>
                <w:b w:val="1"/>
                <w:bCs w:val="1"/>
                <w:color w:val="auto"/>
              </w:rPr>
              <w:t xml:space="preserve">Assembly Row, </w:t>
            </w:r>
            <w:r>
              <w:rPr>
                <w:rFonts w:ascii="Arial" w:cs="Arial" w:eastAsia="Arial" w:hAnsi="Arial"/>
                <w:sz w:val="14"/>
                <w:szCs w:val="14"/>
                <w:b w:val="1"/>
                <w:bCs w:val="1"/>
                <w:i w:val="1"/>
                <w:iCs w:val="1"/>
                <w:color w:val="auto"/>
              </w:rPr>
              <w:t>Somerville, MA</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Phase III</w:t>
            </w:r>
          </w:p>
        </w:tc>
        <w:tc>
          <w:tcPr>
            <w:tcW w:w="3160" w:type="dxa"/>
            <w:vAlign w:val="bottom"/>
            <w:gridSpan w:val="4"/>
            <w:shd w:val="clear" w:color="auto" w:fill="CCEEFF"/>
          </w:tcPr>
          <w:p>
            <w:pPr>
              <w:ind w:left="60"/>
              <w:spacing w:after="0" w:line="138" w:lineRule="exact"/>
              <w:rPr>
                <w:sz w:val="20"/>
                <w:szCs w:val="20"/>
                <w:color w:val="auto"/>
              </w:rPr>
            </w:pPr>
            <w:r>
              <w:rPr>
                <w:rFonts w:ascii="Arial" w:cs="Arial" w:eastAsia="Arial" w:hAnsi="Arial"/>
                <w:sz w:val="13"/>
                <w:szCs w:val="13"/>
                <w:color w:val="auto"/>
              </w:rPr>
              <w:t>- 277,000 SF of office</w:t>
            </w:r>
          </w:p>
        </w:tc>
        <w:tc>
          <w:tcPr>
            <w:tcW w:w="820" w:type="dxa"/>
            <w:vAlign w:val="bottom"/>
            <w:shd w:val="clear" w:color="auto" w:fill="CCEEFF"/>
          </w:tcPr>
          <w:p>
            <w:pPr>
              <w:jc w:val="center"/>
              <w:ind w:right="14"/>
              <w:spacing w:after="0" w:line="138" w:lineRule="exact"/>
              <w:rPr>
                <w:sz w:val="20"/>
                <w:szCs w:val="20"/>
                <w:color w:val="auto"/>
              </w:rPr>
            </w:pPr>
            <w:r>
              <w:rPr>
                <w:rFonts w:ascii="Arial" w:cs="Arial" w:eastAsia="Arial" w:hAnsi="Arial"/>
                <w:sz w:val="13"/>
                <w:szCs w:val="13"/>
                <w:color w:val="auto"/>
                <w:w w:val="95"/>
              </w:rPr>
              <w:t>6%</w:t>
            </w:r>
          </w:p>
        </w:tc>
        <w:tc>
          <w:tcPr>
            <w:tcW w:w="840" w:type="dxa"/>
            <w:vAlign w:val="bottom"/>
            <w:shd w:val="clear" w:color="auto" w:fill="CCEEFF"/>
          </w:tcPr>
          <w:p>
            <w:pPr>
              <w:jc w:val="center"/>
              <w:ind w:left="34"/>
              <w:spacing w:after="0" w:line="138" w:lineRule="exact"/>
              <w:rPr>
                <w:sz w:val="20"/>
                <w:szCs w:val="20"/>
                <w:color w:val="auto"/>
              </w:rPr>
            </w:pPr>
            <w:r>
              <w:rPr>
                <w:rFonts w:ascii="Arial" w:cs="Arial" w:eastAsia="Arial" w:hAnsi="Arial"/>
                <w:sz w:val="13"/>
                <w:szCs w:val="13"/>
                <w:color w:val="auto"/>
                <w:w w:val="93"/>
              </w:rPr>
              <w:t>$465 - 485</w:t>
            </w:r>
          </w:p>
        </w:tc>
        <w:tc>
          <w:tcPr>
            <w:tcW w:w="620" w:type="dxa"/>
            <w:vAlign w:val="bottom"/>
            <w:shd w:val="clear" w:color="auto" w:fill="CCEEFF"/>
          </w:tcPr>
          <w:p>
            <w:pPr>
              <w:ind w:left="160"/>
              <w:spacing w:after="0" w:line="138" w:lineRule="exact"/>
              <w:rPr>
                <w:sz w:val="20"/>
                <w:szCs w:val="20"/>
                <w:color w:val="auto"/>
              </w:rPr>
            </w:pPr>
            <w:r>
              <w:rPr>
                <w:rFonts w:ascii="Arial" w:cs="Arial" w:eastAsia="Arial" w:hAnsi="Arial"/>
                <w:sz w:val="13"/>
                <w:szCs w:val="13"/>
                <w:color w:val="auto"/>
              </w:rPr>
              <w:t>$454</w:t>
            </w: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jc w:val="center"/>
              <w:ind w:left="114"/>
              <w:spacing w:after="0" w:line="138" w:lineRule="exact"/>
              <w:rPr>
                <w:sz w:val="20"/>
                <w:szCs w:val="20"/>
                <w:color w:val="auto"/>
              </w:rPr>
            </w:pPr>
            <w:r>
              <w:rPr>
                <w:rFonts w:ascii="Arial" w:cs="Arial" w:eastAsia="Arial" w:hAnsi="Arial"/>
                <w:sz w:val="13"/>
                <w:szCs w:val="13"/>
                <w:color w:val="auto"/>
                <w:w w:val="92"/>
              </w:rPr>
              <w:t>23%</w:t>
            </w:r>
          </w:p>
        </w:tc>
        <w:tc>
          <w:tcPr>
            <w:tcW w:w="820" w:type="dxa"/>
            <w:vAlign w:val="bottom"/>
            <w:shd w:val="clear" w:color="auto" w:fill="CCEEFF"/>
          </w:tcPr>
          <w:p>
            <w:pPr>
              <w:jc w:val="center"/>
              <w:ind w:left="114"/>
              <w:spacing w:after="0" w:line="138" w:lineRule="exact"/>
              <w:rPr>
                <w:sz w:val="20"/>
                <w:szCs w:val="20"/>
                <w:color w:val="auto"/>
              </w:rPr>
            </w:pPr>
            <w:r>
              <w:rPr>
                <w:rFonts w:ascii="Arial" w:cs="Arial" w:eastAsia="Arial" w:hAnsi="Arial"/>
                <w:sz w:val="13"/>
                <w:szCs w:val="13"/>
                <w:color w:val="auto"/>
                <w:w w:val="92"/>
              </w:rPr>
              <w:t>65 - 75%</w:t>
            </w:r>
          </w:p>
        </w:tc>
        <w:tc>
          <w:tcPr>
            <w:tcW w:w="6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90 - 95%</w:t>
            </w:r>
          </w:p>
        </w:tc>
        <w:tc>
          <w:tcPr>
            <w:tcW w:w="100" w:type="dxa"/>
            <w:vAlign w:val="bottom"/>
            <w:shd w:val="clear" w:color="auto" w:fill="CCEEFF"/>
          </w:tcPr>
          <w:p>
            <w:pPr>
              <w:spacing w:after="0"/>
              <w:rPr>
                <w:sz w:val="11"/>
                <w:szCs w:val="11"/>
                <w:color w:val="auto"/>
              </w:rPr>
            </w:pPr>
          </w:p>
        </w:tc>
        <w:tc>
          <w:tcPr>
            <w:tcW w:w="224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244,000 square feet of office space</w:t>
            </w:r>
          </w:p>
        </w:tc>
      </w:tr>
      <w:tr>
        <w:trPr>
          <w:trHeight w:val="172"/>
        </w:trPr>
        <w:tc>
          <w:tcPr>
            <w:tcW w:w="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leased</w:t>
            </w:r>
          </w:p>
        </w:tc>
      </w:tr>
      <w:tr>
        <w:trPr>
          <w:trHeight w:val="189"/>
        </w:trPr>
        <w:tc>
          <w:tcPr>
            <w:tcW w:w="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160" w:type="dxa"/>
            <w:vAlign w:val="bottom"/>
            <w:gridSpan w:val="4"/>
            <w:shd w:val="clear" w:color="auto" w:fill="CCEEFF"/>
          </w:tcPr>
          <w:p>
            <w:pPr>
              <w:ind w:left="60"/>
              <w:spacing w:after="0"/>
              <w:rPr>
                <w:sz w:val="20"/>
                <w:szCs w:val="20"/>
                <w:color w:val="auto"/>
              </w:rPr>
            </w:pPr>
            <w:r>
              <w:rPr>
                <w:rFonts w:ascii="Arial" w:cs="Arial" w:eastAsia="Arial" w:hAnsi="Arial"/>
                <w:sz w:val="13"/>
                <w:szCs w:val="13"/>
                <w:color w:val="auto"/>
              </w:rPr>
              <w:t>- 500 residential units</w:t>
            </w:r>
          </w:p>
        </w:tc>
        <w:tc>
          <w:tcPr>
            <w:tcW w:w="8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First retail tenants opened in Q2 2021</w:t>
            </w:r>
          </w:p>
        </w:tc>
      </w:tr>
      <w:tr>
        <w:trPr>
          <w:trHeight w:val="203"/>
        </w:trPr>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160" w:type="dxa"/>
            <w:vAlign w:val="bottom"/>
            <w:gridSpan w:val="4"/>
            <w:shd w:val="clear" w:color="auto" w:fill="CCEEFF"/>
          </w:tcPr>
          <w:p>
            <w:pPr>
              <w:ind w:left="60"/>
              <w:spacing w:after="0"/>
              <w:rPr>
                <w:sz w:val="20"/>
                <w:szCs w:val="20"/>
                <w:color w:val="auto"/>
              </w:rPr>
            </w:pPr>
            <w:r>
              <w:rPr>
                <w:rFonts w:ascii="Arial" w:cs="Arial" w:eastAsia="Arial" w:hAnsi="Arial"/>
                <w:sz w:val="13"/>
                <w:szCs w:val="13"/>
                <w:color w:val="auto"/>
              </w:rPr>
              <w:t>- 56,000 SF of retail</w:t>
            </w: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Residential units delivered Q3/Q4 2021</w:t>
            </w:r>
          </w:p>
        </w:tc>
      </w:tr>
      <w:tr>
        <w:trPr>
          <w:trHeight w:val="175"/>
        </w:trPr>
        <w:tc>
          <w:tcPr>
            <w:tcW w:w="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Future Phases</w:t>
            </w:r>
          </w:p>
        </w:tc>
        <w:tc>
          <w:tcPr>
            <w:tcW w:w="3160" w:type="dxa"/>
            <w:vAlign w:val="bottom"/>
            <w:gridSpan w:val="4"/>
          </w:tcPr>
          <w:p>
            <w:pPr>
              <w:ind w:left="60"/>
              <w:spacing w:after="0"/>
              <w:rPr>
                <w:sz w:val="20"/>
                <w:szCs w:val="20"/>
                <w:color w:val="auto"/>
              </w:rPr>
            </w:pPr>
            <w:r>
              <w:rPr>
                <w:rFonts w:ascii="Arial" w:cs="Arial" w:eastAsia="Arial" w:hAnsi="Arial"/>
                <w:sz w:val="13"/>
                <w:szCs w:val="13"/>
                <w:color w:val="auto"/>
              </w:rPr>
              <w:t>- 1.5M SF of commercial</w:t>
            </w:r>
          </w:p>
        </w:tc>
        <w:tc>
          <w:tcPr>
            <w:tcW w:w="820" w:type="dxa"/>
            <w:vAlign w:val="bottom"/>
          </w:tcPr>
          <w:p>
            <w:pPr>
              <w:jc w:val="center"/>
              <w:ind w:right="14"/>
              <w:spacing w:after="0"/>
              <w:rPr>
                <w:sz w:val="20"/>
                <w:szCs w:val="20"/>
                <w:color w:val="auto"/>
              </w:rPr>
            </w:pPr>
            <w:r>
              <w:rPr>
                <w:rFonts w:ascii="Arial" w:cs="Arial" w:eastAsia="Arial" w:hAnsi="Arial"/>
                <w:sz w:val="13"/>
                <w:szCs w:val="13"/>
                <w:color w:val="auto"/>
                <w:w w:val="99"/>
              </w:rPr>
              <w:t>TBD</w:t>
            </w:r>
          </w:p>
        </w:tc>
        <w:tc>
          <w:tcPr>
            <w:tcW w:w="840" w:type="dxa"/>
            <w:vAlign w:val="bottom"/>
          </w:tcPr>
          <w:p>
            <w:pPr>
              <w:jc w:val="center"/>
              <w:ind w:left="54"/>
              <w:spacing w:after="0"/>
              <w:rPr>
                <w:sz w:val="20"/>
                <w:szCs w:val="20"/>
                <w:color w:val="auto"/>
              </w:rPr>
            </w:pPr>
            <w:r>
              <w:rPr>
                <w:rFonts w:ascii="Arial" w:cs="Arial" w:eastAsia="Arial" w:hAnsi="Arial"/>
                <w:sz w:val="13"/>
                <w:szCs w:val="13"/>
                <w:color w:val="auto"/>
              </w:rPr>
              <w:t>TBD</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160" w:type="dxa"/>
            <w:vAlign w:val="bottom"/>
            <w:gridSpan w:val="4"/>
          </w:tcPr>
          <w:p>
            <w:pPr>
              <w:ind w:left="60"/>
              <w:spacing w:after="0"/>
              <w:rPr>
                <w:sz w:val="20"/>
                <w:szCs w:val="20"/>
                <w:color w:val="auto"/>
              </w:rPr>
            </w:pPr>
            <w:r>
              <w:rPr>
                <w:rFonts w:ascii="Arial" w:cs="Arial" w:eastAsia="Arial" w:hAnsi="Arial"/>
                <w:sz w:val="13"/>
                <w:szCs w:val="13"/>
                <w:color w:val="auto"/>
              </w:rPr>
              <w:t>- 326 residential units</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08"/>
        </w:trPr>
        <w:tc>
          <w:tcPr>
            <w:tcW w:w="20" w:type="dxa"/>
            <w:vAlign w:val="bottom"/>
          </w:tcPr>
          <w:p>
            <w:pPr>
              <w:spacing w:after="0"/>
              <w:rPr>
                <w:sz w:val="9"/>
                <w:szCs w:val="9"/>
                <w:color w:val="auto"/>
              </w:rPr>
            </w:pPr>
          </w:p>
        </w:tc>
        <w:tc>
          <w:tcPr>
            <w:tcW w:w="15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149"/>
        </w:trPr>
        <w:tc>
          <w:tcPr>
            <w:tcW w:w="20" w:type="dxa"/>
            <w:vAlign w:val="bottom"/>
            <w:shd w:val="clear" w:color="auto" w:fill="CCEEFF"/>
          </w:tcPr>
          <w:p>
            <w:pPr>
              <w:spacing w:after="0"/>
              <w:rPr>
                <w:sz w:val="12"/>
                <w:szCs w:val="12"/>
                <w:color w:val="auto"/>
              </w:rPr>
            </w:pPr>
          </w:p>
        </w:tc>
        <w:tc>
          <w:tcPr>
            <w:tcW w:w="4300" w:type="dxa"/>
            <w:vAlign w:val="bottom"/>
            <w:gridSpan w:val="5"/>
            <w:shd w:val="clear" w:color="auto" w:fill="CCEEFF"/>
          </w:tcPr>
          <w:p>
            <w:pPr>
              <w:spacing w:after="0"/>
              <w:rPr>
                <w:sz w:val="20"/>
                <w:szCs w:val="20"/>
                <w:color w:val="auto"/>
              </w:rPr>
            </w:pPr>
            <w:r>
              <w:rPr>
                <w:rFonts w:ascii="Arial" w:cs="Arial" w:eastAsia="Arial" w:hAnsi="Arial"/>
                <w:sz w:val="13"/>
                <w:szCs w:val="13"/>
                <w:b w:val="1"/>
                <w:bCs w:val="1"/>
                <w:color w:val="auto"/>
              </w:rPr>
              <w:t xml:space="preserve">Pike &amp; Rose, </w:t>
            </w:r>
            <w:r>
              <w:rPr>
                <w:rFonts w:ascii="Arial" w:cs="Arial" w:eastAsia="Arial" w:hAnsi="Arial"/>
                <w:sz w:val="13"/>
                <w:szCs w:val="13"/>
                <w:b w:val="1"/>
                <w:bCs w:val="1"/>
                <w:i w:val="1"/>
                <w:iCs w:val="1"/>
                <w:color w:val="auto"/>
              </w:rPr>
              <w:t>North Bethesda, MD</w:t>
            </w: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Phase III</w:t>
            </w:r>
          </w:p>
        </w:tc>
        <w:tc>
          <w:tcPr>
            <w:tcW w:w="3160" w:type="dxa"/>
            <w:vAlign w:val="bottom"/>
            <w:gridSpan w:val="4"/>
          </w:tcPr>
          <w:p>
            <w:pPr>
              <w:ind w:left="60"/>
              <w:spacing w:after="0"/>
              <w:rPr>
                <w:sz w:val="20"/>
                <w:szCs w:val="20"/>
                <w:color w:val="auto"/>
              </w:rPr>
            </w:pPr>
            <w:r>
              <w:rPr>
                <w:rFonts w:ascii="Arial" w:cs="Arial" w:eastAsia="Arial" w:hAnsi="Arial"/>
                <w:sz w:val="13"/>
                <w:szCs w:val="13"/>
                <w:color w:val="auto"/>
              </w:rPr>
              <w:t>- 212,000 SF of office</w:t>
            </w:r>
          </w:p>
        </w:tc>
        <w:tc>
          <w:tcPr>
            <w:tcW w:w="820" w:type="dxa"/>
            <w:vAlign w:val="bottom"/>
          </w:tcPr>
          <w:p>
            <w:pPr>
              <w:jc w:val="center"/>
              <w:ind w:right="14"/>
              <w:spacing w:after="0"/>
              <w:rPr>
                <w:sz w:val="20"/>
                <w:szCs w:val="20"/>
                <w:color w:val="auto"/>
              </w:rPr>
            </w:pPr>
            <w:r>
              <w:rPr>
                <w:rFonts w:ascii="Arial" w:cs="Arial" w:eastAsia="Arial" w:hAnsi="Arial"/>
                <w:sz w:val="13"/>
                <w:szCs w:val="13"/>
                <w:color w:val="auto"/>
                <w:w w:val="98"/>
              </w:rPr>
              <w:t>6-7%</w:t>
            </w:r>
          </w:p>
        </w:tc>
        <w:tc>
          <w:tcPr>
            <w:tcW w:w="840" w:type="dxa"/>
            <w:vAlign w:val="bottom"/>
          </w:tcPr>
          <w:p>
            <w:pPr>
              <w:jc w:val="center"/>
              <w:ind w:left="34"/>
              <w:spacing w:after="0"/>
              <w:rPr>
                <w:sz w:val="20"/>
                <w:szCs w:val="20"/>
                <w:color w:val="auto"/>
              </w:rPr>
            </w:pPr>
            <w:r>
              <w:rPr>
                <w:rFonts w:ascii="Arial" w:cs="Arial" w:eastAsia="Arial" w:hAnsi="Arial"/>
                <w:sz w:val="13"/>
                <w:szCs w:val="13"/>
                <w:color w:val="auto"/>
                <w:w w:val="93"/>
              </w:rPr>
              <w:t>$128 - 135</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 xml:space="preserve">$120    </w:t>
            </w:r>
            <w:r>
              <w:rPr>
                <w:rFonts w:ascii="Arial" w:cs="Arial" w:eastAsia="Arial" w:hAnsi="Arial"/>
                <w:sz w:val="12"/>
                <w:szCs w:val="12"/>
                <w:color w:val="auto"/>
              </w:rPr>
              <w:t>(4)</w:t>
            </w:r>
          </w:p>
        </w:tc>
        <w:tc>
          <w:tcPr>
            <w:tcW w:w="500" w:type="dxa"/>
            <w:vAlign w:val="bottom"/>
          </w:tcPr>
          <w:p>
            <w:pPr>
              <w:jc w:val="center"/>
              <w:ind w:left="114"/>
              <w:spacing w:after="0"/>
              <w:rPr>
                <w:sz w:val="20"/>
                <w:szCs w:val="20"/>
                <w:color w:val="auto"/>
              </w:rPr>
            </w:pPr>
            <w:r>
              <w:rPr>
                <w:rFonts w:ascii="Arial" w:cs="Arial" w:eastAsia="Arial" w:hAnsi="Arial"/>
                <w:sz w:val="13"/>
                <w:szCs w:val="13"/>
                <w:color w:val="auto"/>
                <w:w w:val="92"/>
              </w:rPr>
              <w:t>25%</w:t>
            </w:r>
          </w:p>
        </w:tc>
        <w:tc>
          <w:tcPr>
            <w:tcW w:w="820" w:type="dxa"/>
            <w:vAlign w:val="bottom"/>
          </w:tcPr>
          <w:p>
            <w:pPr>
              <w:jc w:val="center"/>
              <w:ind w:left="114"/>
              <w:spacing w:after="0"/>
              <w:rPr>
                <w:sz w:val="20"/>
                <w:szCs w:val="20"/>
                <w:color w:val="auto"/>
              </w:rPr>
            </w:pPr>
            <w:r>
              <w:rPr>
                <w:rFonts w:ascii="Arial" w:cs="Arial" w:eastAsia="Arial" w:hAnsi="Arial"/>
                <w:sz w:val="13"/>
                <w:szCs w:val="13"/>
                <w:color w:val="auto"/>
                <w:w w:val="92"/>
              </w:rPr>
              <w:t>60 - 70%</w:t>
            </w:r>
          </w:p>
        </w:tc>
        <w:tc>
          <w:tcPr>
            <w:tcW w:w="3020" w:type="dxa"/>
            <w:vAlign w:val="bottom"/>
            <w:gridSpan w:val="3"/>
          </w:tcPr>
          <w:p>
            <w:pPr>
              <w:ind w:left="100"/>
              <w:spacing w:after="0"/>
              <w:rPr>
                <w:sz w:val="20"/>
                <w:szCs w:val="20"/>
                <w:color w:val="auto"/>
              </w:rPr>
            </w:pPr>
            <w:r>
              <w:rPr>
                <w:rFonts w:ascii="Arial" w:cs="Arial" w:eastAsia="Arial" w:hAnsi="Arial"/>
                <w:sz w:val="13"/>
                <w:szCs w:val="13"/>
                <w:color w:val="auto"/>
              </w:rPr>
              <w:t>90 - 95%   Opening began in Q3 2020</w:t>
            </w: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60" w:type="dxa"/>
            <w:vAlign w:val="bottom"/>
            <w:gridSpan w:val="4"/>
          </w:tcPr>
          <w:p>
            <w:pPr>
              <w:ind w:left="60"/>
              <w:spacing w:after="0"/>
              <w:rPr>
                <w:sz w:val="20"/>
                <w:szCs w:val="20"/>
                <w:color w:val="auto"/>
              </w:rPr>
            </w:pPr>
            <w:r>
              <w:rPr>
                <w:rFonts w:ascii="Arial" w:cs="Arial" w:eastAsia="Arial" w:hAnsi="Arial"/>
                <w:sz w:val="13"/>
                <w:szCs w:val="13"/>
                <w:color w:val="auto"/>
              </w:rPr>
              <w:t>- 7,000 SF of retail</w:t>
            </w: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ind w:left="20"/>
              <w:spacing w:after="0"/>
              <w:rPr>
                <w:sz w:val="20"/>
                <w:szCs w:val="20"/>
                <w:color w:val="auto"/>
              </w:rPr>
            </w:pPr>
            <w:r>
              <w:rPr>
                <w:rFonts w:ascii="Arial" w:cs="Arial" w:eastAsia="Arial" w:hAnsi="Arial"/>
                <w:sz w:val="13"/>
                <w:szCs w:val="13"/>
                <w:color w:val="auto"/>
              </w:rPr>
              <w:t>195,000 square feet leased</w:t>
            </w:r>
          </w:p>
        </w:tc>
      </w:tr>
      <w:tr>
        <w:trPr>
          <w:trHeight w:val="182"/>
        </w:trPr>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Phase IV</w:t>
            </w:r>
          </w:p>
        </w:tc>
        <w:tc>
          <w:tcPr>
            <w:tcW w:w="3160" w:type="dxa"/>
            <w:vAlign w:val="bottom"/>
            <w:gridSpan w:val="4"/>
            <w:shd w:val="clear" w:color="auto" w:fill="CCEEFF"/>
          </w:tcPr>
          <w:p>
            <w:pPr>
              <w:ind w:left="60"/>
              <w:spacing w:after="0"/>
              <w:rPr>
                <w:sz w:val="20"/>
                <w:szCs w:val="20"/>
                <w:color w:val="auto"/>
              </w:rPr>
            </w:pPr>
            <w:r>
              <w:rPr>
                <w:rFonts w:ascii="Arial" w:cs="Arial" w:eastAsia="Arial" w:hAnsi="Arial"/>
                <w:sz w:val="13"/>
                <w:szCs w:val="13"/>
                <w:color w:val="auto"/>
              </w:rPr>
              <w:t>- 266,000 SF of office</w:t>
            </w:r>
          </w:p>
        </w:tc>
        <w:tc>
          <w:tcPr>
            <w:tcW w:w="820" w:type="dxa"/>
            <w:vAlign w:val="bottom"/>
            <w:shd w:val="clear" w:color="auto" w:fill="CCEEFF"/>
          </w:tcPr>
          <w:p>
            <w:pPr>
              <w:jc w:val="center"/>
              <w:ind w:right="14"/>
              <w:spacing w:after="0"/>
              <w:rPr>
                <w:sz w:val="20"/>
                <w:szCs w:val="20"/>
                <w:color w:val="auto"/>
              </w:rPr>
            </w:pPr>
            <w:r>
              <w:rPr>
                <w:rFonts w:ascii="Arial" w:cs="Arial" w:eastAsia="Arial" w:hAnsi="Arial"/>
                <w:sz w:val="13"/>
                <w:szCs w:val="13"/>
                <w:color w:val="auto"/>
                <w:w w:val="95"/>
              </w:rPr>
              <w:t>6%</w:t>
            </w:r>
          </w:p>
        </w:tc>
        <w:tc>
          <w:tcPr>
            <w:tcW w:w="840" w:type="dxa"/>
            <w:vAlign w:val="bottom"/>
            <w:shd w:val="clear" w:color="auto" w:fill="CCEEFF"/>
          </w:tcPr>
          <w:p>
            <w:pPr>
              <w:jc w:val="center"/>
              <w:ind w:left="34"/>
              <w:spacing w:after="0"/>
              <w:rPr>
                <w:sz w:val="20"/>
                <w:szCs w:val="20"/>
                <w:color w:val="auto"/>
              </w:rPr>
            </w:pPr>
            <w:r>
              <w:rPr>
                <w:rFonts w:ascii="Arial" w:cs="Arial" w:eastAsia="Arial" w:hAnsi="Arial"/>
                <w:sz w:val="13"/>
                <w:szCs w:val="13"/>
                <w:color w:val="auto"/>
                <w:w w:val="93"/>
              </w:rPr>
              <w:t>$185 - 200</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$29</w:t>
            </w: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center"/>
              <w:ind w:left="9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center"/>
              <w:ind w:left="114"/>
              <w:spacing w:after="0"/>
              <w:rPr>
                <w:sz w:val="20"/>
                <w:szCs w:val="20"/>
                <w:color w:val="auto"/>
              </w:rPr>
            </w:pPr>
            <w:r>
              <w:rPr>
                <w:rFonts w:ascii="Arial" w:cs="Arial" w:eastAsia="Arial" w:hAnsi="Arial"/>
                <w:sz w:val="13"/>
                <w:szCs w:val="13"/>
                <w:color w:val="auto"/>
                <w:w w:val="91"/>
              </w:rPr>
              <w:t>—</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w:t>
            </w:r>
          </w:p>
        </w:tc>
        <w:tc>
          <w:tcPr>
            <w:tcW w:w="2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105,000 SF of office space pre-leased</w:t>
            </w:r>
          </w:p>
        </w:tc>
      </w:tr>
      <w:tr>
        <w:trPr>
          <w:trHeight w:val="203"/>
        </w:trPr>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160" w:type="dxa"/>
            <w:vAlign w:val="bottom"/>
            <w:gridSpan w:val="4"/>
            <w:shd w:val="clear" w:color="auto" w:fill="CCEEFF"/>
          </w:tcPr>
          <w:p>
            <w:pPr>
              <w:ind w:left="60"/>
              <w:spacing w:after="0"/>
              <w:rPr>
                <w:sz w:val="20"/>
                <w:szCs w:val="20"/>
                <w:color w:val="auto"/>
              </w:rPr>
            </w:pPr>
            <w:r>
              <w:rPr>
                <w:rFonts w:ascii="Arial" w:cs="Arial" w:eastAsia="Arial" w:hAnsi="Arial"/>
                <w:sz w:val="13"/>
                <w:szCs w:val="13"/>
                <w:color w:val="auto"/>
              </w:rPr>
              <w:t>- 10,000 SF of retail</w:t>
            </w: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Future Phases</w:t>
            </w:r>
          </w:p>
        </w:tc>
        <w:tc>
          <w:tcPr>
            <w:tcW w:w="3160" w:type="dxa"/>
            <w:vAlign w:val="bottom"/>
            <w:gridSpan w:val="4"/>
          </w:tcPr>
          <w:p>
            <w:pPr>
              <w:ind w:left="60"/>
              <w:spacing w:after="0"/>
              <w:rPr>
                <w:sz w:val="20"/>
                <w:szCs w:val="20"/>
                <w:color w:val="auto"/>
              </w:rPr>
            </w:pPr>
            <w:r>
              <w:rPr>
                <w:rFonts w:ascii="Arial" w:cs="Arial" w:eastAsia="Arial" w:hAnsi="Arial"/>
                <w:sz w:val="13"/>
                <w:szCs w:val="13"/>
                <w:color w:val="auto"/>
              </w:rPr>
              <w:t>- 530,000 SF of commercial</w:t>
            </w:r>
          </w:p>
        </w:tc>
        <w:tc>
          <w:tcPr>
            <w:tcW w:w="820" w:type="dxa"/>
            <w:vAlign w:val="bottom"/>
          </w:tcPr>
          <w:p>
            <w:pPr>
              <w:jc w:val="center"/>
              <w:ind w:right="14"/>
              <w:spacing w:after="0"/>
              <w:rPr>
                <w:sz w:val="20"/>
                <w:szCs w:val="20"/>
                <w:color w:val="auto"/>
              </w:rPr>
            </w:pPr>
            <w:r>
              <w:rPr>
                <w:rFonts w:ascii="Arial" w:cs="Arial" w:eastAsia="Arial" w:hAnsi="Arial"/>
                <w:sz w:val="13"/>
                <w:szCs w:val="13"/>
                <w:color w:val="auto"/>
                <w:w w:val="99"/>
              </w:rPr>
              <w:t>TBD</w:t>
            </w:r>
          </w:p>
        </w:tc>
        <w:tc>
          <w:tcPr>
            <w:tcW w:w="840" w:type="dxa"/>
            <w:vAlign w:val="bottom"/>
          </w:tcPr>
          <w:p>
            <w:pPr>
              <w:jc w:val="center"/>
              <w:ind w:left="54"/>
              <w:spacing w:after="0"/>
              <w:rPr>
                <w:sz w:val="20"/>
                <w:szCs w:val="20"/>
                <w:color w:val="auto"/>
              </w:rPr>
            </w:pPr>
            <w:r>
              <w:rPr>
                <w:rFonts w:ascii="Arial" w:cs="Arial" w:eastAsia="Arial" w:hAnsi="Arial"/>
                <w:sz w:val="13"/>
                <w:szCs w:val="13"/>
                <w:color w:val="auto"/>
              </w:rPr>
              <w:t>TBD</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160" w:type="dxa"/>
            <w:vAlign w:val="bottom"/>
            <w:gridSpan w:val="4"/>
          </w:tcPr>
          <w:p>
            <w:pPr>
              <w:ind w:left="60"/>
              <w:spacing w:after="0"/>
              <w:rPr>
                <w:sz w:val="20"/>
                <w:szCs w:val="20"/>
                <w:color w:val="auto"/>
              </w:rPr>
            </w:pPr>
            <w:r>
              <w:rPr>
                <w:rFonts w:ascii="Arial" w:cs="Arial" w:eastAsia="Arial" w:hAnsi="Arial"/>
                <w:sz w:val="13"/>
                <w:szCs w:val="13"/>
                <w:color w:val="auto"/>
              </w:rPr>
              <w:t>- 741 residential units</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08"/>
        </w:trPr>
        <w:tc>
          <w:tcPr>
            <w:tcW w:w="20" w:type="dxa"/>
            <w:vAlign w:val="bottom"/>
          </w:tcPr>
          <w:p>
            <w:pPr>
              <w:spacing w:after="0"/>
              <w:rPr>
                <w:sz w:val="9"/>
                <w:szCs w:val="9"/>
                <w:color w:val="auto"/>
              </w:rPr>
            </w:pPr>
          </w:p>
        </w:tc>
        <w:tc>
          <w:tcPr>
            <w:tcW w:w="15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148"/>
        </w:trPr>
        <w:tc>
          <w:tcPr>
            <w:tcW w:w="20" w:type="dxa"/>
            <w:vAlign w:val="bottom"/>
            <w:shd w:val="clear" w:color="auto" w:fill="CCEEFF"/>
          </w:tcPr>
          <w:p>
            <w:pPr>
              <w:spacing w:after="0"/>
              <w:rPr>
                <w:sz w:val="12"/>
                <w:szCs w:val="12"/>
                <w:color w:val="auto"/>
              </w:rPr>
            </w:pPr>
          </w:p>
        </w:tc>
        <w:tc>
          <w:tcPr>
            <w:tcW w:w="4300" w:type="dxa"/>
            <w:vAlign w:val="bottom"/>
            <w:gridSpan w:val="5"/>
            <w:shd w:val="clear" w:color="auto" w:fill="CCEEFF"/>
          </w:tcPr>
          <w:p>
            <w:pPr>
              <w:spacing w:after="0"/>
              <w:rPr>
                <w:sz w:val="20"/>
                <w:szCs w:val="20"/>
                <w:color w:val="auto"/>
              </w:rPr>
            </w:pPr>
            <w:r>
              <w:rPr>
                <w:rFonts w:ascii="Arial" w:cs="Arial" w:eastAsia="Arial" w:hAnsi="Arial"/>
                <w:sz w:val="13"/>
                <w:szCs w:val="13"/>
                <w:b w:val="1"/>
                <w:bCs w:val="1"/>
                <w:color w:val="auto"/>
              </w:rPr>
              <w:t xml:space="preserve">Santana Row, </w:t>
            </w:r>
            <w:r>
              <w:rPr>
                <w:rFonts w:ascii="Arial" w:cs="Arial" w:eastAsia="Arial" w:hAnsi="Arial"/>
                <w:sz w:val="13"/>
                <w:szCs w:val="13"/>
                <w:b w:val="1"/>
                <w:bCs w:val="1"/>
                <w:i w:val="1"/>
                <w:iCs w:val="1"/>
                <w:color w:val="auto"/>
              </w:rPr>
              <w:t>San Jose, CA</w:t>
            </w: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Santana West</w:t>
            </w:r>
          </w:p>
        </w:tc>
        <w:tc>
          <w:tcPr>
            <w:tcW w:w="3160" w:type="dxa"/>
            <w:vAlign w:val="bottom"/>
            <w:gridSpan w:val="4"/>
          </w:tcPr>
          <w:p>
            <w:pPr>
              <w:ind w:left="20"/>
              <w:spacing w:after="0"/>
              <w:rPr>
                <w:sz w:val="20"/>
                <w:szCs w:val="20"/>
                <w:color w:val="auto"/>
              </w:rPr>
            </w:pPr>
            <w:r>
              <w:rPr>
                <w:rFonts w:ascii="Arial" w:cs="Arial" w:eastAsia="Arial" w:hAnsi="Arial"/>
                <w:sz w:val="13"/>
                <w:szCs w:val="13"/>
                <w:color w:val="auto"/>
              </w:rPr>
              <w:t>- 376,000 SF of office</w:t>
            </w:r>
          </w:p>
        </w:tc>
        <w:tc>
          <w:tcPr>
            <w:tcW w:w="820" w:type="dxa"/>
            <w:vAlign w:val="bottom"/>
          </w:tcPr>
          <w:p>
            <w:pPr>
              <w:jc w:val="center"/>
              <w:ind w:right="14"/>
              <w:spacing w:after="0"/>
              <w:rPr>
                <w:sz w:val="20"/>
                <w:szCs w:val="20"/>
                <w:color w:val="auto"/>
              </w:rPr>
            </w:pPr>
            <w:r>
              <w:rPr>
                <w:rFonts w:ascii="Arial" w:cs="Arial" w:eastAsia="Arial" w:hAnsi="Arial"/>
                <w:sz w:val="13"/>
                <w:szCs w:val="13"/>
                <w:color w:val="auto"/>
                <w:w w:val="98"/>
              </w:rPr>
              <w:t>6-7%</w:t>
            </w:r>
          </w:p>
        </w:tc>
        <w:tc>
          <w:tcPr>
            <w:tcW w:w="840" w:type="dxa"/>
            <w:vAlign w:val="bottom"/>
          </w:tcPr>
          <w:p>
            <w:pPr>
              <w:jc w:val="center"/>
              <w:ind w:left="34"/>
              <w:spacing w:after="0"/>
              <w:rPr>
                <w:sz w:val="20"/>
                <w:szCs w:val="20"/>
                <w:color w:val="auto"/>
              </w:rPr>
            </w:pPr>
            <w:r>
              <w:rPr>
                <w:rFonts w:ascii="Arial" w:cs="Arial" w:eastAsia="Arial" w:hAnsi="Arial"/>
                <w:sz w:val="13"/>
                <w:szCs w:val="13"/>
                <w:color w:val="auto"/>
                <w:w w:val="93"/>
              </w:rPr>
              <w:t>$250 - 270</w:t>
            </w:r>
          </w:p>
        </w:tc>
        <w:tc>
          <w:tcPr>
            <w:tcW w:w="620" w:type="dxa"/>
            <w:vAlign w:val="bottom"/>
          </w:tcPr>
          <w:p>
            <w:pPr>
              <w:ind w:left="160"/>
              <w:spacing w:after="0"/>
              <w:rPr>
                <w:sz w:val="20"/>
                <w:szCs w:val="20"/>
                <w:color w:val="auto"/>
              </w:rPr>
            </w:pPr>
            <w:r>
              <w:rPr>
                <w:rFonts w:ascii="Arial" w:cs="Arial" w:eastAsia="Arial" w:hAnsi="Arial"/>
                <w:sz w:val="13"/>
                <w:szCs w:val="13"/>
                <w:color w:val="auto"/>
              </w:rPr>
              <w:t>$193</w:t>
            </w:r>
          </w:p>
        </w:tc>
        <w:tc>
          <w:tcPr>
            <w:tcW w:w="300" w:type="dxa"/>
            <w:vAlign w:val="bottom"/>
          </w:tcPr>
          <w:p>
            <w:pPr>
              <w:spacing w:after="0"/>
              <w:rPr>
                <w:sz w:val="15"/>
                <w:szCs w:val="15"/>
                <w:color w:val="auto"/>
              </w:rPr>
            </w:pPr>
          </w:p>
        </w:tc>
        <w:tc>
          <w:tcPr>
            <w:tcW w:w="500" w:type="dxa"/>
            <w:vAlign w:val="bottom"/>
          </w:tcPr>
          <w:p>
            <w:pPr>
              <w:jc w:val="center"/>
              <w:ind w:left="94"/>
              <w:spacing w:after="0"/>
              <w:rPr>
                <w:sz w:val="20"/>
                <w:szCs w:val="20"/>
                <w:color w:val="auto"/>
              </w:rPr>
            </w:pPr>
            <w:r>
              <w:rPr>
                <w:rFonts w:ascii="Arial" w:cs="Arial" w:eastAsia="Arial" w:hAnsi="Arial"/>
                <w:sz w:val="13"/>
                <w:szCs w:val="13"/>
                <w:color w:val="auto"/>
              </w:rPr>
              <w:t>—</w:t>
            </w:r>
          </w:p>
        </w:tc>
        <w:tc>
          <w:tcPr>
            <w:tcW w:w="820" w:type="dxa"/>
            <w:vAlign w:val="bottom"/>
          </w:tcPr>
          <w:p>
            <w:pPr>
              <w:jc w:val="center"/>
              <w:ind w:left="114"/>
              <w:spacing w:after="0"/>
              <w:rPr>
                <w:sz w:val="20"/>
                <w:szCs w:val="20"/>
                <w:color w:val="auto"/>
              </w:rPr>
            </w:pPr>
            <w:r>
              <w:rPr>
                <w:rFonts w:ascii="Arial" w:cs="Arial" w:eastAsia="Arial" w:hAnsi="Arial"/>
                <w:sz w:val="13"/>
                <w:szCs w:val="13"/>
                <w:color w:val="auto"/>
                <w:w w:val="91"/>
              </w:rPr>
              <w:t>—</w:t>
            </w:r>
          </w:p>
        </w:tc>
        <w:tc>
          <w:tcPr>
            <w:tcW w:w="780" w:type="dxa"/>
            <w:vAlign w:val="bottom"/>
            <w:gridSpan w:val="2"/>
          </w:tcPr>
          <w:p>
            <w:pPr>
              <w:ind w:left="200"/>
              <w:spacing w:after="0"/>
              <w:rPr>
                <w:sz w:val="20"/>
                <w:szCs w:val="20"/>
                <w:color w:val="auto"/>
              </w:rPr>
            </w:pPr>
            <w:r>
              <w:rPr>
                <w:rFonts w:ascii="Arial" w:cs="Arial" w:eastAsia="Arial" w:hAnsi="Arial"/>
                <w:sz w:val="13"/>
                <w:szCs w:val="13"/>
                <w:color w:val="auto"/>
              </w:rPr>
              <w:t>TBD</w:t>
            </w:r>
          </w:p>
        </w:tc>
        <w:tc>
          <w:tcPr>
            <w:tcW w:w="2240" w:type="dxa"/>
            <w:vAlign w:val="bottom"/>
          </w:tcPr>
          <w:p>
            <w:pPr>
              <w:spacing w:after="0"/>
              <w:rPr>
                <w:sz w:val="15"/>
                <w:szCs w:val="15"/>
                <w:color w:val="auto"/>
              </w:rPr>
            </w:pPr>
          </w:p>
        </w:tc>
      </w:tr>
      <w:tr>
        <w:trPr>
          <w:trHeight w:val="182"/>
        </w:trPr>
        <w:tc>
          <w:tcPr>
            <w:tcW w:w="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rPr>
              <w:t>Future Phases</w:t>
            </w:r>
          </w:p>
        </w:tc>
        <w:tc>
          <w:tcPr>
            <w:tcW w:w="316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- 321,000 SF of commercial</w:t>
            </w:r>
          </w:p>
        </w:tc>
        <w:tc>
          <w:tcPr>
            <w:tcW w:w="820" w:type="dxa"/>
            <w:vAlign w:val="bottom"/>
            <w:shd w:val="clear" w:color="auto" w:fill="CCEEFF"/>
          </w:tcPr>
          <w:p>
            <w:pPr>
              <w:jc w:val="center"/>
              <w:ind w:right="14"/>
              <w:spacing w:after="0"/>
              <w:rPr>
                <w:sz w:val="20"/>
                <w:szCs w:val="20"/>
                <w:color w:val="auto"/>
              </w:rPr>
            </w:pPr>
            <w:r>
              <w:rPr>
                <w:rFonts w:ascii="Arial" w:cs="Arial" w:eastAsia="Arial" w:hAnsi="Arial"/>
                <w:sz w:val="13"/>
                <w:szCs w:val="13"/>
                <w:color w:val="auto"/>
                <w:w w:val="99"/>
              </w:rPr>
              <w:t>TBD</w:t>
            </w:r>
          </w:p>
        </w:tc>
        <w:tc>
          <w:tcPr>
            <w:tcW w:w="840" w:type="dxa"/>
            <w:vAlign w:val="bottom"/>
            <w:shd w:val="clear" w:color="auto" w:fill="CCEEFF"/>
          </w:tcPr>
          <w:p>
            <w:pPr>
              <w:jc w:val="center"/>
              <w:ind w:left="54"/>
              <w:spacing w:after="0"/>
              <w:rPr>
                <w:sz w:val="20"/>
                <w:szCs w:val="20"/>
                <w:color w:val="auto"/>
              </w:rPr>
            </w:pPr>
            <w:r>
              <w:rPr>
                <w:rFonts w:ascii="Arial" w:cs="Arial" w:eastAsia="Arial" w:hAnsi="Arial"/>
                <w:sz w:val="13"/>
                <w:szCs w:val="13"/>
                <w:color w:val="auto"/>
              </w:rPr>
              <w:t>TBD</w:t>
            </w: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16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- 395 residential units</w:t>
            </w:r>
          </w:p>
        </w:tc>
        <w:tc>
          <w:tcPr>
            <w:tcW w:w="8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16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w w:val="99"/>
              </w:rPr>
              <w:t>- 604,000 SF of commercial across from Santana Row</w:t>
            </w: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49" w:lineRule="exact"/>
        <w:rPr>
          <w:sz w:val="20"/>
          <w:szCs w:val="20"/>
          <w:color w:val="auto"/>
        </w:rPr>
      </w:pPr>
    </w:p>
    <w:p>
      <w:pPr>
        <w:ind w:left="260" w:right="600" w:hanging="234"/>
        <w:spacing w:after="0" w:line="236" w:lineRule="auto"/>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Anticipated opening dates, total cost, and projected return on investment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17"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2"/>
          <w:szCs w:val="12"/>
          <w:color w:val="auto"/>
        </w:rPr>
        <w:t>Projected ROI for development projects reflects the unleveraged Property Operating Income (POI) generated by the development and is calculated as POI divided by cost. Projected POI delivered</w:t>
      </w:r>
    </w:p>
    <w:p>
      <w:pPr>
        <w:spacing w:after="0" w:line="9" w:lineRule="exact"/>
        <w:rPr>
          <w:rFonts w:ascii="Arial" w:cs="Arial" w:eastAsia="Arial" w:hAnsi="Arial"/>
          <w:sz w:val="13"/>
          <w:szCs w:val="13"/>
          <w:color w:val="auto"/>
        </w:rPr>
      </w:pPr>
    </w:p>
    <w:p>
      <w:pPr>
        <w:ind w:left="260" w:hanging="234"/>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straight-line rent.</w:t>
      </w:r>
    </w:p>
    <w:p>
      <w:pPr>
        <w:spacing w:after="0" w:line="25"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Projected costs for Assembly Row and Pike &amp; Rose include an allocation of infrastructure costs for the entire project. Phase I of Santana West includes an allocation of infrastructure for the</w:t>
      </w:r>
    </w:p>
    <w:p>
      <w:pPr>
        <w:ind w:left="260" w:hanging="234"/>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Santana West site.</w:t>
      </w:r>
    </w:p>
    <w:p>
      <w:pPr>
        <w:spacing w:after="0" w:line="27" w:lineRule="exact"/>
        <w:rPr>
          <w:rFonts w:ascii="Arial" w:cs="Arial" w:eastAsia="Arial" w:hAnsi="Arial"/>
          <w:sz w:val="13"/>
          <w:szCs w:val="13"/>
          <w:color w:val="auto"/>
        </w:rPr>
      </w:pPr>
    </w:p>
    <w:p>
      <w:pPr>
        <w:ind w:left="260" w:right="480" w:hanging="234"/>
        <w:spacing w:after="0" w:line="253" w:lineRule="auto"/>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Federal Realty Investment Trust is leasing 45,000 square feet of office space at a market rent in Pike &amp; Rose Phase III delivered in August 2020. Revenue related to this rent will be eliminated in the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814"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Future Redevelopment Opportunities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2021</w:t>
      </w:r>
    </w:p>
    <w:p>
      <w:pPr>
        <w:spacing w:after="0" w:line="189" w:lineRule="exact"/>
        <w:rPr>
          <w:sz w:val="20"/>
          <w:szCs w:val="20"/>
          <w:color w:val="auto"/>
        </w:rPr>
      </w:pPr>
    </w:p>
    <w:p>
      <w:pPr>
        <w:ind w:left="20" w:right="40"/>
        <w:spacing w:after="0" w:line="243" w:lineRule="auto"/>
        <w:rPr>
          <w:sz w:val="20"/>
          <w:szCs w:val="20"/>
          <w:color w:val="auto"/>
        </w:rPr>
      </w:pPr>
      <w:r>
        <w:rPr>
          <w:rFonts w:ascii="Arial" w:cs="Arial" w:eastAsia="Arial" w:hAnsi="Arial"/>
          <w:sz w:val="13"/>
          <w:szCs w:val="13"/>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172" w:lineRule="exact"/>
        <w:rPr>
          <w:sz w:val="20"/>
          <w:szCs w:val="20"/>
          <w:color w:val="auto"/>
        </w:rPr>
      </w:pPr>
    </w:p>
    <w:p>
      <w:pPr>
        <w:ind w:left="20" w:right="760"/>
        <w:spacing w:after="0" w:line="245"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Escondido Promenade</w:t>
            </w:r>
          </w:p>
        </w:tc>
        <w:tc>
          <w:tcPr>
            <w:tcW w:w="2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Escondido, CA</w:t>
            </w:r>
          </w:p>
        </w:tc>
        <w:tc>
          <w:tcPr>
            <w:tcW w:w="2240" w:type="dxa"/>
            <w:vAlign w:val="bottom"/>
            <w:shd w:val="clear" w:color="auto" w:fill="CCEEFF"/>
          </w:tcPr>
          <w:p>
            <w:pPr>
              <w:ind w:left="540"/>
              <w:spacing w:after="0"/>
              <w:rPr>
                <w:sz w:val="20"/>
                <w:szCs w:val="20"/>
                <w:color w:val="auto"/>
              </w:rPr>
            </w:pPr>
            <w:r>
              <w:rPr>
                <w:rFonts w:ascii="Arial" w:cs="Arial" w:eastAsia="Arial" w:hAnsi="Arial"/>
                <w:sz w:val="16"/>
                <w:szCs w:val="16"/>
                <w:b w:val="1"/>
                <w:bCs w:val="1"/>
                <w:color w:val="auto"/>
              </w:rPr>
              <w:t>Pan Am</w:t>
            </w:r>
          </w:p>
        </w:tc>
        <w:tc>
          <w:tcPr>
            <w:tcW w:w="4660" w:type="dxa"/>
            <w:vAlign w:val="bottom"/>
            <w:shd w:val="clear" w:color="auto" w:fill="CCEEFF"/>
          </w:tcPr>
          <w:p>
            <w:pPr>
              <w:ind w:left="860"/>
              <w:spacing w:after="0"/>
              <w:rPr>
                <w:sz w:val="20"/>
                <w:szCs w:val="20"/>
                <w:color w:val="auto"/>
              </w:rPr>
            </w:pPr>
            <w:r>
              <w:rPr>
                <w:rFonts w:ascii="Arial" w:cs="Arial" w:eastAsia="Arial" w:hAnsi="Arial"/>
                <w:sz w:val="16"/>
                <w:szCs w:val="16"/>
                <w:color w:val="auto"/>
              </w:rPr>
              <w:t>Fairfax, VA</w:t>
            </w:r>
          </w:p>
        </w:tc>
      </w:tr>
      <w:tr>
        <w:trPr>
          <w:trHeight w:val="213"/>
        </w:trPr>
        <w:tc>
          <w:tcPr>
            <w:tcW w:w="2280" w:type="dxa"/>
            <w:vAlign w:val="bottom"/>
          </w:tcPr>
          <w:p>
            <w:pPr>
              <w:ind w:left="420"/>
              <w:spacing w:after="0"/>
              <w:rPr>
                <w:sz w:val="20"/>
                <w:szCs w:val="20"/>
                <w:color w:val="auto"/>
              </w:rPr>
            </w:pPr>
            <w:r>
              <w:rPr>
                <w:rFonts w:ascii="Arial" w:cs="Arial" w:eastAsia="Arial" w:hAnsi="Arial"/>
                <w:sz w:val="16"/>
                <w:szCs w:val="16"/>
                <w:b w:val="1"/>
                <w:bCs w:val="1"/>
                <w:color w:val="auto"/>
              </w:rPr>
              <w:t>Fresh Meadows</w:t>
            </w:r>
          </w:p>
        </w:tc>
        <w:tc>
          <w:tcPr>
            <w:tcW w:w="2020" w:type="dxa"/>
            <w:vAlign w:val="bottom"/>
          </w:tcPr>
          <w:p>
            <w:pPr>
              <w:ind w:left="300"/>
              <w:spacing w:after="0"/>
              <w:rPr>
                <w:sz w:val="20"/>
                <w:szCs w:val="20"/>
                <w:color w:val="auto"/>
              </w:rPr>
            </w:pPr>
            <w:r>
              <w:rPr>
                <w:rFonts w:ascii="Arial" w:cs="Arial" w:eastAsia="Arial" w:hAnsi="Arial"/>
                <w:sz w:val="16"/>
                <w:szCs w:val="16"/>
                <w:color w:val="auto"/>
              </w:rPr>
              <w:t>Queens, NY</w:t>
            </w:r>
          </w:p>
        </w:tc>
        <w:tc>
          <w:tcPr>
            <w:tcW w:w="2240" w:type="dxa"/>
            <w:vAlign w:val="bottom"/>
          </w:tcPr>
          <w:p>
            <w:pPr>
              <w:ind w:left="540"/>
              <w:spacing w:after="0"/>
              <w:rPr>
                <w:sz w:val="20"/>
                <w:szCs w:val="20"/>
                <w:color w:val="auto"/>
              </w:rPr>
            </w:pPr>
            <w:r>
              <w:rPr>
                <w:rFonts w:ascii="Arial" w:cs="Arial" w:eastAsia="Arial" w:hAnsi="Arial"/>
                <w:sz w:val="16"/>
                <w:szCs w:val="16"/>
                <w:b w:val="1"/>
                <w:bCs w:val="1"/>
                <w:color w:val="auto"/>
              </w:rPr>
              <w:t>Pike 7 Plaza</w:t>
            </w:r>
          </w:p>
        </w:tc>
        <w:tc>
          <w:tcPr>
            <w:tcW w:w="4660" w:type="dxa"/>
            <w:vAlign w:val="bottom"/>
          </w:tcPr>
          <w:p>
            <w:pPr>
              <w:ind w:left="860"/>
              <w:spacing w:after="0"/>
              <w:rPr>
                <w:sz w:val="20"/>
                <w:szCs w:val="20"/>
                <w:color w:val="auto"/>
              </w:rPr>
            </w:pPr>
            <w:r>
              <w:rPr>
                <w:rFonts w:ascii="Arial" w:cs="Arial" w:eastAsia="Arial" w:hAnsi="Arial"/>
                <w:sz w:val="16"/>
                <w:szCs w:val="16"/>
                <w:color w:val="auto"/>
              </w:rPr>
              <w:t>Vienna, VA</w:t>
            </w:r>
          </w:p>
        </w:tc>
      </w:tr>
      <w:tr>
        <w:trPr>
          <w:trHeight w:val="219"/>
        </w:trPr>
        <w:tc>
          <w:tcPr>
            <w:tcW w:w="22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Mercer Mall</w:t>
            </w:r>
          </w:p>
        </w:tc>
        <w:tc>
          <w:tcPr>
            <w:tcW w:w="2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Lawrenceville, NJ</w:t>
            </w:r>
          </w:p>
        </w:tc>
        <w:tc>
          <w:tcPr>
            <w:tcW w:w="2240" w:type="dxa"/>
            <w:vAlign w:val="bottom"/>
            <w:shd w:val="clear" w:color="auto" w:fill="CCEEFF"/>
          </w:tcPr>
          <w:p>
            <w:pPr>
              <w:spacing w:after="0"/>
              <w:rPr>
                <w:sz w:val="19"/>
                <w:szCs w:val="19"/>
                <w:color w:val="auto"/>
              </w:rPr>
            </w:pPr>
          </w:p>
        </w:tc>
        <w:tc>
          <w:tcPr>
            <w:tcW w:w="4660" w:type="dxa"/>
            <w:vAlign w:val="bottom"/>
            <w:shd w:val="clear" w:color="auto" w:fill="CCEEFF"/>
          </w:tcPr>
          <w:p>
            <w:pPr>
              <w:spacing w:after="0"/>
              <w:rPr>
                <w:sz w:val="19"/>
                <w:szCs w:val="19"/>
                <w:color w:val="auto"/>
              </w:rPr>
            </w:pPr>
          </w:p>
        </w:tc>
      </w:tr>
    </w:tbl>
    <w:p>
      <w:pPr>
        <w:spacing w:after="0" w:line="216" w:lineRule="exact"/>
        <w:rPr>
          <w:sz w:val="20"/>
          <w:szCs w:val="20"/>
          <w:color w:val="auto"/>
        </w:rPr>
      </w:pPr>
    </w:p>
    <w:p>
      <w:pPr>
        <w:ind w:left="20" w:right="120"/>
        <w:spacing w:after="0" w:line="245"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and/or to convert other existing uses into more productive uses for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-237490</wp:posOffset>
            </wp:positionV>
            <wp:extent cx="7115175"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3"/>
        </w:trPr>
        <w:tc>
          <w:tcPr>
            <w:tcW w:w="2140" w:type="dxa"/>
            <w:vAlign w:val="bottom"/>
          </w:tcPr>
          <w:p>
            <w:pPr>
              <w:ind w:left="420"/>
              <w:spacing w:after="0"/>
              <w:rPr>
                <w:sz w:val="20"/>
                <w:szCs w:val="20"/>
                <w:color w:val="auto"/>
              </w:rPr>
            </w:pPr>
            <w:r>
              <w:rPr>
                <w:rFonts w:ascii="Arial" w:cs="Arial" w:eastAsia="Arial" w:hAnsi="Arial"/>
                <w:sz w:val="16"/>
                <w:szCs w:val="16"/>
                <w:b w:val="1"/>
                <w:bCs w:val="1"/>
                <w:color w:val="auto"/>
              </w:rPr>
              <w:t>Barracks Road</w:t>
            </w:r>
          </w:p>
        </w:tc>
        <w:tc>
          <w:tcPr>
            <w:tcW w:w="2200" w:type="dxa"/>
            <w:vAlign w:val="bottom"/>
          </w:tcPr>
          <w:p>
            <w:pPr>
              <w:ind w:left="440"/>
              <w:spacing w:after="0"/>
              <w:rPr>
                <w:sz w:val="20"/>
                <w:szCs w:val="20"/>
                <w:color w:val="auto"/>
              </w:rPr>
            </w:pPr>
            <w:r>
              <w:rPr>
                <w:rFonts w:ascii="Arial" w:cs="Arial" w:eastAsia="Arial" w:hAnsi="Arial"/>
                <w:sz w:val="16"/>
                <w:szCs w:val="16"/>
                <w:color w:val="auto"/>
              </w:rPr>
              <w:t>Charlottesville, VA</w:t>
            </w:r>
          </w:p>
        </w:tc>
        <w:tc>
          <w:tcPr>
            <w:tcW w:w="2540" w:type="dxa"/>
            <w:vAlign w:val="bottom"/>
          </w:tcPr>
          <w:p>
            <w:pPr>
              <w:ind w:left="500"/>
              <w:spacing w:after="0"/>
              <w:rPr>
                <w:sz w:val="20"/>
                <w:szCs w:val="20"/>
                <w:color w:val="auto"/>
              </w:rPr>
            </w:pPr>
            <w:r>
              <w:rPr>
                <w:rFonts w:ascii="Arial" w:cs="Arial" w:eastAsia="Arial" w:hAnsi="Arial"/>
                <w:sz w:val="16"/>
                <w:szCs w:val="16"/>
                <w:b w:val="1"/>
                <w:bCs w:val="1"/>
                <w:color w:val="auto"/>
              </w:rPr>
              <w:t>Grossmont Center</w:t>
            </w:r>
          </w:p>
        </w:tc>
        <w:tc>
          <w:tcPr>
            <w:tcW w:w="4320" w:type="dxa"/>
            <w:vAlign w:val="bottom"/>
          </w:tcPr>
          <w:p>
            <w:pPr>
              <w:ind w:left="520"/>
              <w:spacing w:after="0"/>
              <w:rPr>
                <w:sz w:val="20"/>
                <w:szCs w:val="20"/>
                <w:color w:val="auto"/>
              </w:rPr>
            </w:pPr>
            <w:r>
              <w:rPr>
                <w:rFonts w:ascii="Arial" w:cs="Arial" w:eastAsia="Arial" w:hAnsi="Arial"/>
                <w:sz w:val="16"/>
                <w:szCs w:val="16"/>
                <w:color w:val="auto"/>
              </w:rPr>
              <w:t>La Mesa, CA</w:t>
            </w:r>
          </w:p>
        </w:tc>
      </w:tr>
      <w:tr>
        <w:trPr>
          <w:trHeight w:val="219"/>
        </w:trPr>
        <w:tc>
          <w:tcPr>
            <w:tcW w:w="214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Bethesda Row</w:t>
            </w:r>
          </w:p>
        </w:tc>
        <w:tc>
          <w:tcPr>
            <w:tcW w:w="2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Bethesda, MD</w:t>
            </w:r>
          </w:p>
        </w:tc>
        <w:tc>
          <w:tcPr>
            <w:tcW w:w="254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Hastings Ranch Plaza</w:t>
            </w:r>
          </w:p>
        </w:tc>
        <w:tc>
          <w:tcPr>
            <w:tcW w:w="43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Pasadena, CA</w:t>
            </w:r>
          </w:p>
        </w:tc>
      </w:tr>
      <w:tr>
        <w:trPr>
          <w:trHeight w:val="213"/>
        </w:trPr>
        <w:tc>
          <w:tcPr>
            <w:tcW w:w="2140" w:type="dxa"/>
            <w:vAlign w:val="bottom"/>
          </w:tcPr>
          <w:p>
            <w:pPr>
              <w:ind w:left="420"/>
              <w:spacing w:after="0"/>
              <w:rPr>
                <w:sz w:val="20"/>
                <w:szCs w:val="20"/>
                <w:color w:val="auto"/>
              </w:rPr>
            </w:pPr>
            <w:r>
              <w:rPr>
                <w:rFonts w:ascii="Arial" w:cs="Arial" w:eastAsia="Arial" w:hAnsi="Arial"/>
                <w:sz w:val="16"/>
                <w:szCs w:val="16"/>
                <w:b w:val="1"/>
                <w:bCs w:val="1"/>
                <w:color w:val="auto"/>
              </w:rPr>
              <w:t>Dedham Plaza</w:t>
            </w:r>
          </w:p>
        </w:tc>
        <w:tc>
          <w:tcPr>
            <w:tcW w:w="2200" w:type="dxa"/>
            <w:vAlign w:val="bottom"/>
          </w:tcPr>
          <w:p>
            <w:pPr>
              <w:ind w:left="440"/>
              <w:spacing w:after="0"/>
              <w:rPr>
                <w:sz w:val="20"/>
                <w:szCs w:val="20"/>
                <w:color w:val="auto"/>
              </w:rPr>
            </w:pPr>
            <w:r>
              <w:rPr>
                <w:rFonts w:ascii="Arial" w:cs="Arial" w:eastAsia="Arial" w:hAnsi="Arial"/>
                <w:sz w:val="16"/>
                <w:szCs w:val="16"/>
                <w:color w:val="auto"/>
              </w:rPr>
              <w:t>Dedham, MA</w:t>
            </w:r>
          </w:p>
        </w:tc>
        <w:tc>
          <w:tcPr>
            <w:tcW w:w="2540" w:type="dxa"/>
            <w:vAlign w:val="bottom"/>
          </w:tcPr>
          <w:p>
            <w:pPr>
              <w:ind w:left="500"/>
              <w:spacing w:after="0"/>
              <w:rPr>
                <w:sz w:val="20"/>
                <w:szCs w:val="20"/>
                <w:color w:val="auto"/>
              </w:rPr>
            </w:pPr>
            <w:r>
              <w:rPr>
                <w:rFonts w:ascii="Arial" w:cs="Arial" w:eastAsia="Arial" w:hAnsi="Arial"/>
                <w:sz w:val="16"/>
                <w:szCs w:val="16"/>
                <w:b w:val="1"/>
                <w:bCs w:val="1"/>
                <w:color w:val="auto"/>
              </w:rPr>
              <w:t>Huntington</w:t>
            </w:r>
          </w:p>
        </w:tc>
        <w:tc>
          <w:tcPr>
            <w:tcW w:w="4320" w:type="dxa"/>
            <w:vAlign w:val="bottom"/>
          </w:tcPr>
          <w:p>
            <w:pPr>
              <w:ind w:left="520"/>
              <w:spacing w:after="0"/>
              <w:rPr>
                <w:sz w:val="20"/>
                <w:szCs w:val="20"/>
                <w:color w:val="auto"/>
              </w:rPr>
            </w:pPr>
            <w:r>
              <w:rPr>
                <w:rFonts w:ascii="Arial" w:cs="Arial" w:eastAsia="Arial" w:hAnsi="Arial"/>
                <w:sz w:val="16"/>
                <w:szCs w:val="16"/>
                <w:color w:val="auto"/>
              </w:rPr>
              <w:t>Huntington, NY</w:t>
            </w:r>
          </w:p>
        </w:tc>
      </w:tr>
      <w:tr>
        <w:trPr>
          <w:trHeight w:val="219"/>
        </w:trPr>
        <w:tc>
          <w:tcPr>
            <w:tcW w:w="214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Fairfax Junction</w:t>
            </w:r>
          </w:p>
        </w:tc>
        <w:tc>
          <w:tcPr>
            <w:tcW w:w="2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Fairfax, VA</w:t>
            </w:r>
          </w:p>
        </w:tc>
        <w:tc>
          <w:tcPr>
            <w:tcW w:w="254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Riverpoint Center</w:t>
            </w:r>
          </w:p>
        </w:tc>
        <w:tc>
          <w:tcPr>
            <w:tcW w:w="43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Chicago, IL</w:t>
            </w:r>
          </w:p>
        </w:tc>
      </w:tr>
      <w:tr>
        <w:trPr>
          <w:trHeight w:val="213"/>
        </w:trPr>
        <w:tc>
          <w:tcPr>
            <w:tcW w:w="2140" w:type="dxa"/>
            <w:vAlign w:val="bottom"/>
          </w:tcPr>
          <w:p>
            <w:pPr>
              <w:ind w:left="420"/>
              <w:spacing w:after="0"/>
              <w:rPr>
                <w:sz w:val="20"/>
                <w:szCs w:val="20"/>
                <w:color w:val="auto"/>
              </w:rPr>
            </w:pPr>
            <w:r>
              <w:rPr>
                <w:rFonts w:ascii="Arial" w:cs="Arial" w:eastAsia="Arial" w:hAnsi="Arial"/>
                <w:sz w:val="16"/>
                <w:szCs w:val="16"/>
                <w:b w:val="1"/>
                <w:bCs w:val="1"/>
                <w:color w:val="auto"/>
              </w:rPr>
              <w:t>Fourth Street</w:t>
            </w:r>
          </w:p>
        </w:tc>
        <w:tc>
          <w:tcPr>
            <w:tcW w:w="2200" w:type="dxa"/>
            <w:vAlign w:val="bottom"/>
          </w:tcPr>
          <w:p>
            <w:pPr>
              <w:ind w:left="440"/>
              <w:spacing w:after="0"/>
              <w:rPr>
                <w:sz w:val="20"/>
                <w:szCs w:val="20"/>
                <w:color w:val="auto"/>
              </w:rPr>
            </w:pPr>
            <w:r>
              <w:rPr>
                <w:rFonts w:ascii="Arial" w:cs="Arial" w:eastAsia="Arial" w:hAnsi="Arial"/>
                <w:sz w:val="16"/>
                <w:szCs w:val="16"/>
                <w:color w:val="auto"/>
              </w:rPr>
              <w:t>Berkeley, CA</w:t>
            </w:r>
          </w:p>
        </w:tc>
        <w:tc>
          <w:tcPr>
            <w:tcW w:w="2540" w:type="dxa"/>
            <w:vAlign w:val="bottom"/>
          </w:tcPr>
          <w:p>
            <w:pPr>
              <w:ind w:left="500"/>
              <w:spacing w:after="0"/>
              <w:rPr>
                <w:sz w:val="20"/>
                <w:szCs w:val="20"/>
                <w:color w:val="auto"/>
              </w:rPr>
            </w:pPr>
            <w:r>
              <w:rPr>
                <w:rFonts w:ascii="Arial" w:cs="Arial" w:eastAsia="Arial" w:hAnsi="Arial"/>
                <w:sz w:val="16"/>
                <w:szCs w:val="16"/>
                <w:b w:val="1"/>
                <w:bCs w:val="1"/>
                <w:color w:val="auto"/>
              </w:rPr>
              <w:t>Wildwood</w:t>
            </w:r>
          </w:p>
        </w:tc>
        <w:tc>
          <w:tcPr>
            <w:tcW w:w="4320" w:type="dxa"/>
            <w:vAlign w:val="bottom"/>
          </w:tcPr>
          <w:p>
            <w:pPr>
              <w:ind w:left="520"/>
              <w:spacing w:after="0"/>
              <w:rPr>
                <w:sz w:val="20"/>
                <w:szCs w:val="20"/>
                <w:color w:val="auto"/>
              </w:rPr>
            </w:pPr>
            <w:r>
              <w:rPr>
                <w:rFonts w:ascii="Arial" w:cs="Arial" w:eastAsia="Arial" w:hAnsi="Arial"/>
                <w:sz w:val="16"/>
                <w:szCs w:val="16"/>
                <w:color w:val="auto"/>
              </w:rPr>
              <w:t>Bethesda, MD</w:t>
            </w:r>
          </w:p>
        </w:tc>
      </w:tr>
      <w:tr>
        <w:trPr>
          <w:trHeight w:val="219"/>
        </w:trPr>
        <w:tc>
          <w:tcPr>
            <w:tcW w:w="214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Fresh Meadows</w:t>
            </w:r>
          </w:p>
        </w:tc>
        <w:tc>
          <w:tcPr>
            <w:tcW w:w="2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Queens, NY</w:t>
            </w:r>
          </w:p>
        </w:tc>
        <w:tc>
          <w:tcPr>
            <w:tcW w:w="254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Willow Grove</w:t>
            </w:r>
          </w:p>
        </w:tc>
        <w:tc>
          <w:tcPr>
            <w:tcW w:w="43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Willow Grove, PA</w:t>
            </w:r>
          </w:p>
        </w:tc>
      </w:tr>
      <w:tr>
        <w:trPr>
          <w:trHeight w:val="213"/>
        </w:trPr>
        <w:tc>
          <w:tcPr>
            <w:tcW w:w="2140" w:type="dxa"/>
            <w:vAlign w:val="bottom"/>
          </w:tcPr>
          <w:p>
            <w:pPr>
              <w:ind w:left="420"/>
              <w:spacing w:after="0"/>
              <w:rPr>
                <w:sz w:val="20"/>
                <w:szCs w:val="20"/>
                <w:color w:val="auto"/>
              </w:rPr>
            </w:pPr>
            <w:r>
              <w:rPr>
                <w:rFonts w:ascii="Arial" w:cs="Arial" w:eastAsia="Arial" w:hAnsi="Arial"/>
                <w:sz w:val="16"/>
                <w:szCs w:val="16"/>
                <w:b w:val="1"/>
                <w:bCs w:val="1"/>
                <w:color w:val="auto"/>
              </w:rPr>
              <w:t>Friendship Center</w:t>
            </w:r>
          </w:p>
        </w:tc>
        <w:tc>
          <w:tcPr>
            <w:tcW w:w="2200" w:type="dxa"/>
            <w:vAlign w:val="bottom"/>
          </w:tcPr>
          <w:p>
            <w:pPr>
              <w:ind w:left="440"/>
              <w:spacing w:after="0"/>
              <w:rPr>
                <w:sz w:val="20"/>
                <w:szCs w:val="20"/>
                <w:color w:val="auto"/>
              </w:rPr>
            </w:pPr>
            <w:r>
              <w:rPr>
                <w:rFonts w:ascii="Arial" w:cs="Arial" w:eastAsia="Arial" w:hAnsi="Arial"/>
                <w:sz w:val="16"/>
                <w:szCs w:val="16"/>
                <w:color w:val="auto"/>
              </w:rPr>
              <w:t>Washington, DC</w:t>
            </w:r>
          </w:p>
        </w:tc>
        <w:tc>
          <w:tcPr>
            <w:tcW w:w="254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19"/>
        </w:trPr>
        <w:tc>
          <w:tcPr>
            <w:tcW w:w="214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4320" w:type="dxa"/>
            <w:vAlign w:val="bottom"/>
            <w:shd w:val="clear" w:color="auto" w:fill="CCEEFF"/>
          </w:tcPr>
          <w:p>
            <w:pPr>
              <w:spacing w:after="0"/>
              <w:rPr>
                <w:sz w:val="19"/>
                <w:szCs w:val="19"/>
                <w:color w:val="auto"/>
              </w:rPr>
            </w:pPr>
          </w:p>
        </w:tc>
      </w:tr>
    </w:tbl>
    <w:p>
      <w:pPr>
        <w:ind w:left="2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2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Barracks Road</w:t>
            </w:r>
          </w:p>
        </w:tc>
        <w:tc>
          <w:tcPr>
            <w:tcW w:w="2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Charlottesville, VA</w:t>
            </w:r>
          </w:p>
        </w:tc>
        <w:tc>
          <w:tcPr>
            <w:tcW w:w="290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Federal Plaza</w:t>
            </w:r>
          </w:p>
        </w:tc>
        <w:tc>
          <w:tcPr>
            <w:tcW w:w="3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Rockville, MD</w:t>
            </w:r>
          </w:p>
        </w:tc>
      </w:tr>
      <w:tr>
        <w:trPr>
          <w:trHeight w:val="213"/>
        </w:trPr>
        <w:tc>
          <w:tcPr>
            <w:tcW w:w="2120" w:type="dxa"/>
            <w:vAlign w:val="bottom"/>
          </w:tcPr>
          <w:p>
            <w:pPr>
              <w:ind w:left="420"/>
              <w:spacing w:after="0"/>
              <w:rPr>
                <w:sz w:val="20"/>
                <w:szCs w:val="20"/>
                <w:color w:val="auto"/>
              </w:rPr>
            </w:pPr>
            <w:r>
              <w:rPr>
                <w:rFonts w:ascii="Arial" w:cs="Arial" w:eastAsia="Arial" w:hAnsi="Arial"/>
                <w:sz w:val="16"/>
                <w:szCs w:val="16"/>
                <w:b w:val="1"/>
                <w:bCs w:val="1"/>
                <w:color w:val="auto"/>
              </w:rPr>
              <w:t>Bala Cynwyd</w:t>
            </w:r>
          </w:p>
        </w:tc>
        <w:tc>
          <w:tcPr>
            <w:tcW w:w="2220" w:type="dxa"/>
            <w:vAlign w:val="bottom"/>
          </w:tcPr>
          <w:p>
            <w:pPr>
              <w:ind w:left="460"/>
              <w:spacing w:after="0"/>
              <w:rPr>
                <w:sz w:val="20"/>
                <w:szCs w:val="20"/>
                <w:color w:val="auto"/>
              </w:rPr>
            </w:pPr>
            <w:r>
              <w:rPr>
                <w:rFonts w:ascii="Arial" w:cs="Arial" w:eastAsia="Arial" w:hAnsi="Arial"/>
                <w:sz w:val="16"/>
                <w:szCs w:val="16"/>
                <w:color w:val="auto"/>
              </w:rPr>
              <w:t>Bala Cynwyd, PA</w:t>
            </w:r>
          </w:p>
        </w:tc>
        <w:tc>
          <w:tcPr>
            <w:tcW w:w="2900" w:type="dxa"/>
            <w:vAlign w:val="bottom"/>
          </w:tcPr>
          <w:p>
            <w:pPr>
              <w:ind w:left="500"/>
              <w:spacing w:after="0"/>
              <w:rPr>
                <w:sz w:val="20"/>
                <w:szCs w:val="20"/>
                <w:color w:val="auto"/>
              </w:rPr>
            </w:pPr>
            <w:r>
              <w:rPr>
                <w:rFonts w:ascii="Arial" w:cs="Arial" w:eastAsia="Arial" w:hAnsi="Arial"/>
                <w:sz w:val="16"/>
                <w:szCs w:val="16"/>
                <w:b w:val="1"/>
                <w:bCs w:val="1"/>
                <w:color w:val="auto"/>
              </w:rPr>
              <w:t>Village at Shirlington</w:t>
            </w:r>
          </w:p>
        </w:tc>
        <w:tc>
          <w:tcPr>
            <w:tcW w:w="3960" w:type="dxa"/>
            <w:vAlign w:val="bottom"/>
          </w:tcPr>
          <w:p>
            <w:pPr>
              <w:ind w:left="160"/>
              <w:spacing w:after="0"/>
              <w:rPr>
                <w:sz w:val="20"/>
                <w:szCs w:val="20"/>
                <w:color w:val="auto"/>
              </w:rPr>
            </w:pPr>
            <w:r>
              <w:rPr>
                <w:rFonts w:ascii="Arial" w:cs="Arial" w:eastAsia="Arial" w:hAnsi="Arial"/>
                <w:sz w:val="16"/>
                <w:szCs w:val="16"/>
                <w:color w:val="auto"/>
              </w:rPr>
              <w:t>Arlington, VA</w:t>
            </w:r>
          </w:p>
        </w:tc>
      </w:tr>
      <w:tr>
        <w:trPr>
          <w:trHeight w:val="219"/>
        </w:trPr>
        <w:tc>
          <w:tcPr>
            <w:tcW w:w="4340" w:type="dxa"/>
            <w:vAlign w:val="bottom"/>
            <w:gridSpan w:val="2"/>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r>
      <w:tr>
        <w:trPr>
          <w:trHeight w:val="213"/>
        </w:trPr>
        <w:tc>
          <w:tcPr>
            <w:tcW w:w="4340" w:type="dxa"/>
            <w:vAlign w:val="bottom"/>
            <w:gridSpan w:val="2"/>
          </w:tcPr>
          <w:p>
            <w:pPr>
              <w:ind w:left="20"/>
              <w:spacing w:after="0"/>
              <w:rPr>
                <w:sz w:val="20"/>
                <w:szCs w:val="20"/>
                <w:color w:val="auto"/>
              </w:rPr>
            </w:pPr>
            <w:r>
              <w:rPr>
                <w:rFonts w:ascii="Arial" w:cs="Arial" w:eastAsia="Arial" w:hAnsi="Arial"/>
                <w:sz w:val="16"/>
                <w:szCs w:val="16"/>
                <w:b w:val="1"/>
                <w:bCs w:val="1"/>
                <w:color w:val="auto"/>
              </w:rPr>
              <w:t>Longer Term Mixed-Use Opportunities</w:t>
            </w:r>
          </w:p>
        </w:tc>
        <w:tc>
          <w:tcPr>
            <w:tcW w:w="290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9"/>
        </w:trPr>
        <w:tc>
          <w:tcPr>
            <w:tcW w:w="212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Assembly Row (1)</w:t>
            </w:r>
          </w:p>
        </w:tc>
        <w:tc>
          <w:tcPr>
            <w:tcW w:w="2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Somerville, MA</w:t>
            </w:r>
          </w:p>
        </w:tc>
        <w:tc>
          <w:tcPr>
            <w:tcW w:w="290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Pike &amp; Rose (2)</w:t>
            </w:r>
          </w:p>
        </w:tc>
        <w:tc>
          <w:tcPr>
            <w:tcW w:w="3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North Bethesda, MD</w:t>
            </w:r>
          </w:p>
        </w:tc>
      </w:tr>
      <w:tr>
        <w:trPr>
          <w:trHeight w:val="213"/>
        </w:trPr>
        <w:tc>
          <w:tcPr>
            <w:tcW w:w="2120" w:type="dxa"/>
            <w:vAlign w:val="bottom"/>
          </w:tcPr>
          <w:p>
            <w:pPr>
              <w:ind w:left="420"/>
              <w:spacing w:after="0"/>
              <w:rPr>
                <w:sz w:val="20"/>
                <w:szCs w:val="20"/>
                <w:color w:val="auto"/>
              </w:rPr>
            </w:pPr>
            <w:r>
              <w:rPr>
                <w:rFonts w:ascii="Arial" w:cs="Arial" w:eastAsia="Arial" w:hAnsi="Arial"/>
                <w:sz w:val="16"/>
                <w:szCs w:val="16"/>
                <w:b w:val="1"/>
                <w:bCs w:val="1"/>
                <w:color w:val="auto"/>
              </w:rPr>
              <w:t>Bala Cynwyd</w:t>
            </w:r>
          </w:p>
        </w:tc>
        <w:tc>
          <w:tcPr>
            <w:tcW w:w="2220" w:type="dxa"/>
            <w:vAlign w:val="bottom"/>
          </w:tcPr>
          <w:p>
            <w:pPr>
              <w:ind w:left="460"/>
              <w:spacing w:after="0"/>
              <w:rPr>
                <w:sz w:val="20"/>
                <w:szCs w:val="20"/>
                <w:color w:val="auto"/>
              </w:rPr>
            </w:pPr>
            <w:r>
              <w:rPr>
                <w:rFonts w:ascii="Arial" w:cs="Arial" w:eastAsia="Arial" w:hAnsi="Arial"/>
                <w:sz w:val="16"/>
                <w:szCs w:val="16"/>
                <w:color w:val="auto"/>
              </w:rPr>
              <w:t>Bala Cynwyd, PA</w:t>
            </w:r>
          </w:p>
        </w:tc>
        <w:tc>
          <w:tcPr>
            <w:tcW w:w="2900" w:type="dxa"/>
            <w:vAlign w:val="bottom"/>
          </w:tcPr>
          <w:p>
            <w:pPr>
              <w:ind w:left="500"/>
              <w:spacing w:after="0"/>
              <w:rPr>
                <w:sz w:val="20"/>
                <w:szCs w:val="20"/>
                <w:color w:val="auto"/>
              </w:rPr>
            </w:pPr>
            <w:r>
              <w:rPr>
                <w:rFonts w:ascii="Arial" w:cs="Arial" w:eastAsia="Arial" w:hAnsi="Arial"/>
                <w:sz w:val="16"/>
                <w:szCs w:val="16"/>
                <w:b w:val="1"/>
                <w:bCs w:val="1"/>
                <w:color w:val="auto"/>
              </w:rPr>
              <w:t>Santana Row (3)</w:t>
            </w:r>
          </w:p>
        </w:tc>
        <w:tc>
          <w:tcPr>
            <w:tcW w:w="3960" w:type="dxa"/>
            <w:vAlign w:val="bottom"/>
          </w:tcPr>
          <w:p>
            <w:pPr>
              <w:ind w:left="160"/>
              <w:spacing w:after="0"/>
              <w:rPr>
                <w:sz w:val="20"/>
                <w:szCs w:val="20"/>
                <w:color w:val="auto"/>
              </w:rPr>
            </w:pPr>
            <w:r>
              <w:rPr>
                <w:rFonts w:ascii="Arial" w:cs="Arial" w:eastAsia="Arial" w:hAnsi="Arial"/>
                <w:sz w:val="16"/>
                <w:szCs w:val="16"/>
                <w:color w:val="auto"/>
              </w:rPr>
              <w:t>San Jose, CA</w:t>
            </w:r>
          </w:p>
        </w:tc>
      </w:tr>
      <w:tr>
        <w:trPr>
          <w:trHeight w:val="219"/>
        </w:trPr>
        <w:tc>
          <w:tcPr>
            <w:tcW w:w="212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Pike 7 Plaza</w:t>
            </w:r>
          </w:p>
        </w:tc>
        <w:tc>
          <w:tcPr>
            <w:tcW w:w="2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Vienna, VA</w:t>
            </w:r>
          </w:p>
        </w:tc>
        <w:tc>
          <w:tcPr>
            <w:tcW w:w="290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w w:val="97"/>
              </w:rPr>
              <w:t>Santana Row - Santana West (3)</w:t>
            </w:r>
          </w:p>
        </w:tc>
        <w:tc>
          <w:tcPr>
            <w:tcW w:w="3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San Jose, CA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137160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Notes:</w:t>
      </w:r>
    </w:p>
    <w:p>
      <w:pPr>
        <w:sectPr>
          <w:pgSz w:w="11900" w:h="16838" w:orient="portrait"/>
          <w:cols w:equalWidth="0" w:num="1">
            <w:col w:w="11200"/>
          </w:cols>
          <w:pgMar w:left="340" w:top="936" w:right="359" w:bottom="1440" w:gutter="0" w:footer="0" w:header="0"/>
        </w:sectPr>
      </w:pPr>
    </w:p>
    <w:p>
      <w:pPr>
        <w:spacing w:after="0" w:line="32" w:lineRule="exact"/>
        <w:rPr>
          <w:sz w:val="20"/>
          <w:szCs w:val="20"/>
          <w:color w:val="auto"/>
        </w:rPr>
      </w:pPr>
    </w:p>
    <w:p>
      <w:pPr>
        <w:ind w:left="420" w:hanging="401"/>
        <w:spacing w:after="0"/>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Assembly Row</w:t>
      </w:r>
    </w:p>
    <w:p>
      <w:pPr>
        <w:spacing w:after="0" w:line="55" w:lineRule="exact"/>
        <w:rPr>
          <w:rFonts w:ascii="Arial" w:cs="Arial" w:eastAsia="Arial" w:hAnsi="Arial"/>
          <w:sz w:val="14"/>
          <w:szCs w:val="14"/>
          <w:color w:val="auto"/>
        </w:rPr>
      </w:pPr>
    </w:p>
    <w:p>
      <w:pPr>
        <w:ind w:left="420" w:hanging="401"/>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Pike &amp; Rose</w:t>
      </w:r>
    </w:p>
    <w:p>
      <w:pPr>
        <w:spacing w:after="0" w:line="32" w:lineRule="exact"/>
        <w:rPr>
          <w:rFonts w:ascii="Arial" w:cs="Arial" w:eastAsia="Arial" w:hAnsi="Arial"/>
          <w:sz w:val="16"/>
          <w:szCs w:val="16"/>
          <w:color w:val="auto"/>
        </w:rPr>
      </w:pPr>
    </w:p>
    <w:p>
      <w:pPr>
        <w:ind w:left="420" w:hanging="401"/>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Santana Row</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Remaining entitlements after Phase III include approximately 1.5 million square feet of commercial-use buildings and 326 residential units.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Remaining entitlements after Phase IV include approximately 530,000 square feet of commercial-use buildings, and 741 residential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-1637030</wp:posOffset>
            </wp:positionH>
            <wp:positionV relativeFrom="paragraph">
              <wp:posOffset>-98425</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35"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color w:val="auto"/>
        </w:rPr>
        <w:t>Remaining entitlements include approximately 321,000 square feet of commercial space and 395 residential units, as well as approximately 604,000 square feet of commercial space at Santana West.</w:t>
      </w:r>
    </w:p>
    <w:p>
      <w:pPr>
        <w:spacing w:after="0" w:line="200" w:lineRule="exact"/>
        <w:rPr>
          <w:sz w:val="20"/>
          <w:szCs w:val="20"/>
          <w:color w:val="auto"/>
        </w:rPr>
      </w:pPr>
    </w:p>
    <w:p>
      <w:pPr>
        <w:sectPr>
          <w:pgSz w:w="11900" w:h="16838" w:orient="portrait"/>
          <w:cols w:equalWidth="0" w:num="2">
            <w:col w:w="1860" w:space="720"/>
            <w:col w:w="8620"/>
          </w:cols>
          <w:pgMar w:left="340" w:top="936" w:right="35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00"/>
          </w:cols>
          <w:pgMar w:left="340" w:top="936" w:right="359" w:bottom="1440"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Property Acquisitions, Dispositions, and Other Transactions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2021</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Acquisitions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Date</w:t>
            </w:r>
          </w:p>
        </w:tc>
        <w:tc>
          <w:tcPr>
            <w:tcW w:w="19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Property</w:t>
            </w:r>
          </w:p>
        </w:tc>
        <w:tc>
          <w:tcPr>
            <w:tcW w:w="16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City/State</w:t>
            </w:r>
          </w:p>
        </w:tc>
        <w:tc>
          <w:tcPr>
            <w:tcW w:w="1200" w:type="dxa"/>
            <w:vAlign w:val="bottom"/>
            <w:vMerge w:val="restart"/>
          </w:tcPr>
          <w:p>
            <w:pPr>
              <w:jc w:val="right"/>
              <w:ind w:right="317"/>
              <w:spacing w:after="0"/>
              <w:rPr>
                <w:sz w:val="20"/>
                <w:szCs w:val="20"/>
                <w:color w:val="auto"/>
              </w:rPr>
            </w:pPr>
            <w:r>
              <w:rPr>
                <w:rFonts w:ascii="Arial" w:cs="Arial" w:eastAsia="Arial" w:hAnsi="Arial"/>
                <w:sz w:val="16"/>
                <w:szCs w:val="16"/>
                <w:b w:val="1"/>
                <w:bCs w:val="1"/>
                <w:color w:val="auto"/>
              </w:rPr>
              <w:t>GLA</w:t>
            </w:r>
          </w:p>
        </w:tc>
        <w:tc>
          <w:tcPr>
            <w:tcW w:w="880" w:type="dxa"/>
            <w:vAlign w:val="bottom"/>
          </w:tcPr>
          <w:p>
            <w:pPr>
              <w:ind w:left="60"/>
              <w:spacing w:after="0"/>
              <w:rPr>
                <w:sz w:val="20"/>
                <w:szCs w:val="20"/>
                <w:color w:val="auto"/>
              </w:rPr>
            </w:pPr>
            <w:r>
              <w:rPr>
                <w:rFonts w:ascii="Arial" w:cs="Arial" w:eastAsia="Arial" w:hAnsi="Arial"/>
                <w:sz w:val="16"/>
                <w:szCs w:val="16"/>
                <w:b w:val="1"/>
                <w:bCs w:val="1"/>
                <w:color w:val="auto"/>
                <w:w w:val="96"/>
              </w:rPr>
              <w:t>Ownership</w:t>
            </w:r>
          </w:p>
        </w:tc>
        <w:tc>
          <w:tcPr>
            <w:tcW w:w="180" w:type="dxa"/>
            <w:vAlign w:val="bottom"/>
          </w:tcPr>
          <w:p>
            <w:pPr>
              <w:spacing w:after="0"/>
              <w:rPr>
                <w:sz w:val="16"/>
                <w:szCs w:val="16"/>
                <w:color w:val="auto"/>
              </w:rPr>
            </w:pPr>
          </w:p>
        </w:tc>
        <w:tc>
          <w:tcPr>
            <w:tcW w:w="680" w:type="dxa"/>
            <w:vAlign w:val="bottom"/>
          </w:tcPr>
          <w:p>
            <w:pPr>
              <w:jc w:val="right"/>
              <w:ind w:right="136"/>
              <w:spacing w:after="0"/>
              <w:rPr>
                <w:sz w:val="20"/>
                <w:szCs w:val="20"/>
                <w:color w:val="auto"/>
              </w:rPr>
            </w:pPr>
            <w:r>
              <w:rPr>
                <w:rFonts w:ascii="Arial" w:cs="Arial" w:eastAsia="Arial" w:hAnsi="Arial"/>
                <w:sz w:val="16"/>
                <w:szCs w:val="16"/>
                <w:b w:val="1"/>
                <w:bCs w:val="1"/>
                <w:color w:val="auto"/>
                <w:w w:val="95"/>
              </w:rPr>
              <w:t>Gross</w:t>
            </w:r>
          </w:p>
        </w:tc>
        <w:tc>
          <w:tcPr>
            <w:tcW w:w="34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Principal Tenants</w:t>
            </w:r>
          </w:p>
        </w:tc>
        <w:tc>
          <w:tcPr>
            <w:tcW w:w="0" w:type="dxa"/>
            <w:vAlign w:val="bottom"/>
          </w:tcPr>
          <w:p>
            <w:pPr>
              <w:spacing w:after="0"/>
              <w:rPr>
                <w:sz w:val="1"/>
                <w:szCs w:val="1"/>
                <w:color w:val="auto"/>
              </w:rPr>
            </w:pPr>
          </w:p>
        </w:tc>
      </w:tr>
      <w:tr>
        <w:trPr>
          <w:trHeight w:val="213"/>
        </w:trPr>
        <w:tc>
          <w:tcPr>
            <w:tcW w:w="1300" w:type="dxa"/>
            <w:vAlign w:val="bottom"/>
            <w:tcBorders>
              <w:bottom w:val="single" w:sz="8" w:color="auto"/>
            </w:tcBorders>
            <w:vMerge w:val="continue"/>
          </w:tcPr>
          <w:p>
            <w:pPr>
              <w:spacing w:after="0"/>
              <w:rPr>
                <w:sz w:val="18"/>
                <w:szCs w:val="18"/>
                <w:color w:val="auto"/>
              </w:rPr>
            </w:pPr>
          </w:p>
        </w:tc>
        <w:tc>
          <w:tcPr>
            <w:tcW w:w="198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w w:val="98"/>
              </w:rPr>
              <w:t>Value</w:t>
            </w:r>
          </w:p>
        </w:tc>
        <w:tc>
          <w:tcPr>
            <w:tcW w:w="3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0" w:type="dxa"/>
            <w:vAlign w:val="bottom"/>
          </w:tcPr>
          <w:p>
            <w:pPr>
              <w:jc w:val="right"/>
              <w:ind w:right="37"/>
              <w:spacing w:after="0"/>
              <w:rPr>
                <w:sz w:val="20"/>
                <w:szCs w:val="20"/>
                <w:color w:val="auto"/>
              </w:rPr>
            </w:pPr>
            <w:r>
              <w:rPr>
                <w:rFonts w:ascii="Arial" w:cs="Arial" w:eastAsia="Arial" w:hAnsi="Arial"/>
                <w:sz w:val="14"/>
                <w:szCs w:val="14"/>
                <w:b w:val="1"/>
                <w:bCs w:val="1"/>
                <w:color w:val="auto"/>
              </w:rPr>
              <w:t>(in square feet)</w:t>
            </w:r>
          </w:p>
        </w:tc>
        <w:tc>
          <w:tcPr>
            <w:tcW w:w="88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(in millions)</w:t>
            </w: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30, 2021</w:t>
            </w:r>
          </w:p>
        </w:tc>
        <w:tc>
          <w:tcPr>
            <w:tcW w:w="19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Chesterbrook (1)</w:t>
            </w:r>
          </w:p>
        </w:tc>
        <w:tc>
          <w:tcPr>
            <w:tcW w:w="1600" w:type="dxa"/>
            <w:vAlign w:val="bottom"/>
            <w:shd w:val="clear" w:color="auto" w:fill="CCEEFF"/>
          </w:tcPr>
          <w:p>
            <w:pPr>
              <w:ind w:left="80"/>
              <w:spacing w:after="0"/>
              <w:rPr>
                <w:sz w:val="20"/>
                <w:szCs w:val="20"/>
                <w:color w:val="auto"/>
              </w:rPr>
            </w:pPr>
            <w:r>
              <w:rPr>
                <w:rFonts w:ascii="Arial" w:cs="Arial" w:eastAsia="Arial" w:hAnsi="Arial"/>
                <w:sz w:val="17"/>
                <w:szCs w:val="17"/>
                <w:color w:val="auto"/>
              </w:rPr>
              <w:t>McLean, Virginia</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90,000</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80%</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32.1</w:t>
            </w:r>
          </w:p>
        </w:tc>
        <w:tc>
          <w:tcPr>
            <w:tcW w:w="3420" w:type="dxa"/>
            <w:vAlign w:val="bottom"/>
            <w:shd w:val="clear" w:color="auto" w:fill="CCEEFF"/>
          </w:tcPr>
          <w:p>
            <w:pPr>
              <w:ind w:left="60"/>
              <w:spacing w:after="0"/>
              <w:rPr>
                <w:sz w:val="20"/>
                <w:szCs w:val="20"/>
                <w:color w:val="auto"/>
              </w:rPr>
            </w:pPr>
            <w:r>
              <w:rPr>
                <w:rFonts w:ascii="Arial" w:cs="Arial" w:eastAsia="Arial" w:hAnsi="Arial"/>
                <w:sz w:val="17"/>
                <w:szCs w:val="17"/>
                <w:color w:val="auto"/>
              </w:rPr>
              <w:t>Safeway / Walgreens</w:t>
            </w:r>
          </w:p>
        </w:tc>
        <w:tc>
          <w:tcPr>
            <w:tcW w:w="0" w:type="dxa"/>
            <w:vAlign w:val="bottom"/>
          </w:tcPr>
          <w:p>
            <w:pPr>
              <w:spacing w:after="0"/>
              <w:rPr>
                <w:sz w:val="1"/>
                <w:szCs w:val="1"/>
                <w:color w:val="auto"/>
              </w:rPr>
            </w:pPr>
          </w:p>
        </w:tc>
      </w:tr>
      <w:tr>
        <w:trPr>
          <w:trHeight w:val="223"/>
        </w:trPr>
        <w:tc>
          <w:tcPr>
            <w:tcW w:w="1300" w:type="dxa"/>
            <w:vAlign w:val="bottom"/>
          </w:tcPr>
          <w:p>
            <w:pPr>
              <w:ind w:left="20"/>
              <w:spacing w:after="0"/>
              <w:rPr>
                <w:sz w:val="20"/>
                <w:szCs w:val="20"/>
                <w:color w:val="auto"/>
              </w:rPr>
            </w:pPr>
            <w:r>
              <w:rPr>
                <w:rFonts w:ascii="Arial" w:cs="Arial" w:eastAsia="Arial" w:hAnsi="Arial"/>
                <w:sz w:val="17"/>
                <w:szCs w:val="17"/>
                <w:color w:val="auto"/>
              </w:rPr>
              <w:t>June 1, 2021</w:t>
            </w:r>
          </w:p>
        </w:tc>
        <w:tc>
          <w:tcPr>
            <w:tcW w:w="1980" w:type="dxa"/>
            <w:vAlign w:val="bottom"/>
          </w:tcPr>
          <w:p>
            <w:pPr>
              <w:ind w:left="80"/>
              <w:spacing w:after="0"/>
              <w:rPr>
                <w:sz w:val="20"/>
                <w:szCs w:val="20"/>
                <w:color w:val="auto"/>
              </w:rPr>
            </w:pPr>
            <w:r>
              <w:rPr>
                <w:rFonts w:ascii="Arial" w:cs="Arial" w:eastAsia="Arial" w:hAnsi="Arial"/>
                <w:sz w:val="17"/>
                <w:szCs w:val="17"/>
                <w:color w:val="auto"/>
              </w:rPr>
              <w:t>Grossmont Center (1)</w:t>
            </w:r>
          </w:p>
        </w:tc>
        <w:tc>
          <w:tcPr>
            <w:tcW w:w="1600" w:type="dxa"/>
            <w:vAlign w:val="bottom"/>
          </w:tcPr>
          <w:p>
            <w:pPr>
              <w:ind w:left="80"/>
              <w:spacing w:after="0"/>
              <w:rPr>
                <w:sz w:val="20"/>
                <w:szCs w:val="20"/>
                <w:color w:val="auto"/>
              </w:rPr>
            </w:pPr>
            <w:r>
              <w:rPr>
                <w:rFonts w:ascii="Arial" w:cs="Arial" w:eastAsia="Arial" w:hAnsi="Arial"/>
                <w:sz w:val="17"/>
                <w:szCs w:val="17"/>
                <w:color w:val="auto"/>
              </w:rPr>
              <w:t>La Mesa, California</w:t>
            </w:r>
          </w:p>
        </w:tc>
        <w:tc>
          <w:tcPr>
            <w:tcW w:w="1200" w:type="dxa"/>
            <w:vAlign w:val="bottom"/>
          </w:tcPr>
          <w:p>
            <w:pPr>
              <w:jc w:val="right"/>
              <w:spacing w:after="0"/>
              <w:rPr>
                <w:sz w:val="20"/>
                <w:szCs w:val="20"/>
                <w:color w:val="auto"/>
              </w:rPr>
            </w:pPr>
            <w:r>
              <w:rPr>
                <w:rFonts w:ascii="Arial" w:cs="Arial" w:eastAsia="Arial" w:hAnsi="Arial"/>
                <w:sz w:val="17"/>
                <w:szCs w:val="17"/>
                <w:color w:val="auto"/>
              </w:rPr>
              <w:t>933,000</w:t>
            </w:r>
          </w:p>
        </w:tc>
        <w:tc>
          <w:tcPr>
            <w:tcW w:w="880" w:type="dxa"/>
            <w:vAlign w:val="bottom"/>
          </w:tcPr>
          <w:p>
            <w:pPr>
              <w:jc w:val="center"/>
              <w:spacing w:after="0"/>
              <w:rPr>
                <w:sz w:val="20"/>
                <w:szCs w:val="20"/>
                <w:color w:val="auto"/>
              </w:rPr>
            </w:pPr>
            <w:r>
              <w:rPr>
                <w:rFonts w:ascii="Arial" w:cs="Arial" w:eastAsia="Arial" w:hAnsi="Arial"/>
                <w:sz w:val="17"/>
                <w:szCs w:val="17"/>
                <w:color w:val="auto"/>
                <w:w w:val="93"/>
              </w:rPr>
              <w:t>60%</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6"/>
              <w:spacing w:after="0"/>
              <w:rPr>
                <w:sz w:val="20"/>
                <w:szCs w:val="20"/>
                <w:color w:val="auto"/>
              </w:rPr>
            </w:pPr>
            <w:r>
              <w:rPr>
                <w:rFonts w:ascii="Arial" w:cs="Arial" w:eastAsia="Arial" w:hAnsi="Arial"/>
                <w:sz w:val="17"/>
                <w:szCs w:val="17"/>
                <w:color w:val="auto"/>
              </w:rPr>
              <w:t>175.0</w:t>
            </w:r>
          </w:p>
        </w:tc>
        <w:tc>
          <w:tcPr>
            <w:tcW w:w="3420" w:type="dxa"/>
            <w:vAlign w:val="bottom"/>
          </w:tcPr>
          <w:p>
            <w:pPr>
              <w:ind w:left="60"/>
              <w:spacing w:after="0"/>
              <w:rPr>
                <w:sz w:val="20"/>
                <w:szCs w:val="20"/>
                <w:color w:val="auto"/>
              </w:rPr>
            </w:pPr>
            <w:r>
              <w:rPr>
                <w:rFonts w:ascii="Arial" w:cs="Arial" w:eastAsia="Arial" w:hAnsi="Arial"/>
                <w:sz w:val="17"/>
                <w:szCs w:val="17"/>
                <w:color w:val="auto"/>
              </w:rPr>
              <w:t>Target / Walmart / Macy’s / CVS</w:t>
            </w:r>
          </w:p>
        </w:tc>
        <w:tc>
          <w:tcPr>
            <w:tcW w:w="0" w:type="dxa"/>
            <w:vAlign w:val="bottom"/>
          </w:tcPr>
          <w:p>
            <w:pPr>
              <w:spacing w:after="0"/>
              <w:rPr>
                <w:sz w:val="1"/>
                <w:szCs w:val="1"/>
                <w:color w:val="auto"/>
              </w:rPr>
            </w:pPr>
          </w:p>
        </w:tc>
      </w:tr>
      <w:tr>
        <w:trPr>
          <w:trHeight w:val="169"/>
        </w:trPr>
        <w:tc>
          <w:tcPr>
            <w:tcW w:w="13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June 14, 2021</w:t>
            </w:r>
          </w:p>
        </w:tc>
        <w:tc>
          <w:tcPr>
            <w:tcW w:w="1980" w:type="dxa"/>
            <w:vAlign w:val="bottom"/>
            <w:shd w:val="clear" w:color="auto" w:fill="CCEEFF"/>
          </w:tcPr>
          <w:p>
            <w:pPr>
              <w:ind w:left="80"/>
              <w:spacing w:after="0" w:line="169" w:lineRule="exact"/>
              <w:rPr>
                <w:sz w:val="20"/>
                <w:szCs w:val="20"/>
                <w:color w:val="auto"/>
              </w:rPr>
            </w:pPr>
            <w:r>
              <w:rPr>
                <w:rFonts w:ascii="Arial" w:cs="Arial" w:eastAsia="Arial" w:hAnsi="Arial"/>
                <w:sz w:val="17"/>
                <w:szCs w:val="17"/>
                <w:color w:val="auto"/>
                <w:w w:val="95"/>
              </w:rPr>
              <w:t>Camelback Colonnade (1)</w:t>
            </w:r>
          </w:p>
        </w:tc>
        <w:tc>
          <w:tcPr>
            <w:tcW w:w="1600" w:type="dxa"/>
            <w:vAlign w:val="bottom"/>
            <w:shd w:val="clear" w:color="auto" w:fill="CCEEFF"/>
          </w:tcPr>
          <w:p>
            <w:pPr>
              <w:ind w:left="80"/>
              <w:spacing w:after="0" w:line="169" w:lineRule="exact"/>
              <w:rPr>
                <w:sz w:val="20"/>
                <w:szCs w:val="20"/>
                <w:color w:val="auto"/>
              </w:rPr>
            </w:pPr>
            <w:r>
              <w:rPr>
                <w:rFonts w:ascii="Arial" w:cs="Arial" w:eastAsia="Arial" w:hAnsi="Arial"/>
                <w:sz w:val="17"/>
                <w:szCs w:val="17"/>
                <w:color w:val="auto"/>
              </w:rPr>
              <w:t>Phoenix, Arizona</w:t>
            </w:r>
          </w:p>
        </w:tc>
        <w:tc>
          <w:tcPr>
            <w:tcW w:w="120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642,000</w:t>
            </w:r>
          </w:p>
        </w:tc>
        <w:tc>
          <w:tcPr>
            <w:tcW w:w="880" w:type="dxa"/>
            <w:vAlign w:val="bottom"/>
            <w:shd w:val="clear" w:color="auto" w:fill="CCEEFF"/>
          </w:tcPr>
          <w:p>
            <w:pPr>
              <w:jc w:val="center"/>
              <w:spacing w:after="0" w:line="169" w:lineRule="exact"/>
              <w:rPr>
                <w:sz w:val="20"/>
                <w:szCs w:val="20"/>
                <w:color w:val="auto"/>
              </w:rPr>
            </w:pPr>
            <w:r>
              <w:rPr>
                <w:rFonts w:ascii="Arial" w:cs="Arial" w:eastAsia="Arial" w:hAnsi="Arial"/>
                <w:sz w:val="17"/>
                <w:szCs w:val="17"/>
                <w:color w:val="auto"/>
                <w:w w:val="93"/>
              </w:rPr>
              <w:t>98%</w:t>
            </w:r>
          </w:p>
        </w:tc>
        <w:tc>
          <w:tcPr>
            <w:tcW w:w="180" w:type="dxa"/>
            <w:vAlign w:val="bottom"/>
            <w:shd w:val="clear" w:color="auto" w:fill="CCEEFF"/>
          </w:tcPr>
          <w:p>
            <w:pPr>
              <w:ind w:left="60"/>
              <w:spacing w:after="0" w:line="16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6"/>
              <w:spacing w:after="0" w:line="169" w:lineRule="exact"/>
              <w:rPr>
                <w:sz w:val="20"/>
                <w:szCs w:val="20"/>
                <w:color w:val="auto"/>
              </w:rPr>
            </w:pPr>
            <w:r>
              <w:rPr>
                <w:rFonts w:ascii="Arial" w:cs="Arial" w:eastAsia="Arial" w:hAnsi="Arial"/>
                <w:sz w:val="17"/>
                <w:szCs w:val="17"/>
                <w:color w:val="auto"/>
              </w:rPr>
              <w:t>162.5</w:t>
            </w:r>
          </w:p>
        </w:tc>
        <w:tc>
          <w:tcPr>
            <w:tcW w:w="3420" w:type="dxa"/>
            <w:vAlign w:val="bottom"/>
            <w:shd w:val="clear" w:color="auto" w:fill="CCEEFF"/>
          </w:tcPr>
          <w:p>
            <w:pPr>
              <w:ind w:left="60"/>
              <w:spacing w:after="0" w:line="169" w:lineRule="exact"/>
              <w:rPr>
                <w:sz w:val="20"/>
                <w:szCs w:val="20"/>
                <w:color w:val="auto"/>
              </w:rPr>
            </w:pPr>
            <w:r>
              <w:rPr>
                <w:rFonts w:ascii="Arial" w:cs="Arial" w:eastAsia="Arial" w:hAnsi="Arial"/>
                <w:sz w:val="17"/>
                <w:szCs w:val="17"/>
                <w:color w:val="auto"/>
                <w:w w:val="94"/>
              </w:rPr>
              <w:t>Fry's Food &amp; Drug / Floor &amp; Décor / Marshalls /</w:t>
            </w: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20" w:type="dxa"/>
            <w:vAlign w:val="bottom"/>
            <w:shd w:val="clear" w:color="auto" w:fill="CCEEFF"/>
          </w:tcPr>
          <w:p>
            <w:pPr>
              <w:ind w:left="60"/>
              <w:spacing w:after="0" w:line="162" w:lineRule="exact"/>
              <w:rPr>
                <w:sz w:val="20"/>
                <w:szCs w:val="20"/>
                <w:color w:val="auto"/>
              </w:rPr>
            </w:pPr>
            <w:r>
              <w:rPr>
                <w:rFonts w:ascii="Arial" w:cs="Arial" w:eastAsia="Arial" w:hAnsi="Arial"/>
                <w:sz w:val="17"/>
                <w:szCs w:val="17"/>
                <w:color w:val="auto"/>
              </w:rPr>
              <w:t>Old Navy / Best Buy / Michaels / Nordstrom</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20" w:type="dxa"/>
            <w:vAlign w:val="bottom"/>
            <w:shd w:val="clear" w:color="auto" w:fill="CCEEFF"/>
          </w:tcPr>
          <w:p>
            <w:pPr>
              <w:ind w:left="60"/>
              <w:spacing w:after="0"/>
              <w:rPr>
                <w:sz w:val="20"/>
                <w:szCs w:val="20"/>
                <w:color w:val="auto"/>
              </w:rPr>
            </w:pPr>
            <w:r>
              <w:rPr>
                <w:rFonts w:ascii="Arial" w:cs="Arial" w:eastAsia="Arial" w:hAnsi="Arial"/>
                <w:sz w:val="17"/>
                <w:szCs w:val="17"/>
                <w:color w:val="auto"/>
              </w:rPr>
              <w:t>Last Chance / Bed Bath &amp; Beyond / Ulta</w:t>
            </w:r>
          </w:p>
        </w:tc>
        <w:tc>
          <w:tcPr>
            <w:tcW w:w="0" w:type="dxa"/>
            <w:vAlign w:val="bottom"/>
          </w:tcPr>
          <w:p>
            <w:pPr>
              <w:spacing w:after="0"/>
              <w:rPr>
                <w:sz w:val="1"/>
                <w:szCs w:val="1"/>
                <w:color w:val="auto"/>
              </w:rPr>
            </w:pPr>
          </w:p>
        </w:tc>
      </w:tr>
      <w:tr>
        <w:trPr>
          <w:trHeight w:val="216"/>
        </w:trPr>
        <w:tc>
          <w:tcPr>
            <w:tcW w:w="1300" w:type="dxa"/>
            <w:vAlign w:val="bottom"/>
          </w:tcPr>
          <w:p>
            <w:pPr>
              <w:ind w:left="20"/>
              <w:spacing w:after="0"/>
              <w:rPr>
                <w:sz w:val="20"/>
                <w:szCs w:val="20"/>
                <w:color w:val="auto"/>
              </w:rPr>
            </w:pPr>
            <w:r>
              <w:rPr>
                <w:rFonts w:ascii="Arial" w:cs="Arial" w:eastAsia="Arial" w:hAnsi="Arial"/>
                <w:sz w:val="17"/>
                <w:szCs w:val="17"/>
                <w:color w:val="auto"/>
              </w:rPr>
              <w:t>June 14, 2021</w:t>
            </w:r>
          </w:p>
        </w:tc>
        <w:tc>
          <w:tcPr>
            <w:tcW w:w="1980" w:type="dxa"/>
            <w:vAlign w:val="bottom"/>
          </w:tcPr>
          <w:p>
            <w:pPr>
              <w:ind w:left="80"/>
              <w:spacing w:after="0"/>
              <w:rPr>
                <w:sz w:val="20"/>
                <w:szCs w:val="20"/>
                <w:color w:val="auto"/>
              </w:rPr>
            </w:pPr>
            <w:r>
              <w:rPr>
                <w:rFonts w:ascii="Arial" w:cs="Arial" w:eastAsia="Arial" w:hAnsi="Arial"/>
                <w:sz w:val="17"/>
                <w:szCs w:val="17"/>
                <w:color w:val="auto"/>
              </w:rPr>
              <w:t>Hilton Village (1) (2)</w:t>
            </w:r>
          </w:p>
        </w:tc>
        <w:tc>
          <w:tcPr>
            <w:tcW w:w="1600" w:type="dxa"/>
            <w:vAlign w:val="bottom"/>
          </w:tcPr>
          <w:p>
            <w:pPr>
              <w:ind w:left="80"/>
              <w:spacing w:after="0"/>
              <w:rPr>
                <w:sz w:val="20"/>
                <w:szCs w:val="20"/>
                <w:color w:val="auto"/>
              </w:rPr>
            </w:pPr>
            <w:r>
              <w:rPr>
                <w:rFonts w:ascii="Arial" w:cs="Arial" w:eastAsia="Arial" w:hAnsi="Arial"/>
                <w:sz w:val="17"/>
                <w:szCs w:val="17"/>
                <w:color w:val="auto"/>
              </w:rPr>
              <w:t>Scottsdale, Arizona</w:t>
            </w:r>
          </w:p>
        </w:tc>
        <w:tc>
          <w:tcPr>
            <w:tcW w:w="1200" w:type="dxa"/>
            <w:vAlign w:val="bottom"/>
          </w:tcPr>
          <w:p>
            <w:pPr>
              <w:jc w:val="right"/>
              <w:spacing w:after="0"/>
              <w:rPr>
                <w:sz w:val="20"/>
                <w:szCs w:val="20"/>
                <w:color w:val="auto"/>
              </w:rPr>
            </w:pPr>
            <w:r>
              <w:rPr>
                <w:rFonts w:ascii="Arial" w:cs="Arial" w:eastAsia="Arial" w:hAnsi="Arial"/>
                <w:sz w:val="17"/>
                <w:szCs w:val="17"/>
                <w:color w:val="auto"/>
              </w:rPr>
              <w:t>93,000</w:t>
            </w:r>
          </w:p>
        </w:tc>
        <w:tc>
          <w:tcPr>
            <w:tcW w:w="880" w:type="dxa"/>
            <w:vAlign w:val="bottom"/>
          </w:tcPr>
          <w:p>
            <w:pPr>
              <w:jc w:val="center"/>
              <w:spacing w:after="0"/>
              <w:rPr>
                <w:sz w:val="20"/>
                <w:szCs w:val="20"/>
                <w:color w:val="auto"/>
              </w:rPr>
            </w:pPr>
            <w:r>
              <w:rPr>
                <w:rFonts w:ascii="Arial" w:cs="Arial" w:eastAsia="Arial" w:hAnsi="Arial"/>
                <w:sz w:val="17"/>
                <w:szCs w:val="17"/>
                <w:color w:val="auto"/>
                <w:w w:val="93"/>
              </w:rPr>
              <w:t>98%</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6"/>
              <w:spacing w:after="0"/>
              <w:rPr>
                <w:sz w:val="20"/>
                <w:szCs w:val="20"/>
                <w:color w:val="auto"/>
              </w:rPr>
            </w:pPr>
            <w:r>
              <w:rPr>
                <w:rFonts w:ascii="Arial" w:cs="Arial" w:eastAsia="Arial" w:hAnsi="Arial"/>
                <w:sz w:val="17"/>
                <w:szCs w:val="17"/>
                <w:color w:val="auto"/>
              </w:rPr>
              <w:t>37.5</w:t>
            </w:r>
          </w:p>
        </w:tc>
        <w:tc>
          <w:tcPr>
            <w:tcW w:w="3420" w:type="dxa"/>
            <w:vAlign w:val="bottom"/>
          </w:tcPr>
          <w:p>
            <w:pPr>
              <w:ind w:left="60"/>
              <w:spacing w:after="0"/>
              <w:rPr>
                <w:sz w:val="20"/>
                <w:szCs w:val="20"/>
                <w:color w:val="auto"/>
              </w:rPr>
            </w:pPr>
            <w:r>
              <w:rPr>
                <w:rFonts w:ascii="Arial" w:cs="Arial" w:eastAsia="Arial" w:hAnsi="Arial"/>
                <w:sz w:val="17"/>
                <w:szCs w:val="17"/>
                <w:color w:val="auto"/>
              </w:rPr>
              <w:t>CVS / Houston's</w:t>
            </w: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September 2,</w:t>
            </w:r>
          </w:p>
        </w:tc>
        <w:tc>
          <w:tcPr>
            <w:tcW w:w="1980" w:type="dxa"/>
            <w:vAlign w:val="bottom"/>
            <w:shd w:val="clear" w:color="auto" w:fill="CCEEFF"/>
          </w:tcPr>
          <w:p>
            <w:pPr>
              <w:ind w:left="80"/>
              <w:spacing w:after="0" w:line="162" w:lineRule="exact"/>
              <w:rPr>
                <w:sz w:val="20"/>
                <w:szCs w:val="20"/>
                <w:color w:val="auto"/>
              </w:rPr>
            </w:pPr>
            <w:r>
              <w:rPr>
                <w:rFonts w:ascii="Arial" w:cs="Arial" w:eastAsia="Arial" w:hAnsi="Arial"/>
                <w:sz w:val="17"/>
                <w:szCs w:val="17"/>
                <w:color w:val="auto"/>
              </w:rPr>
              <w:t>Twinbrooke Shopping</w:t>
            </w:r>
          </w:p>
        </w:tc>
        <w:tc>
          <w:tcPr>
            <w:tcW w:w="1600" w:type="dxa"/>
            <w:vAlign w:val="bottom"/>
            <w:shd w:val="clear" w:color="auto" w:fill="CCEEFF"/>
          </w:tcPr>
          <w:p>
            <w:pPr>
              <w:ind w:left="80"/>
              <w:spacing w:after="0" w:line="162" w:lineRule="exact"/>
              <w:rPr>
                <w:sz w:val="20"/>
                <w:szCs w:val="20"/>
                <w:color w:val="auto"/>
              </w:rPr>
            </w:pPr>
            <w:r>
              <w:rPr>
                <w:rFonts w:ascii="Arial" w:cs="Arial" w:eastAsia="Arial" w:hAnsi="Arial"/>
                <w:sz w:val="17"/>
                <w:szCs w:val="17"/>
                <w:color w:val="auto"/>
              </w:rPr>
              <w:t>Fairfax, Virginia</w:t>
            </w: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7"/>
                <w:szCs w:val="17"/>
                <w:color w:val="auto"/>
              </w:rPr>
              <w:t>106,000</w:t>
            </w:r>
          </w:p>
        </w:tc>
        <w:tc>
          <w:tcPr>
            <w:tcW w:w="88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color w:val="auto"/>
                <w:w w:val="91"/>
              </w:rPr>
              <w:t>100%</w:t>
            </w:r>
          </w:p>
        </w:tc>
        <w:tc>
          <w:tcPr>
            <w:tcW w:w="180" w:type="dxa"/>
            <w:vAlign w:val="bottom"/>
            <w:shd w:val="clear" w:color="auto" w:fill="CCEEFF"/>
          </w:tcPr>
          <w:p>
            <w:pPr>
              <w:ind w:left="60"/>
              <w:spacing w:after="0" w:line="162"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6"/>
              <w:spacing w:after="0" w:line="162" w:lineRule="exact"/>
              <w:rPr>
                <w:sz w:val="20"/>
                <w:szCs w:val="20"/>
                <w:color w:val="auto"/>
              </w:rPr>
            </w:pPr>
            <w:r>
              <w:rPr>
                <w:rFonts w:ascii="Arial" w:cs="Arial" w:eastAsia="Arial" w:hAnsi="Arial"/>
                <w:sz w:val="17"/>
                <w:szCs w:val="17"/>
                <w:color w:val="auto"/>
              </w:rPr>
              <w:t>33.8</w:t>
            </w:r>
          </w:p>
        </w:tc>
        <w:tc>
          <w:tcPr>
            <w:tcW w:w="3420" w:type="dxa"/>
            <w:vAlign w:val="bottom"/>
            <w:shd w:val="clear" w:color="auto" w:fill="CCEEFF"/>
          </w:tcPr>
          <w:p>
            <w:pPr>
              <w:ind w:left="60"/>
              <w:spacing w:after="0" w:line="162" w:lineRule="exact"/>
              <w:rPr>
                <w:sz w:val="20"/>
                <w:szCs w:val="20"/>
                <w:color w:val="auto"/>
              </w:rPr>
            </w:pPr>
            <w:r>
              <w:rPr>
                <w:rFonts w:ascii="Arial" w:cs="Arial" w:eastAsia="Arial" w:hAnsi="Arial"/>
                <w:sz w:val="17"/>
                <w:szCs w:val="17"/>
                <w:color w:val="auto"/>
              </w:rPr>
              <w:t>Safeway / Walgreens</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9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Centre</w:t>
            </w:r>
          </w:p>
        </w:tc>
        <w:tc>
          <w:tcPr>
            <w:tcW w:w="1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40" w:hanging="332"/>
        <w:spacing w:after="0" w:line="273" w:lineRule="auto"/>
        <w:tabs>
          <w:tab w:leader="none" w:pos="337"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These acquisitions were completed through newly formed joint ventures, for which we own the controlling interest listed above, and therefore, these properties are consolidated in our financial statements.</w:t>
      </w:r>
    </w:p>
    <w:p>
      <w:pPr>
        <w:ind w:left="320" w:hanging="312"/>
        <w:spacing w:after="0"/>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land is controlled under a long-term ground lease that expires on December 31, 2076.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Dispositions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Date</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Property</w:t>
            </w:r>
          </w:p>
        </w:tc>
        <w:tc>
          <w:tcPr>
            <w:tcW w:w="17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City/State</w:t>
            </w:r>
          </w:p>
        </w:tc>
        <w:tc>
          <w:tcPr>
            <w:tcW w:w="160" w:type="dxa"/>
            <w:vAlign w:val="bottom"/>
            <w:tcBorders>
              <w:bottom w:val="single" w:sz="8" w:color="auto"/>
            </w:tcBorders>
          </w:tcPr>
          <w:p>
            <w:pPr>
              <w:spacing w:after="0"/>
              <w:rPr>
                <w:sz w:val="19"/>
                <w:szCs w:val="19"/>
                <w:color w:val="auto"/>
              </w:rPr>
            </w:pPr>
          </w:p>
        </w:tc>
        <w:tc>
          <w:tcPr>
            <w:tcW w:w="5920" w:type="dxa"/>
            <w:vAlign w:val="bottom"/>
            <w:tcBorders>
              <w:bottom w:val="single" w:sz="8" w:color="auto"/>
            </w:tcBorders>
          </w:tcPr>
          <w:p>
            <w:pPr>
              <w:jc w:val="right"/>
              <w:ind w:right="4995"/>
              <w:spacing w:after="0"/>
              <w:rPr>
                <w:sz w:val="20"/>
                <w:szCs w:val="20"/>
                <w:color w:val="auto"/>
              </w:rPr>
            </w:pPr>
            <w:r>
              <w:rPr>
                <w:rFonts w:ascii="Arial" w:cs="Arial" w:eastAsia="Arial" w:hAnsi="Arial"/>
                <w:sz w:val="17"/>
                <w:szCs w:val="17"/>
                <w:b w:val="1"/>
                <w:bCs w:val="1"/>
                <w:color w:val="auto"/>
                <w:w w:val="90"/>
              </w:rPr>
              <w:t>Sales Price</w:t>
            </w:r>
          </w:p>
        </w:tc>
      </w:tr>
      <w:tr>
        <w:trPr>
          <w:trHeight w:val="211"/>
        </w:trPr>
        <w:tc>
          <w:tcPr>
            <w:tcW w:w="1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jc w:val="right"/>
              <w:ind w:right="4955"/>
              <w:spacing w:after="0"/>
              <w:rPr>
                <w:sz w:val="20"/>
                <w:szCs w:val="20"/>
                <w:color w:val="auto"/>
              </w:rPr>
            </w:pPr>
            <w:r>
              <w:rPr>
                <w:rFonts w:ascii="Arial" w:cs="Arial" w:eastAsia="Arial" w:hAnsi="Arial"/>
                <w:sz w:val="17"/>
                <w:szCs w:val="17"/>
                <w:b w:val="1"/>
                <w:bCs w:val="1"/>
                <w:color w:val="auto"/>
                <w:w w:val="90"/>
              </w:rPr>
              <w:t>(in millions)</w:t>
            </w:r>
          </w:p>
        </w:tc>
      </w:tr>
      <w:tr>
        <w:trPr>
          <w:trHeight w:val="162"/>
        </w:trPr>
        <w:tc>
          <w:tcPr>
            <w:tcW w:w="13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March 19, 2021</w:t>
            </w:r>
          </w:p>
        </w:tc>
        <w:tc>
          <w:tcPr>
            <w:tcW w:w="1940" w:type="dxa"/>
            <w:vAlign w:val="bottom"/>
            <w:shd w:val="clear" w:color="auto" w:fill="CCEEFF"/>
          </w:tcPr>
          <w:p>
            <w:pPr>
              <w:ind w:left="100"/>
              <w:spacing w:after="0" w:line="162" w:lineRule="exact"/>
              <w:rPr>
                <w:sz w:val="20"/>
                <w:szCs w:val="20"/>
                <w:color w:val="auto"/>
              </w:rPr>
            </w:pPr>
            <w:r>
              <w:rPr>
                <w:rFonts w:ascii="Arial" w:cs="Arial" w:eastAsia="Arial" w:hAnsi="Arial"/>
                <w:sz w:val="17"/>
                <w:szCs w:val="17"/>
                <w:color w:val="auto"/>
              </w:rPr>
              <w:t>Graham Park Plaza</w:t>
            </w:r>
          </w:p>
        </w:tc>
        <w:tc>
          <w:tcPr>
            <w:tcW w:w="1760" w:type="dxa"/>
            <w:vAlign w:val="bottom"/>
            <w:shd w:val="clear" w:color="auto" w:fill="CCEEFF"/>
          </w:tcPr>
          <w:p>
            <w:pPr>
              <w:ind w:left="160"/>
              <w:spacing w:after="0" w:line="162" w:lineRule="exact"/>
              <w:rPr>
                <w:sz w:val="20"/>
                <w:szCs w:val="20"/>
                <w:color w:val="auto"/>
              </w:rPr>
            </w:pPr>
            <w:r>
              <w:rPr>
                <w:rFonts w:ascii="Arial" w:cs="Arial" w:eastAsia="Arial" w:hAnsi="Arial"/>
                <w:sz w:val="17"/>
                <w:szCs w:val="17"/>
                <w:color w:val="auto"/>
                <w:w w:val="97"/>
              </w:rPr>
              <w:t>Falls Church, Virginia</w:t>
            </w: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7"/>
                <w:szCs w:val="17"/>
                <w:color w:val="auto"/>
              </w:rPr>
              <w:t>$</w:t>
            </w:r>
          </w:p>
        </w:tc>
        <w:tc>
          <w:tcPr>
            <w:tcW w:w="5920" w:type="dxa"/>
            <w:vAlign w:val="bottom"/>
            <w:shd w:val="clear" w:color="auto" w:fill="CCEEFF"/>
          </w:tcPr>
          <w:p>
            <w:pPr>
              <w:jc w:val="right"/>
              <w:ind w:right="4915"/>
              <w:spacing w:after="0" w:line="162" w:lineRule="exact"/>
              <w:rPr>
                <w:sz w:val="20"/>
                <w:szCs w:val="20"/>
                <w:color w:val="auto"/>
              </w:rPr>
            </w:pPr>
            <w:r>
              <w:rPr>
                <w:rFonts w:ascii="Arial" w:cs="Arial" w:eastAsia="Arial" w:hAnsi="Arial"/>
                <w:sz w:val="17"/>
                <w:szCs w:val="17"/>
                <w:color w:val="auto"/>
              </w:rPr>
              <w:t>20.3</w:t>
            </w:r>
          </w:p>
        </w:tc>
      </w:tr>
      <w:tr>
        <w:trPr>
          <w:trHeight w:val="216"/>
        </w:trPr>
        <w:tc>
          <w:tcPr>
            <w:tcW w:w="1300" w:type="dxa"/>
            <w:vAlign w:val="bottom"/>
            <w:shd w:val="clear" w:color="auto" w:fill="CCEEFF"/>
          </w:tcPr>
          <w:p>
            <w:pPr>
              <w:spacing w:after="0"/>
              <w:rPr>
                <w:sz w:val="18"/>
                <w:szCs w:val="18"/>
                <w:color w:val="auto"/>
              </w:rPr>
            </w:pPr>
          </w:p>
        </w:tc>
        <w:tc>
          <w:tcPr>
            <w:tcW w:w="19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(portion)</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r>
      <w:tr>
        <w:trPr>
          <w:trHeight w:val="162"/>
        </w:trPr>
        <w:tc>
          <w:tcPr>
            <w:tcW w:w="1300" w:type="dxa"/>
            <w:vAlign w:val="bottom"/>
          </w:tcPr>
          <w:p>
            <w:pPr>
              <w:ind w:left="20"/>
              <w:spacing w:after="0" w:line="162" w:lineRule="exact"/>
              <w:rPr>
                <w:sz w:val="20"/>
                <w:szCs w:val="20"/>
                <w:color w:val="auto"/>
              </w:rPr>
            </w:pPr>
            <w:r>
              <w:rPr>
                <w:rFonts w:ascii="Arial" w:cs="Arial" w:eastAsia="Arial" w:hAnsi="Arial"/>
                <w:sz w:val="17"/>
                <w:szCs w:val="17"/>
                <w:color w:val="auto"/>
                <w:w w:val="95"/>
              </w:rPr>
              <w:t>October 29, 2021</w:t>
            </w:r>
          </w:p>
        </w:tc>
        <w:tc>
          <w:tcPr>
            <w:tcW w:w="1940" w:type="dxa"/>
            <w:vAlign w:val="bottom"/>
          </w:tcPr>
          <w:p>
            <w:pPr>
              <w:ind w:left="100"/>
              <w:spacing w:after="0" w:line="162" w:lineRule="exact"/>
              <w:rPr>
                <w:sz w:val="20"/>
                <w:szCs w:val="20"/>
                <w:color w:val="auto"/>
              </w:rPr>
            </w:pPr>
            <w:r>
              <w:rPr>
                <w:rFonts w:ascii="Arial" w:cs="Arial" w:eastAsia="Arial" w:hAnsi="Arial"/>
                <w:sz w:val="17"/>
                <w:szCs w:val="17"/>
                <w:color w:val="auto"/>
              </w:rPr>
              <w:t>White Marsh Other</w:t>
            </w:r>
          </w:p>
        </w:tc>
        <w:tc>
          <w:tcPr>
            <w:tcW w:w="1760" w:type="dxa"/>
            <w:vAlign w:val="bottom"/>
          </w:tcPr>
          <w:p>
            <w:pPr>
              <w:ind w:left="160"/>
              <w:spacing w:after="0" w:line="162" w:lineRule="exact"/>
              <w:rPr>
                <w:sz w:val="20"/>
                <w:szCs w:val="20"/>
                <w:color w:val="auto"/>
              </w:rPr>
            </w:pPr>
            <w:r>
              <w:rPr>
                <w:rFonts w:ascii="Arial" w:cs="Arial" w:eastAsia="Arial" w:hAnsi="Arial"/>
                <w:sz w:val="17"/>
                <w:szCs w:val="17"/>
                <w:color w:val="auto"/>
              </w:rPr>
              <w:t>Baltimore, Maryland</w:t>
            </w:r>
          </w:p>
        </w:tc>
        <w:tc>
          <w:tcPr>
            <w:tcW w:w="160" w:type="dxa"/>
            <w:vAlign w:val="bottom"/>
          </w:tcPr>
          <w:p>
            <w:pPr>
              <w:jc w:val="right"/>
              <w:spacing w:after="0" w:line="162" w:lineRule="exact"/>
              <w:rPr>
                <w:sz w:val="20"/>
                <w:szCs w:val="20"/>
                <w:color w:val="auto"/>
              </w:rPr>
            </w:pPr>
            <w:r>
              <w:rPr>
                <w:rFonts w:ascii="Arial" w:cs="Arial" w:eastAsia="Arial" w:hAnsi="Arial"/>
                <w:sz w:val="17"/>
                <w:szCs w:val="17"/>
                <w:color w:val="auto"/>
              </w:rPr>
              <w:t>$</w:t>
            </w:r>
          </w:p>
        </w:tc>
        <w:tc>
          <w:tcPr>
            <w:tcW w:w="5920" w:type="dxa"/>
            <w:vAlign w:val="bottom"/>
          </w:tcPr>
          <w:p>
            <w:pPr>
              <w:jc w:val="right"/>
              <w:ind w:right="4915"/>
              <w:spacing w:after="0" w:line="162" w:lineRule="exact"/>
              <w:rPr>
                <w:sz w:val="20"/>
                <w:szCs w:val="20"/>
                <w:color w:val="auto"/>
              </w:rPr>
            </w:pPr>
            <w:r>
              <w:rPr>
                <w:rFonts w:ascii="Arial" w:cs="Arial" w:eastAsia="Arial" w:hAnsi="Arial"/>
                <w:sz w:val="17"/>
                <w:szCs w:val="17"/>
                <w:color w:val="auto"/>
              </w:rPr>
              <w:t>4.1</w:t>
            </w:r>
          </w:p>
        </w:tc>
      </w:tr>
      <w:tr>
        <w:trPr>
          <w:trHeight w:val="216"/>
        </w:trPr>
        <w:tc>
          <w:tcPr>
            <w:tcW w:w="1300" w:type="dxa"/>
            <w:vAlign w:val="bottom"/>
          </w:tcPr>
          <w:p>
            <w:pPr>
              <w:spacing w:after="0"/>
              <w:rPr>
                <w:sz w:val="18"/>
                <w:szCs w:val="18"/>
                <w:color w:val="auto"/>
              </w:rPr>
            </w:pPr>
          </w:p>
        </w:tc>
        <w:tc>
          <w:tcPr>
            <w:tcW w:w="1940" w:type="dxa"/>
            <w:vAlign w:val="bottom"/>
          </w:tcPr>
          <w:p>
            <w:pPr>
              <w:ind w:left="100"/>
              <w:spacing w:after="0"/>
              <w:rPr>
                <w:sz w:val="20"/>
                <w:szCs w:val="20"/>
                <w:color w:val="auto"/>
              </w:rPr>
            </w:pPr>
            <w:r>
              <w:rPr>
                <w:rFonts w:ascii="Arial" w:cs="Arial" w:eastAsia="Arial" w:hAnsi="Arial"/>
                <w:sz w:val="17"/>
                <w:szCs w:val="17"/>
                <w:color w:val="auto"/>
              </w:rPr>
              <w:t>(portion)</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162"/>
        </w:trPr>
        <w:tc>
          <w:tcPr>
            <w:tcW w:w="13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November 1,</w:t>
            </w:r>
          </w:p>
        </w:tc>
        <w:tc>
          <w:tcPr>
            <w:tcW w:w="1940" w:type="dxa"/>
            <w:vAlign w:val="bottom"/>
            <w:shd w:val="clear" w:color="auto" w:fill="CCEEFF"/>
          </w:tcPr>
          <w:p>
            <w:pPr>
              <w:ind w:left="100"/>
              <w:spacing w:after="0" w:line="162" w:lineRule="exact"/>
              <w:rPr>
                <w:sz w:val="20"/>
                <w:szCs w:val="20"/>
                <w:color w:val="auto"/>
              </w:rPr>
            </w:pPr>
            <w:r>
              <w:rPr>
                <w:rFonts w:ascii="Arial" w:cs="Arial" w:eastAsia="Arial" w:hAnsi="Arial"/>
                <w:sz w:val="17"/>
                <w:szCs w:val="17"/>
                <w:color w:val="auto"/>
              </w:rPr>
              <w:t>3419 Main Highway (3)</w:t>
            </w:r>
          </w:p>
        </w:tc>
        <w:tc>
          <w:tcPr>
            <w:tcW w:w="1760" w:type="dxa"/>
            <w:vAlign w:val="bottom"/>
            <w:shd w:val="clear" w:color="auto" w:fill="CCEEFF"/>
          </w:tcPr>
          <w:p>
            <w:pPr>
              <w:ind w:left="160"/>
              <w:spacing w:after="0" w:line="162" w:lineRule="exact"/>
              <w:rPr>
                <w:sz w:val="20"/>
                <w:szCs w:val="20"/>
                <w:color w:val="auto"/>
              </w:rPr>
            </w:pPr>
            <w:r>
              <w:rPr>
                <w:rFonts w:ascii="Arial" w:cs="Arial" w:eastAsia="Arial" w:hAnsi="Arial"/>
                <w:sz w:val="17"/>
                <w:szCs w:val="17"/>
                <w:color w:val="auto"/>
              </w:rPr>
              <w:t>Coconut Grove,</w:t>
            </w: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7"/>
                <w:szCs w:val="17"/>
                <w:color w:val="auto"/>
              </w:rPr>
              <w:t>$</w:t>
            </w:r>
          </w:p>
        </w:tc>
        <w:tc>
          <w:tcPr>
            <w:tcW w:w="5920" w:type="dxa"/>
            <w:vAlign w:val="bottom"/>
            <w:shd w:val="clear" w:color="auto" w:fill="CCEEFF"/>
          </w:tcPr>
          <w:p>
            <w:pPr>
              <w:jc w:val="right"/>
              <w:ind w:right="4915"/>
              <w:spacing w:after="0" w:line="162" w:lineRule="exact"/>
              <w:rPr>
                <w:sz w:val="20"/>
                <w:szCs w:val="20"/>
                <w:color w:val="auto"/>
              </w:rPr>
            </w:pPr>
            <w:r>
              <w:rPr>
                <w:rFonts w:ascii="Arial" w:cs="Arial" w:eastAsia="Arial" w:hAnsi="Arial"/>
                <w:sz w:val="17"/>
                <w:szCs w:val="17"/>
                <w:color w:val="auto"/>
              </w:rPr>
              <w:t>4.3</w:t>
            </w:r>
          </w:p>
        </w:tc>
      </w:tr>
      <w:tr>
        <w:trPr>
          <w:trHeight w:val="216"/>
        </w:trPr>
        <w:tc>
          <w:tcPr>
            <w:tcW w:w="1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940" w:type="dxa"/>
            <w:vAlign w:val="bottom"/>
            <w:shd w:val="clear" w:color="auto" w:fill="CCEEFF"/>
          </w:tcPr>
          <w:p>
            <w:pPr>
              <w:spacing w:after="0"/>
              <w:rPr>
                <w:sz w:val="18"/>
                <w:szCs w:val="18"/>
                <w:color w:val="auto"/>
              </w:rPr>
            </w:pPr>
          </w:p>
        </w:tc>
        <w:tc>
          <w:tcPr>
            <w:tcW w:w="1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Florida</w:t>
            </w:r>
          </w:p>
        </w:tc>
        <w:tc>
          <w:tcPr>
            <w:tcW w:w="16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r>
      <w:tr>
        <w:trPr>
          <w:trHeight w:val="162"/>
        </w:trPr>
        <w:tc>
          <w:tcPr>
            <w:tcW w:w="1300" w:type="dxa"/>
            <w:vAlign w:val="bottom"/>
          </w:tcPr>
          <w:p>
            <w:pPr>
              <w:ind w:left="20"/>
              <w:spacing w:after="0" w:line="162" w:lineRule="exact"/>
              <w:rPr>
                <w:sz w:val="20"/>
                <w:szCs w:val="20"/>
                <w:color w:val="auto"/>
              </w:rPr>
            </w:pPr>
            <w:r>
              <w:rPr>
                <w:rFonts w:ascii="Arial" w:cs="Arial" w:eastAsia="Arial" w:hAnsi="Arial"/>
                <w:sz w:val="17"/>
                <w:szCs w:val="17"/>
                <w:color w:val="auto"/>
              </w:rPr>
              <w:t>December 13,</w:t>
            </w:r>
          </w:p>
        </w:tc>
        <w:tc>
          <w:tcPr>
            <w:tcW w:w="1940" w:type="dxa"/>
            <w:vAlign w:val="bottom"/>
          </w:tcPr>
          <w:p>
            <w:pPr>
              <w:ind w:left="100"/>
              <w:spacing w:after="0" w:line="162" w:lineRule="exact"/>
              <w:rPr>
                <w:sz w:val="20"/>
                <w:szCs w:val="20"/>
                <w:color w:val="auto"/>
              </w:rPr>
            </w:pPr>
            <w:r>
              <w:rPr>
                <w:rFonts w:ascii="Arial" w:cs="Arial" w:eastAsia="Arial" w:hAnsi="Arial"/>
                <w:sz w:val="17"/>
                <w:szCs w:val="17"/>
                <w:color w:val="auto"/>
              </w:rPr>
              <w:t>Saugus Plaza</w:t>
            </w:r>
          </w:p>
        </w:tc>
        <w:tc>
          <w:tcPr>
            <w:tcW w:w="1760" w:type="dxa"/>
            <w:vAlign w:val="bottom"/>
          </w:tcPr>
          <w:p>
            <w:pPr>
              <w:ind w:left="160"/>
              <w:spacing w:after="0" w:line="162" w:lineRule="exact"/>
              <w:rPr>
                <w:sz w:val="20"/>
                <w:szCs w:val="20"/>
                <w:color w:val="auto"/>
              </w:rPr>
            </w:pPr>
            <w:r>
              <w:rPr>
                <w:rFonts w:ascii="Arial" w:cs="Arial" w:eastAsia="Arial" w:hAnsi="Arial"/>
                <w:sz w:val="17"/>
                <w:szCs w:val="17"/>
                <w:color w:val="auto"/>
              </w:rPr>
              <w:t>Saugus,</w:t>
            </w:r>
          </w:p>
        </w:tc>
        <w:tc>
          <w:tcPr>
            <w:tcW w:w="160" w:type="dxa"/>
            <w:vAlign w:val="bottom"/>
          </w:tcPr>
          <w:p>
            <w:pPr>
              <w:jc w:val="right"/>
              <w:spacing w:after="0" w:line="162" w:lineRule="exact"/>
              <w:rPr>
                <w:sz w:val="20"/>
                <w:szCs w:val="20"/>
                <w:color w:val="auto"/>
              </w:rPr>
            </w:pPr>
            <w:r>
              <w:rPr>
                <w:rFonts w:ascii="Arial" w:cs="Arial" w:eastAsia="Arial" w:hAnsi="Arial"/>
                <w:sz w:val="17"/>
                <w:szCs w:val="17"/>
                <w:color w:val="auto"/>
              </w:rPr>
              <w:t>$</w:t>
            </w:r>
          </w:p>
        </w:tc>
        <w:tc>
          <w:tcPr>
            <w:tcW w:w="5920" w:type="dxa"/>
            <w:vAlign w:val="bottom"/>
          </w:tcPr>
          <w:p>
            <w:pPr>
              <w:jc w:val="right"/>
              <w:ind w:right="4915"/>
              <w:spacing w:after="0" w:line="162" w:lineRule="exact"/>
              <w:rPr>
                <w:sz w:val="20"/>
                <w:szCs w:val="20"/>
                <w:color w:val="auto"/>
              </w:rPr>
            </w:pPr>
            <w:r>
              <w:rPr>
                <w:rFonts w:ascii="Arial" w:cs="Arial" w:eastAsia="Arial" w:hAnsi="Arial"/>
                <w:sz w:val="17"/>
                <w:szCs w:val="17"/>
                <w:color w:val="auto"/>
              </w:rPr>
              <w:t>39.5</w:t>
            </w:r>
          </w:p>
        </w:tc>
      </w:tr>
      <w:tr>
        <w:trPr>
          <w:trHeight w:val="216"/>
        </w:trPr>
        <w:tc>
          <w:tcPr>
            <w:tcW w:w="1300" w:type="dxa"/>
            <w:vAlign w:val="bottom"/>
          </w:tcPr>
          <w:p>
            <w:pPr>
              <w:ind w:left="20"/>
              <w:spacing w:after="0"/>
              <w:rPr>
                <w:sz w:val="20"/>
                <w:szCs w:val="20"/>
                <w:color w:val="auto"/>
              </w:rPr>
            </w:pPr>
            <w:r>
              <w:rPr>
                <w:rFonts w:ascii="Arial" w:cs="Arial" w:eastAsia="Arial" w:hAnsi="Arial"/>
                <w:sz w:val="17"/>
                <w:szCs w:val="17"/>
                <w:color w:val="auto"/>
              </w:rPr>
              <w:t>2021</w:t>
            </w:r>
          </w:p>
        </w:tc>
        <w:tc>
          <w:tcPr>
            <w:tcW w:w="1940" w:type="dxa"/>
            <w:vAlign w:val="bottom"/>
          </w:tcPr>
          <w:p>
            <w:pPr>
              <w:spacing w:after="0"/>
              <w:rPr>
                <w:sz w:val="18"/>
                <w:szCs w:val="18"/>
                <w:color w:val="auto"/>
              </w:rPr>
            </w:pPr>
          </w:p>
        </w:tc>
        <w:tc>
          <w:tcPr>
            <w:tcW w:w="1760" w:type="dxa"/>
            <w:vAlign w:val="bottom"/>
          </w:tcPr>
          <w:p>
            <w:pPr>
              <w:ind w:left="160"/>
              <w:spacing w:after="0"/>
              <w:rPr>
                <w:sz w:val="20"/>
                <w:szCs w:val="20"/>
                <w:color w:val="auto"/>
              </w:rPr>
            </w:pPr>
            <w:r>
              <w:rPr>
                <w:rFonts w:ascii="Arial" w:cs="Arial" w:eastAsia="Arial" w:hAnsi="Arial"/>
                <w:sz w:val="17"/>
                <w:szCs w:val="17"/>
                <w:color w:val="auto"/>
              </w:rPr>
              <w:t>Massachusetts</w:t>
            </w: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162"/>
        </w:trPr>
        <w:tc>
          <w:tcPr>
            <w:tcW w:w="130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December 17,</w:t>
            </w:r>
          </w:p>
        </w:tc>
        <w:tc>
          <w:tcPr>
            <w:tcW w:w="1940" w:type="dxa"/>
            <w:vAlign w:val="bottom"/>
            <w:shd w:val="clear" w:color="auto" w:fill="CCEEFF"/>
          </w:tcPr>
          <w:p>
            <w:pPr>
              <w:ind w:left="100"/>
              <w:spacing w:after="0" w:line="162" w:lineRule="exact"/>
              <w:rPr>
                <w:sz w:val="20"/>
                <w:szCs w:val="20"/>
                <w:color w:val="auto"/>
              </w:rPr>
            </w:pPr>
            <w:r>
              <w:rPr>
                <w:rFonts w:ascii="Arial" w:cs="Arial" w:eastAsia="Arial" w:hAnsi="Arial"/>
                <w:sz w:val="17"/>
                <w:szCs w:val="17"/>
                <w:color w:val="auto"/>
              </w:rPr>
              <w:t>Leesburg Plaza</w:t>
            </w:r>
          </w:p>
        </w:tc>
        <w:tc>
          <w:tcPr>
            <w:tcW w:w="1760" w:type="dxa"/>
            <w:vAlign w:val="bottom"/>
            <w:shd w:val="clear" w:color="auto" w:fill="CCEEFF"/>
          </w:tcPr>
          <w:p>
            <w:pPr>
              <w:ind w:left="160"/>
              <w:spacing w:after="0" w:line="162" w:lineRule="exact"/>
              <w:rPr>
                <w:sz w:val="20"/>
                <w:szCs w:val="20"/>
                <w:color w:val="auto"/>
              </w:rPr>
            </w:pPr>
            <w:r>
              <w:rPr>
                <w:rFonts w:ascii="Arial" w:cs="Arial" w:eastAsia="Arial" w:hAnsi="Arial"/>
                <w:sz w:val="17"/>
                <w:szCs w:val="17"/>
                <w:color w:val="auto"/>
              </w:rPr>
              <w:t>Leesburg, Virginia</w:t>
            </w: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7"/>
                <w:szCs w:val="17"/>
                <w:color w:val="auto"/>
              </w:rPr>
              <w:t>$</w:t>
            </w:r>
          </w:p>
        </w:tc>
        <w:tc>
          <w:tcPr>
            <w:tcW w:w="5920" w:type="dxa"/>
            <w:vAlign w:val="bottom"/>
            <w:shd w:val="clear" w:color="auto" w:fill="CCEEFF"/>
          </w:tcPr>
          <w:p>
            <w:pPr>
              <w:jc w:val="right"/>
              <w:ind w:right="4915"/>
              <w:spacing w:after="0" w:line="162" w:lineRule="exact"/>
              <w:rPr>
                <w:sz w:val="20"/>
                <w:szCs w:val="20"/>
                <w:color w:val="auto"/>
              </w:rPr>
            </w:pPr>
            <w:r>
              <w:rPr>
                <w:rFonts w:ascii="Arial" w:cs="Arial" w:eastAsia="Arial" w:hAnsi="Arial"/>
                <w:sz w:val="17"/>
                <w:szCs w:val="17"/>
                <w:color w:val="auto"/>
              </w:rPr>
              <w:t>73.5</w:t>
            </w:r>
          </w:p>
        </w:tc>
      </w:tr>
      <w:tr>
        <w:trPr>
          <w:trHeight w:val="216"/>
        </w:trPr>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9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(3)  Previously reported as a part of CocoWalk.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Transactions</w:t>
      </w:r>
    </w:p>
    <w:p>
      <w:pPr>
        <w:spacing w:after="0" w:line="172" w:lineRule="exact"/>
        <w:rPr>
          <w:sz w:val="20"/>
          <w:szCs w:val="20"/>
          <w:color w:val="auto"/>
        </w:rPr>
      </w:pPr>
    </w:p>
    <w:p>
      <w:pPr>
        <w:ind w:right="640"/>
        <w:spacing w:after="0" w:line="274" w:lineRule="auto"/>
        <w:rPr>
          <w:sz w:val="20"/>
          <w:szCs w:val="20"/>
          <w:color w:val="auto"/>
        </w:rPr>
      </w:pPr>
      <w:r>
        <w:rPr>
          <w:rFonts w:ascii="Arial" w:cs="Arial" w:eastAsia="Arial" w:hAnsi="Arial"/>
          <w:sz w:val="17"/>
          <w:szCs w:val="17"/>
          <w:color w:val="auto"/>
        </w:rPr>
        <w:t>On May 11, 2021, two of our outstanding mortgage notes receivable were repaid. Including interest, the net proceeds were $33.8 million. As a result of the transaction, our mortgage notes receivable, net of valuation allowance, decreased $30.3 million.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Date</w:t>
            </w:r>
          </w:p>
        </w:tc>
        <w:tc>
          <w:tcPr>
            <w:tcW w:w="23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Type</w:t>
            </w:r>
          </w:p>
        </w:tc>
        <w:tc>
          <w:tcPr>
            <w:tcW w:w="14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Property</w:t>
            </w:r>
          </w:p>
        </w:tc>
        <w:tc>
          <w:tcPr>
            <w:tcW w:w="18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City/State</w:t>
            </w:r>
          </w:p>
        </w:tc>
        <w:tc>
          <w:tcPr>
            <w:tcW w:w="300" w:type="dxa"/>
            <w:vAlign w:val="bottom"/>
          </w:tcPr>
          <w:p>
            <w:pPr>
              <w:spacing w:after="0"/>
              <w:rPr>
                <w:sz w:val="16"/>
                <w:szCs w:val="16"/>
                <w:color w:val="auto"/>
              </w:rPr>
            </w:pPr>
          </w:p>
        </w:tc>
        <w:tc>
          <w:tcPr>
            <w:tcW w:w="4080" w:type="dxa"/>
            <w:vAlign w:val="bottom"/>
          </w:tcPr>
          <w:p>
            <w:pPr>
              <w:jc w:val="center"/>
              <w:ind w:right="3199"/>
              <w:spacing w:after="0"/>
              <w:rPr>
                <w:sz w:val="20"/>
                <w:szCs w:val="20"/>
                <w:color w:val="auto"/>
              </w:rPr>
            </w:pPr>
            <w:r>
              <w:rPr>
                <w:rFonts w:ascii="Arial" w:cs="Arial" w:eastAsia="Arial" w:hAnsi="Arial"/>
                <w:sz w:val="16"/>
                <w:szCs w:val="16"/>
                <w:b w:val="1"/>
                <w:bCs w:val="1"/>
                <w:color w:val="auto"/>
                <w:w w:val="88"/>
              </w:rPr>
              <w:t>Purchase</w:t>
            </w:r>
          </w:p>
        </w:tc>
        <w:tc>
          <w:tcPr>
            <w:tcW w:w="0" w:type="dxa"/>
            <w:vAlign w:val="bottom"/>
          </w:tcPr>
          <w:p>
            <w:pPr>
              <w:spacing w:after="0"/>
              <w:rPr>
                <w:sz w:val="1"/>
                <w:szCs w:val="1"/>
                <w:color w:val="auto"/>
              </w:rPr>
            </w:pPr>
          </w:p>
        </w:tc>
      </w:tr>
      <w:tr>
        <w:trPr>
          <w:trHeight w:val="213"/>
        </w:trPr>
        <w:tc>
          <w:tcPr>
            <w:tcW w:w="1260" w:type="dxa"/>
            <w:vAlign w:val="bottom"/>
            <w:tcBorders>
              <w:bottom w:val="single" w:sz="8" w:color="auto"/>
            </w:tcBorders>
            <w:vMerge w:val="continue"/>
          </w:tcPr>
          <w:p>
            <w:pPr>
              <w:spacing w:after="0"/>
              <w:rPr>
                <w:sz w:val="18"/>
                <w:szCs w:val="18"/>
                <w:color w:val="auto"/>
              </w:rPr>
            </w:pPr>
          </w:p>
        </w:tc>
        <w:tc>
          <w:tcPr>
            <w:tcW w:w="23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jc w:val="center"/>
              <w:ind w:right="3199"/>
              <w:spacing w:after="0"/>
              <w:rPr>
                <w:sz w:val="20"/>
                <w:szCs w:val="20"/>
                <w:color w:val="auto"/>
              </w:rPr>
            </w:pPr>
            <w:r>
              <w:rPr>
                <w:rFonts w:ascii="Arial" w:cs="Arial" w:eastAsia="Arial" w:hAnsi="Arial"/>
                <w:sz w:val="16"/>
                <w:szCs w:val="16"/>
                <w:b w:val="1"/>
                <w:bCs w:val="1"/>
                <w:color w:val="auto"/>
                <w:w w:val="91"/>
              </w:rPr>
              <w:t>Price</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80" w:type="dxa"/>
            <w:vAlign w:val="bottom"/>
          </w:tcPr>
          <w:p>
            <w:pPr>
              <w:jc w:val="center"/>
              <w:ind w:right="3219"/>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rPr>
              <w:t>January 4, 2021</w:t>
            </w:r>
          </w:p>
        </w:tc>
        <w:tc>
          <w:tcPr>
            <w:tcW w:w="2360" w:type="dxa"/>
            <w:vAlign w:val="bottom"/>
            <w:shd w:val="clear" w:color="auto" w:fill="CCEEFF"/>
          </w:tcPr>
          <w:p>
            <w:pPr>
              <w:ind w:left="120"/>
              <w:spacing w:after="0" w:line="163" w:lineRule="exact"/>
              <w:rPr>
                <w:sz w:val="20"/>
                <w:szCs w:val="20"/>
                <w:color w:val="auto"/>
              </w:rPr>
            </w:pPr>
            <w:r>
              <w:rPr>
                <w:rFonts w:ascii="Arial" w:cs="Arial" w:eastAsia="Arial" w:hAnsi="Arial"/>
                <w:sz w:val="17"/>
                <w:szCs w:val="17"/>
                <w:color w:val="auto"/>
              </w:rPr>
              <w:t>Acquisition of partner interest</w:t>
            </w:r>
          </w:p>
        </w:tc>
        <w:tc>
          <w:tcPr>
            <w:tcW w:w="1400" w:type="dxa"/>
            <w:vAlign w:val="bottom"/>
            <w:shd w:val="clear" w:color="auto" w:fill="CCEEFF"/>
          </w:tcPr>
          <w:p>
            <w:pPr>
              <w:ind w:left="180"/>
              <w:spacing w:after="0" w:line="163" w:lineRule="exact"/>
              <w:rPr>
                <w:sz w:val="20"/>
                <w:szCs w:val="20"/>
                <w:color w:val="auto"/>
              </w:rPr>
            </w:pPr>
            <w:r>
              <w:rPr>
                <w:rFonts w:ascii="Arial" w:cs="Arial" w:eastAsia="Arial" w:hAnsi="Arial"/>
                <w:sz w:val="17"/>
                <w:szCs w:val="17"/>
                <w:color w:val="auto"/>
              </w:rPr>
              <w:t>Pike &amp; Rose</w:t>
            </w:r>
          </w:p>
        </w:tc>
        <w:tc>
          <w:tcPr>
            <w:tcW w:w="1840" w:type="dxa"/>
            <w:vAlign w:val="bottom"/>
            <w:shd w:val="clear" w:color="auto" w:fill="CCEEFF"/>
          </w:tcPr>
          <w:p>
            <w:pPr>
              <w:ind w:left="240"/>
              <w:spacing w:after="0" w:line="163" w:lineRule="exact"/>
              <w:rPr>
                <w:sz w:val="20"/>
                <w:szCs w:val="20"/>
                <w:color w:val="auto"/>
              </w:rPr>
            </w:pPr>
            <w:r>
              <w:rPr>
                <w:rFonts w:ascii="Arial" w:cs="Arial" w:eastAsia="Arial" w:hAnsi="Arial"/>
                <w:sz w:val="17"/>
                <w:szCs w:val="17"/>
                <w:color w:val="auto"/>
              </w:rPr>
              <w:t>North Bethesda,</w:t>
            </w:r>
          </w:p>
        </w:tc>
        <w:tc>
          <w:tcPr>
            <w:tcW w:w="300" w:type="dxa"/>
            <w:vAlign w:val="bottom"/>
            <w:shd w:val="clear" w:color="auto" w:fill="CCEEFF"/>
          </w:tcPr>
          <w:p>
            <w:pPr>
              <w:jc w:val="right"/>
              <w:spacing w:after="0" w:line="163" w:lineRule="exact"/>
              <w:rPr>
                <w:sz w:val="20"/>
                <w:szCs w:val="20"/>
                <w:color w:val="auto"/>
              </w:rPr>
            </w:pPr>
            <w:r>
              <w:rPr>
                <w:rFonts w:ascii="Arial" w:cs="Arial" w:eastAsia="Arial" w:hAnsi="Arial"/>
                <w:sz w:val="17"/>
                <w:szCs w:val="17"/>
                <w:color w:val="auto"/>
              </w:rPr>
              <w:t>$</w:t>
            </w:r>
          </w:p>
        </w:tc>
        <w:tc>
          <w:tcPr>
            <w:tcW w:w="4080" w:type="dxa"/>
            <w:vAlign w:val="bottom"/>
            <w:shd w:val="clear" w:color="auto" w:fill="CCEEFF"/>
          </w:tcPr>
          <w:p>
            <w:pPr>
              <w:jc w:val="right"/>
              <w:ind w:right="2879"/>
              <w:spacing w:after="0" w:line="163" w:lineRule="exact"/>
              <w:rPr>
                <w:sz w:val="20"/>
                <w:szCs w:val="20"/>
                <w:color w:val="auto"/>
              </w:rPr>
            </w:pPr>
            <w:r>
              <w:rPr>
                <w:rFonts w:ascii="Arial" w:cs="Arial" w:eastAsia="Arial" w:hAnsi="Arial"/>
                <w:sz w:val="17"/>
                <w:szCs w:val="17"/>
                <w:color w:val="auto"/>
              </w:rPr>
              <w:t>2.3 (4)</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(hotel)</w:t>
            </w:r>
          </w:p>
        </w:tc>
        <w:tc>
          <w:tcPr>
            <w:tcW w:w="18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Maryland</w:t>
            </w:r>
          </w:p>
        </w:tc>
        <w:tc>
          <w:tcPr>
            <w:tcW w:w="3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line="162" w:lineRule="exact"/>
              <w:rPr>
                <w:sz w:val="20"/>
                <w:szCs w:val="20"/>
                <w:color w:val="auto"/>
              </w:rPr>
            </w:pPr>
            <w:r>
              <w:rPr>
                <w:rFonts w:ascii="Arial" w:cs="Arial" w:eastAsia="Arial" w:hAnsi="Arial"/>
                <w:sz w:val="17"/>
                <w:szCs w:val="17"/>
                <w:color w:val="auto"/>
              </w:rPr>
              <w:t>February 22,</w:t>
            </w:r>
          </w:p>
        </w:tc>
        <w:tc>
          <w:tcPr>
            <w:tcW w:w="2360" w:type="dxa"/>
            <w:vAlign w:val="bottom"/>
          </w:tcPr>
          <w:p>
            <w:pPr>
              <w:ind w:left="120"/>
              <w:spacing w:after="0" w:line="162" w:lineRule="exact"/>
              <w:rPr>
                <w:sz w:val="20"/>
                <w:szCs w:val="20"/>
                <w:color w:val="auto"/>
              </w:rPr>
            </w:pPr>
            <w:r>
              <w:rPr>
                <w:rFonts w:ascii="Arial" w:cs="Arial" w:eastAsia="Arial" w:hAnsi="Arial"/>
                <w:sz w:val="17"/>
                <w:szCs w:val="17"/>
                <w:color w:val="auto"/>
              </w:rPr>
              <w:t>Acquisition of fee interest (24</w:t>
            </w:r>
          </w:p>
        </w:tc>
        <w:tc>
          <w:tcPr>
            <w:tcW w:w="1400" w:type="dxa"/>
            <w:vAlign w:val="bottom"/>
          </w:tcPr>
          <w:p>
            <w:pPr>
              <w:ind w:left="180"/>
              <w:spacing w:after="0" w:line="162" w:lineRule="exact"/>
              <w:rPr>
                <w:sz w:val="20"/>
                <w:szCs w:val="20"/>
                <w:color w:val="auto"/>
              </w:rPr>
            </w:pPr>
            <w:r>
              <w:rPr>
                <w:rFonts w:ascii="Arial" w:cs="Arial" w:eastAsia="Arial" w:hAnsi="Arial"/>
                <w:sz w:val="17"/>
                <w:szCs w:val="17"/>
                <w:color w:val="auto"/>
              </w:rPr>
              <w:t>Mount Vernon</w:t>
            </w:r>
          </w:p>
        </w:tc>
        <w:tc>
          <w:tcPr>
            <w:tcW w:w="1840" w:type="dxa"/>
            <w:vAlign w:val="bottom"/>
          </w:tcPr>
          <w:p>
            <w:pPr>
              <w:ind w:left="240"/>
              <w:spacing w:after="0" w:line="162" w:lineRule="exact"/>
              <w:rPr>
                <w:sz w:val="20"/>
                <w:szCs w:val="20"/>
                <w:color w:val="auto"/>
              </w:rPr>
            </w:pPr>
            <w:r>
              <w:rPr>
                <w:rFonts w:ascii="Arial" w:cs="Arial" w:eastAsia="Arial" w:hAnsi="Arial"/>
                <w:sz w:val="17"/>
                <w:szCs w:val="17"/>
                <w:color w:val="auto"/>
              </w:rPr>
              <w:t>Alexandria, Virginia</w:t>
            </w:r>
          </w:p>
        </w:tc>
        <w:tc>
          <w:tcPr>
            <w:tcW w:w="300" w:type="dxa"/>
            <w:vAlign w:val="bottom"/>
          </w:tcPr>
          <w:p>
            <w:pPr>
              <w:spacing w:after="0"/>
              <w:rPr>
                <w:sz w:val="14"/>
                <w:szCs w:val="14"/>
                <w:color w:val="auto"/>
              </w:rPr>
            </w:pPr>
          </w:p>
        </w:tc>
        <w:tc>
          <w:tcPr>
            <w:tcW w:w="4080" w:type="dxa"/>
            <w:vAlign w:val="bottom"/>
          </w:tcPr>
          <w:p>
            <w:pPr>
              <w:jc w:val="right"/>
              <w:ind w:right="2879"/>
              <w:spacing w:after="0" w:line="162" w:lineRule="exact"/>
              <w:rPr>
                <w:sz w:val="20"/>
                <w:szCs w:val="20"/>
                <w:color w:val="auto"/>
              </w:rPr>
            </w:pPr>
            <w:r>
              <w:rPr>
                <w:rFonts w:ascii="Arial" w:cs="Arial" w:eastAsia="Arial" w:hAnsi="Arial"/>
                <w:sz w:val="17"/>
                <w:szCs w:val="17"/>
                <w:color w:val="auto"/>
              </w:rPr>
              <w:t>5.6 (5)</w:t>
            </w:r>
          </w:p>
        </w:tc>
        <w:tc>
          <w:tcPr>
            <w:tcW w:w="0" w:type="dxa"/>
            <w:vAlign w:val="bottom"/>
          </w:tcPr>
          <w:p>
            <w:pPr>
              <w:spacing w:after="0"/>
              <w:rPr>
                <w:sz w:val="1"/>
                <w:szCs w:val="1"/>
                <w:color w:val="auto"/>
              </w:rPr>
            </w:pPr>
          </w:p>
        </w:tc>
      </w:tr>
      <w:tr>
        <w:trPr>
          <w:trHeight w:val="216"/>
        </w:trPr>
        <w:tc>
          <w:tcPr>
            <w:tcW w:w="1260" w:type="dxa"/>
            <w:vAlign w:val="bottom"/>
          </w:tcPr>
          <w:p>
            <w:pPr>
              <w:ind w:left="20"/>
              <w:spacing w:after="0"/>
              <w:rPr>
                <w:sz w:val="20"/>
                <w:szCs w:val="20"/>
                <w:color w:val="auto"/>
              </w:rPr>
            </w:pPr>
            <w:r>
              <w:rPr>
                <w:rFonts w:ascii="Arial" w:cs="Arial" w:eastAsia="Arial" w:hAnsi="Arial"/>
                <w:sz w:val="17"/>
                <w:szCs w:val="17"/>
                <w:color w:val="auto"/>
              </w:rPr>
              <w:t>2021</w:t>
            </w:r>
          </w:p>
        </w:tc>
        <w:tc>
          <w:tcPr>
            <w:tcW w:w="2360" w:type="dxa"/>
            <w:vAlign w:val="bottom"/>
          </w:tcPr>
          <w:p>
            <w:pPr>
              <w:ind w:left="120"/>
              <w:spacing w:after="0"/>
              <w:rPr>
                <w:sz w:val="20"/>
                <w:szCs w:val="20"/>
                <w:color w:val="auto"/>
              </w:rPr>
            </w:pPr>
            <w:r>
              <w:rPr>
                <w:rFonts w:ascii="Arial" w:cs="Arial" w:eastAsia="Arial" w:hAnsi="Arial"/>
                <w:sz w:val="17"/>
                <w:szCs w:val="17"/>
                <w:color w:val="auto"/>
              </w:rPr>
              <w:t>acres)</w:t>
            </w:r>
          </w:p>
        </w:tc>
        <w:tc>
          <w:tcPr>
            <w:tcW w:w="1400" w:type="dxa"/>
            <w:vAlign w:val="bottom"/>
          </w:tcPr>
          <w:p>
            <w:pPr>
              <w:ind w:left="180"/>
              <w:spacing w:after="0"/>
              <w:rPr>
                <w:sz w:val="20"/>
                <w:szCs w:val="20"/>
                <w:color w:val="auto"/>
              </w:rPr>
            </w:pPr>
            <w:r>
              <w:rPr>
                <w:rFonts w:ascii="Arial" w:cs="Arial" w:eastAsia="Arial" w:hAnsi="Arial"/>
                <w:sz w:val="17"/>
                <w:szCs w:val="17"/>
                <w:color w:val="auto"/>
              </w:rPr>
              <w:t>Plaza</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80" w:hanging="332"/>
        <w:spacing w:after="0" w:line="273" w:lineRule="auto"/>
        <w:tabs>
          <w:tab w:leader="none" w:pos="337"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acquired our partner's 20% interest; and consequently, now own 100% of the hotel and consolidated the asset. Additionally, we repaid the $31.5 million mortgage loan encumbering the hotel.</w:t>
      </w:r>
    </w:p>
    <w:p>
      <w:pPr>
        <w:ind w:left="320" w:hanging="312"/>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now own the entire fee interest on this property.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931"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1"/>
              </w:rPr>
              <w:t>Average</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7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Grocery</w:t>
            </w: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300" w:type="dxa"/>
            <w:vAlign w:val="bottom"/>
          </w:tcPr>
          <w:p>
            <w:pPr>
              <w:spacing w:after="0"/>
              <w:rPr>
                <w:sz w:val="10"/>
                <w:szCs w:val="10"/>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MSA Description</w:t>
            </w:r>
          </w:p>
        </w:tc>
        <w:tc>
          <w:tcPr>
            <w:tcW w:w="6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Estate at</w:t>
            </w:r>
          </w:p>
        </w:tc>
        <w:tc>
          <w:tcPr>
            <w:tcW w:w="10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Acreage</w:t>
            </w: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GLA (3)</w:t>
            </w:r>
          </w:p>
        </w:tc>
        <w:tc>
          <w:tcPr>
            <w:tcW w:w="580" w:type="dxa"/>
            <w:vAlign w:val="bottom"/>
          </w:tcPr>
          <w:p>
            <w:pPr>
              <w:jc w:val="right"/>
              <w:ind w:right="57"/>
              <w:spacing w:after="0" w:line="122" w:lineRule="exact"/>
              <w:rPr>
                <w:sz w:val="20"/>
                <w:szCs w:val="20"/>
                <w:color w:val="auto"/>
              </w:rPr>
            </w:pPr>
            <w:r>
              <w:rPr>
                <w:rFonts w:ascii="Arial" w:cs="Arial" w:eastAsia="Arial" w:hAnsi="Arial"/>
                <w:sz w:val="13"/>
                <w:szCs w:val="13"/>
                <w:b w:val="1"/>
                <w:bCs w:val="1"/>
                <w:color w:val="auto"/>
                <w:w w:val="98"/>
              </w:rPr>
              <w:t>Leased</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b w:val="1"/>
                <w:bCs w:val="1"/>
                <w:color w:val="auto"/>
                <w:w w:val="91"/>
              </w:rPr>
              <w:t>Occupied</w:t>
            </w: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Rent</w:t>
            </w:r>
          </w:p>
        </w:tc>
        <w:tc>
          <w:tcPr>
            <w:tcW w:w="660" w:type="dxa"/>
            <w:vAlign w:val="bottom"/>
            <w:vMerge w:val="continue"/>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Anchor</w:t>
            </w:r>
          </w:p>
        </w:tc>
        <w:tc>
          <w:tcPr>
            <w:tcW w:w="740" w:type="dxa"/>
            <w:vAlign w:val="bottom"/>
            <w:vMerge w:val="continue"/>
          </w:tcPr>
          <w:p>
            <w:pPr>
              <w:spacing w:after="0"/>
              <w:rPr>
                <w:sz w:val="10"/>
                <w:szCs w:val="10"/>
                <w:color w:val="auto"/>
              </w:rPr>
            </w:pPr>
          </w:p>
        </w:tc>
        <w:tc>
          <w:tcPr>
            <w:tcW w:w="19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4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(3)</w:t>
            </w: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(3)</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PSF (4)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1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000" w:type="dxa"/>
            <w:vAlign w:val="bottom"/>
            <w:vMerge w:val="restart"/>
          </w:tcPr>
          <w:p>
            <w:pPr>
              <w:jc w:val="center"/>
              <w:spacing w:after="0"/>
              <w:rPr>
                <w:sz w:val="20"/>
                <w:szCs w:val="20"/>
                <w:color w:val="auto"/>
              </w:rPr>
            </w:pPr>
            <w:r>
              <w:rPr>
                <w:rFonts w:ascii="Arial" w:cs="Arial" w:eastAsia="Arial" w:hAnsi="Arial"/>
                <w:sz w:val="11"/>
                <w:szCs w:val="11"/>
                <w:color w:val="auto"/>
                <w:w w:val="88"/>
              </w:rPr>
              <w:t>(in thousands)</w:t>
            </w: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California</w:t>
            </w: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spacing w:after="0" w:line="122" w:lineRule="exact"/>
              <w:rPr>
                <w:sz w:val="20"/>
                <w:szCs w:val="20"/>
                <w:color w:val="auto"/>
              </w:rPr>
            </w:pPr>
            <w:r>
              <w:rPr>
                <w:rFonts w:ascii="Arial" w:cs="Arial" w:eastAsia="Arial" w:hAnsi="Arial"/>
                <w:sz w:val="13"/>
                <w:szCs w:val="13"/>
                <w:color w:val="auto"/>
              </w:rPr>
              <w:t>Azalea</w:t>
            </w:r>
          </w:p>
        </w:tc>
        <w:tc>
          <w:tcPr>
            <w:tcW w:w="62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(5)</w:t>
            </w:r>
          </w:p>
        </w:tc>
        <w:tc>
          <w:tcPr>
            <w:tcW w:w="1340" w:type="dxa"/>
            <w:vAlign w:val="bottom"/>
            <w:tcBorders>
              <w:top w:val="single" w:sz="8" w:color="CCEEFF"/>
            </w:tcBorders>
            <w:gridSpan w:val="2"/>
          </w:tcPr>
          <w:p>
            <w:pPr>
              <w:ind w:left="80"/>
              <w:spacing w:after="0" w:line="122" w:lineRule="exact"/>
              <w:rPr>
                <w:sz w:val="20"/>
                <w:szCs w:val="20"/>
                <w:color w:val="auto"/>
              </w:rPr>
            </w:pPr>
            <w:r>
              <w:rPr>
                <w:rFonts w:ascii="Arial" w:cs="Arial" w:eastAsia="Arial" w:hAnsi="Arial"/>
                <w:sz w:val="13"/>
                <w:szCs w:val="13"/>
                <w:color w:val="auto"/>
              </w:rPr>
              <w:t>Los Angeles-Long</w:t>
            </w:r>
          </w:p>
        </w:tc>
        <w:tc>
          <w:tcPr>
            <w:tcW w:w="60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w w:val="89"/>
              </w:rPr>
              <w:t>$ 107,964</w:t>
            </w:r>
          </w:p>
        </w:tc>
        <w:tc>
          <w:tcPr>
            <w:tcW w:w="1000" w:type="dxa"/>
            <w:vAlign w:val="bottom"/>
            <w:tcBorders>
              <w:top w:val="single" w:sz="8" w:color="CCEEFF"/>
            </w:tcBorders>
          </w:tcPr>
          <w:p>
            <w:pPr>
              <w:jc w:val="center"/>
              <w:spacing w:after="0" w:line="122" w:lineRule="exact"/>
              <w:rPr>
                <w:sz w:val="20"/>
                <w:szCs w:val="20"/>
                <w:color w:val="auto"/>
              </w:rPr>
            </w:pPr>
            <w:r>
              <w:rPr>
                <w:rFonts w:ascii="Arial" w:cs="Arial" w:eastAsia="Arial" w:hAnsi="Arial"/>
                <w:sz w:val="13"/>
                <w:szCs w:val="13"/>
                <w:color w:val="auto"/>
                <w:w w:val="90"/>
              </w:rPr>
              <w:t>40,000</w:t>
            </w:r>
          </w:p>
        </w:tc>
        <w:tc>
          <w:tcPr>
            <w:tcW w:w="54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22</w:t>
            </w:r>
          </w:p>
        </w:tc>
        <w:tc>
          <w:tcPr>
            <w:tcW w:w="62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223,000</w:t>
            </w:r>
          </w:p>
        </w:tc>
        <w:tc>
          <w:tcPr>
            <w:tcW w:w="58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99 %</w:t>
            </w:r>
          </w:p>
        </w:tc>
        <w:tc>
          <w:tcPr>
            <w:tcW w:w="64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99 %</w:t>
            </w:r>
          </w:p>
        </w:tc>
        <w:tc>
          <w:tcPr>
            <w:tcW w:w="50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30.30</w:t>
            </w:r>
          </w:p>
        </w:tc>
        <w:tc>
          <w:tcPr>
            <w:tcW w:w="66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1940" w:type="dxa"/>
            <w:vAlign w:val="bottom"/>
            <w:tcBorders>
              <w:top w:val="single" w:sz="8" w:color="CCEEFF"/>
            </w:tcBorders>
          </w:tcPr>
          <w:p>
            <w:pPr>
              <w:ind w:left="40"/>
              <w:spacing w:after="0" w:line="122" w:lineRule="exact"/>
              <w:rPr>
                <w:sz w:val="20"/>
                <w:szCs w:val="20"/>
                <w:color w:val="auto"/>
              </w:rPr>
            </w:pPr>
            <w:r>
              <w:rPr>
                <w:rFonts w:ascii="Arial" w:cs="Arial" w:eastAsia="Arial" w:hAnsi="Arial"/>
                <w:sz w:val="13"/>
                <w:szCs w:val="13"/>
                <w:color w:val="auto"/>
                <w:w w:val="98"/>
              </w:rPr>
              <w:t>Marshalls / Ross Dress for Less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Beach-Anaheim,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Ulta / Michaels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Bell Gardens</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34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Los Angeles-Long</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112,282</w:t>
            </w:r>
          </w:p>
        </w:tc>
        <w:tc>
          <w:tcPr>
            <w:tcW w:w="10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12,127</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330,000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23.28</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67,000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Food 4 Less</w:t>
            </w: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8"/>
              </w:rPr>
              <w:t>Marshalls / Ross Dress for Less /</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Beach-Anaheim,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Bob's Discount Furniture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tcPr>
          <w:p>
            <w:pPr>
              <w:spacing w:after="0" w:line="122" w:lineRule="exact"/>
              <w:rPr>
                <w:sz w:val="20"/>
                <w:szCs w:val="20"/>
                <w:color w:val="auto"/>
              </w:rPr>
            </w:pPr>
            <w:r>
              <w:rPr>
                <w:rFonts w:ascii="Arial" w:cs="Arial" w:eastAsia="Arial" w:hAnsi="Arial"/>
                <w:sz w:val="13"/>
                <w:szCs w:val="13"/>
                <w:color w:val="auto"/>
              </w:rPr>
              <w:t>Colorado Blvd</w:t>
            </w:r>
          </w:p>
        </w:tc>
        <w:tc>
          <w:tcPr>
            <w:tcW w:w="300" w:type="dxa"/>
            <w:vAlign w:val="bottom"/>
          </w:tcPr>
          <w:p>
            <w:pPr>
              <w:spacing w:after="0"/>
              <w:rPr>
                <w:sz w:val="10"/>
                <w:szCs w:val="10"/>
                <w:color w:val="auto"/>
              </w:rPr>
            </w:pPr>
          </w:p>
        </w:tc>
        <w:tc>
          <w:tcPr>
            <w:tcW w:w="134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Los Angeles-Long</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13,488</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1</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42,000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59.69</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Banana Republic / True Food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Beach-Anaheim,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Kitchen</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Crow Canyon</w:t>
            </w:r>
          </w:p>
        </w:tc>
        <w:tc>
          <w:tcPr>
            <w:tcW w:w="3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88"/>
              </w:rPr>
              <w:t>San Francisco-Oakland-</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90,674</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243,000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28.28</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32,000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Sprouts</w:t>
            </w: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Total Wine &amp; More / Rite Aid</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Commons</w:t>
            </w: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Hayward,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gridSpan w:val="2"/>
          </w:tcPr>
          <w:p>
            <w:pPr>
              <w:spacing w:after="0" w:line="122" w:lineRule="exact"/>
              <w:rPr>
                <w:sz w:val="20"/>
                <w:szCs w:val="20"/>
                <w:color w:val="auto"/>
              </w:rPr>
            </w:pPr>
            <w:r>
              <w:rPr>
                <w:rFonts w:ascii="Arial" w:cs="Arial" w:eastAsia="Arial" w:hAnsi="Arial"/>
                <w:sz w:val="13"/>
                <w:szCs w:val="13"/>
                <w:color w:val="auto"/>
              </w:rPr>
              <w:t>East Bay Bridge</w:t>
            </w:r>
          </w:p>
        </w:tc>
        <w:tc>
          <w:tcPr>
            <w:tcW w:w="300" w:type="dxa"/>
            <w:vAlign w:val="bottom"/>
          </w:tcPr>
          <w:p>
            <w:pPr>
              <w:spacing w:after="0"/>
              <w:rPr>
                <w:sz w:val="10"/>
                <w:szCs w:val="10"/>
                <w:color w:val="auto"/>
              </w:rPr>
            </w:pPr>
          </w:p>
        </w:tc>
        <w:tc>
          <w:tcPr>
            <w:tcW w:w="134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88"/>
              </w:rPr>
              <w:t>San Francisco-Oakland-</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179,458</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32</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440,000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99 %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99 %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19.43</w:t>
            </w:r>
          </w:p>
        </w:tc>
        <w:tc>
          <w:tcPr>
            <w:tcW w:w="6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color w:val="auto"/>
                <w:w w:val="85"/>
              </w:rPr>
              <w:t>59,000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w w:val="99"/>
              </w:rPr>
              <w:t>Pak-N-Save</w:t>
            </w: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w w:val="97"/>
              </w:rPr>
              <w:t>Home Depot / Target / Nordstrom</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Hayward,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Rack</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2"/>
              </w:rPr>
              <w:t>Escondido Promenade</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34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San Diego-Carlsbad,</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54,769</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298,000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28.79</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6"/>
              </w:rPr>
              <w:t>TJ Maxx / Dick’s Sporting Goods /</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3"/>
                <w:szCs w:val="13"/>
                <w:color w:val="auto"/>
              </w:rPr>
              <w:t>CA</w:t>
            </w:r>
          </w:p>
        </w:tc>
        <w:tc>
          <w:tcPr>
            <w:tcW w:w="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4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Ross Dress For Less / Bob's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Discount Furniture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gridSpan w:val="2"/>
          </w:tcPr>
          <w:p>
            <w:pPr>
              <w:spacing w:after="0" w:line="122" w:lineRule="exact"/>
              <w:rPr>
                <w:sz w:val="20"/>
                <w:szCs w:val="20"/>
                <w:color w:val="auto"/>
              </w:rPr>
            </w:pPr>
            <w:r>
              <w:rPr>
                <w:rFonts w:ascii="Arial" w:cs="Arial" w:eastAsia="Arial" w:hAnsi="Arial"/>
                <w:sz w:val="13"/>
                <w:szCs w:val="13"/>
                <w:color w:val="auto"/>
              </w:rPr>
              <w:t>Fourth Street</w:t>
            </w:r>
          </w:p>
        </w:tc>
        <w:tc>
          <w:tcPr>
            <w:tcW w:w="300" w:type="dxa"/>
            <w:vAlign w:val="bottom"/>
          </w:tcPr>
          <w:p>
            <w:pPr>
              <w:jc w:val="right"/>
              <w:spacing w:after="0" w:line="122" w:lineRule="exact"/>
              <w:rPr>
                <w:sz w:val="20"/>
                <w:szCs w:val="20"/>
                <w:color w:val="auto"/>
              </w:rPr>
            </w:pPr>
            <w:r>
              <w:rPr>
                <w:rFonts w:ascii="Arial" w:cs="Arial" w:eastAsia="Arial" w:hAnsi="Arial"/>
                <w:sz w:val="13"/>
                <w:szCs w:val="13"/>
                <w:color w:val="auto"/>
              </w:rPr>
              <w:t>(5)</w:t>
            </w:r>
          </w:p>
        </w:tc>
        <w:tc>
          <w:tcPr>
            <w:tcW w:w="134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88"/>
              </w:rPr>
              <w:t>San Francisco-Oakland-</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27,232</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3</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71,000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78 %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78 %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32.66</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CB2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Hayward,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Freedom Plaza</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34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Los Angeles-Long</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43,875</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114,000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91 %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30.17</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31,000</w:t>
            </w:r>
          </w:p>
        </w:tc>
        <w:tc>
          <w:tcPr>
            <w:tcW w:w="26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89"/>
              </w:rPr>
              <w:t>Smart &amp; Final Nike / Blink Fitness / Ross Dress For</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Beach-Anaheim,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tcPr>
          <w:p>
            <w:pPr>
              <w:spacing w:after="0" w:line="122" w:lineRule="exact"/>
              <w:rPr>
                <w:sz w:val="20"/>
                <w:szCs w:val="20"/>
                <w:color w:val="auto"/>
              </w:rPr>
            </w:pPr>
            <w:r>
              <w:rPr>
                <w:rFonts w:ascii="Arial" w:cs="Arial" w:eastAsia="Arial" w:hAnsi="Arial"/>
                <w:sz w:val="13"/>
                <w:szCs w:val="13"/>
                <w:color w:val="auto"/>
              </w:rPr>
              <w:t>Grossmont Center</w:t>
            </w:r>
          </w:p>
        </w:tc>
        <w:tc>
          <w:tcPr>
            <w:tcW w:w="300" w:type="dxa"/>
            <w:vAlign w:val="bottom"/>
          </w:tcPr>
          <w:p>
            <w:pPr>
              <w:jc w:val="right"/>
              <w:spacing w:after="0" w:line="122" w:lineRule="exact"/>
              <w:rPr>
                <w:sz w:val="20"/>
                <w:szCs w:val="20"/>
                <w:color w:val="auto"/>
              </w:rPr>
            </w:pPr>
            <w:r>
              <w:rPr>
                <w:rFonts w:ascii="Arial" w:cs="Arial" w:eastAsia="Arial" w:hAnsi="Arial"/>
                <w:sz w:val="13"/>
                <w:szCs w:val="13"/>
                <w:color w:val="auto"/>
              </w:rPr>
              <w:t>(5)</w:t>
            </w:r>
          </w:p>
        </w:tc>
        <w:tc>
          <w:tcPr>
            <w:tcW w:w="134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San Diego-Carlsbad,</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175,918</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64</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933,000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99 %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99 %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14.19</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Target / Walmart / Macy's / CVS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5"/>
              </w:rPr>
              <w:t>Hastings Ranch Plaza</w:t>
            </w:r>
          </w:p>
        </w:tc>
        <w:tc>
          <w:tcPr>
            <w:tcW w:w="3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Los Angeles-Long</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25,705</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273,000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8.47</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Marshalls / HomeGoods / CVS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Beach-Anaheim,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Sears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gridSpan w:val="2"/>
          </w:tcPr>
          <w:p>
            <w:pPr>
              <w:spacing w:after="0" w:line="122" w:lineRule="exact"/>
              <w:rPr>
                <w:sz w:val="20"/>
                <w:szCs w:val="20"/>
                <w:color w:val="auto"/>
              </w:rPr>
            </w:pPr>
            <w:r>
              <w:rPr>
                <w:rFonts w:ascii="Arial" w:cs="Arial" w:eastAsia="Arial" w:hAnsi="Arial"/>
                <w:sz w:val="13"/>
                <w:szCs w:val="13"/>
                <w:color w:val="auto"/>
              </w:rPr>
              <w:t>Hollywood Blvd</w:t>
            </w:r>
          </w:p>
        </w:tc>
        <w:tc>
          <w:tcPr>
            <w:tcW w:w="300" w:type="dxa"/>
            <w:vAlign w:val="bottom"/>
          </w:tcPr>
          <w:p>
            <w:pPr>
              <w:spacing w:after="0"/>
              <w:rPr>
                <w:sz w:val="10"/>
                <w:szCs w:val="10"/>
                <w:color w:val="auto"/>
              </w:rPr>
            </w:pPr>
          </w:p>
        </w:tc>
        <w:tc>
          <w:tcPr>
            <w:tcW w:w="134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Los Angeles-Long</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61,855</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3</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181,000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86 %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86 %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36.54</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Target / Marshalls / L.A.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Beach-Anaheim,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Kings Court</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34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San Jose-Sunnyvale-</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11,610</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81,000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41.56</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31,000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Lunardi's</w:t>
            </w: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Santa Clara,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gridSpan w:val="2"/>
          </w:tcPr>
          <w:p>
            <w:pPr>
              <w:spacing w:after="0" w:line="122" w:lineRule="exact"/>
              <w:rPr>
                <w:sz w:val="20"/>
                <w:szCs w:val="20"/>
                <w:color w:val="auto"/>
              </w:rPr>
            </w:pPr>
            <w:r>
              <w:rPr>
                <w:rFonts w:ascii="Arial" w:cs="Arial" w:eastAsia="Arial" w:hAnsi="Arial"/>
                <w:sz w:val="13"/>
                <w:szCs w:val="13"/>
                <w:color w:val="auto"/>
              </w:rPr>
              <w:t>Old Town Center</w:t>
            </w:r>
          </w:p>
        </w:tc>
        <w:tc>
          <w:tcPr>
            <w:tcW w:w="300" w:type="dxa"/>
            <w:vAlign w:val="bottom"/>
          </w:tcPr>
          <w:p>
            <w:pPr>
              <w:spacing w:after="0"/>
              <w:rPr>
                <w:sz w:val="10"/>
                <w:szCs w:val="10"/>
                <w:color w:val="auto"/>
              </w:rPr>
            </w:pPr>
          </w:p>
        </w:tc>
        <w:tc>
          <w:tcPr>
            <w:tcW w:w="134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San Jose-Sunnyvale-</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39,094</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8</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97,000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90 %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90 %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43.95</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w w:val="93"/>
              </w:rPr>
              <w:t>Anthropologie / Sephora / Teleferic</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Santa Clara,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Barcelona</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Olivo at Mission Hills</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34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Los Angeles-Long</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82,221</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155,000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32.21</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86"/>
              </w:rPr>
              <w:t>Target / 24 Hour Fitness / Ross Dress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Beach-Anaheim,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 Less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gridSpan w:val="2"/>
          </w:tcPr>
          <w:p>
            <w:pPr>
              <w:spacing w:after="0" w:line="122" w:lineRule="exact"/>
              <w:rPr>
                <w:sz w:val="20"/>
                <w:szCs w:val="20"/>
                <w:color w:val="auto"/>
              </w:rPr>
            </w:pPr>
            <w:r>
              <w:rPr>
                <w:rFonts w:ascii="Arial" w:cs="Arial" w:eastAsia="Arial" w:hAnsi="Arial"/>
                <w:sz w:val="13"/>
                <w:szCs w:val="13"/>
                <w:color w:val="auto"/>
              </w:rPr>
              <w:t>Plaza Del Sol</w:t>
            </w:r>
          </w:p>
        </w:tc>
        <w:tc>
          <w:tcPr>
            <w:tcW w:w="300" w:type="dxa"/>
            <w:vAlign w:val="bottom"/>
          </w:tcPr>
          <w:p>
            <w:pPr>
              <w:jc w:val="right"/>
              <w:spacing w:after="0" w:line="122" w:lineRule="exact"/>
              <w:rPr>
                <w:sz w:val="20"/>
                <w:szCs w:val="20"/>
                <w:color w:val="auto"/>
              </w:rPr>
            </w:pPr>
            <w:r>
              <w:rPr>
                <w:rFonts w:ascii="Arial" w:cs="Arial" w:eastAsia="Arial" w:hAnsi="Arial"/>
                <w:sz w:val="13"/>
                <w:szCs w:val="13"/>
                <w:color w:val="auto"/>
              </w:rPr>
              <w:t>(5)</w:t>
            </w:r>
          </w:p>
        </w:tc>
        <w:tc>
          <w:tcPr>
            <w:tcW w:w="134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Los Angeles-Long</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17,881</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4</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48,000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24.91</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Beach-Anaheim,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Plaza El Segundo /</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34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Los Angeles-Long</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299,970</w:t>
            </w:r>
          </w:p>
        </w:tc>
        <w:tc>
          <w:tcPr>
            <w:tcW w:w="10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125,000</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500,000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91 %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45.15</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66,000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1"/>
              </w:rPr>
              <w:t>Whole Foods</w:t>
            </w: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Nordstrom Rack / HomeGoods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Point</w:t>
            </w:r>
          </w:p>
        </w:tc>
        <w:tc>
          <w:tcPr>
            <w:tcW w:w="30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3"/>
                <w:szCs w:val="13"/>
                <w:color w:val="auto"/>
              </w:rPr>
              <w:t>Beach-Anaheim, CA</w:t>
            </w:r>
          </w:p>
        </w:tc>
        <w:tc>
          <w:tcPr>
            <w:tcW w:w="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4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Dick's Sporting Goods / Multiple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tcPr>
          <w:p>
            <w:pPr>
              <w:spacing w:after="0" w:line="122" w:lineRule="exact"/>
              <w:rPr>
                <w:sz w:val="20"/>
                <w:szCs w:val="20"/>
                <w:color w:val="auto"/>
              </w:rPr>
            </w:pPr>
            <w:r>
              <w:rPr>
                <w:rFonts w:ascii="Arial" w:cs="Arial" w:eastAsia="Arial" w:hAnsi="Arial"/>
                <w:sz w:val="13"/>
                <w:szCs w:val="13"/>
                <w:color w:val="auto"/>
              </w:rPr>
              <w:t>San Antonio Center</w:t>
            </w:r>
          </w:p>
        </w:tc>
        <w:tc>
          <w:tcPr>
            <w:tcW w:w="300" w:type="dxa"/>
            <w:vAlign w:val="bottom"/>
          </w:tcPr>
          <w:p>
            <w:pPr>
              <w:jc w:val="right"/>
              <w:spacing w:after="0" w:line="122" w:lineRule="exact"/>
              <w:rPr>
                <w:sz w:val="20"/>
                <w:szCs w:val="20"/>
                <w:color w:val="auto"/>
              </w:rPr>
            </w:pPr>
            <w:r>
              <w:rPr>
                <w:rFonts w:ascii="Arial" w:cs="Arial" w:eastAsia="Arial" w:hAnsi="Arial"/>
                <w:sz w:val="13"/>
                <w:szCs w:val="13"/>
                <w:color w:val="auto"/>
              </w:rPr>
              <w:t>(6)</w:t>
            </w:r>
          </w:p>
        </w:tc>
        <w:tc>
          <w:tcPr>
            <w:tcW w:w="134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San Jose-Sunnyvale-</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48,130</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22</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212,000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98 %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16.52</w:t>
            </w:r>
          </w:p>
        </w:tc>
        <w:tc>
          <w:tcPr>
            <w:tcW w:w="6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color w:val="auto"/>
                <w:w w:val="85"/>
              </w:rPr>
              <w:t>14,000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w w:val="97"/>
              </w:rPr>
              <w:t>Trader Joe's</w:t>
            </w: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Walmart / 24 Hour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Santa Clara,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Santana Row</w:t>
            </w:r>
          </w:p>
        </w:tc>
        <w:tc>
          <w:tcPr>
            <w:tcW w:w="3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San Jose-Sunnyvale-</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1,246,596</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45</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1,208,000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55.20</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2"/>
              </w:rPr>
              <w:t>662</w:t>
            </w: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7"/>
              </w:rPr>
              <w:t>Crate &amp; Barrel / H&amp;M / Best Buy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Santa Clara,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Multiple 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gridSpan w:val="2"/>
          </w:tcPr>
          <w:p>
            <w:pPr>
              <w:spacing w:after="0" w:line="122" w:lineRule="exact"/>
              <w:rPr>
                <w:sz w:val="20"/>
                <w:szCs w:val="20"/>
                <w:color w:val="auto"/>
              </w:rPr>
            </w:pPr>
            <w:r>
              <w:rPr>
                <w:rFonts w:ascii="Arial" w:cs="Arial" w:eastAsia="Arial" w:hAnsi="Arial"/>
                <w:sz w:val="13"/>
                <w:szCs w:val="13"/>
                <w:color w:val="auto"/>
                <w:w w:val="97"/>
              </w:rPr>
              <w:t>Sylmar Towne Center</w:t>
            </w:r>
          </w:p>
        </w:tc>
        <w:tc>
          <w:tcPr>
            <w:tcW w:w="300" w:type="dxa"/>
            <w:vAlign w:val="bottom"/>
          </w:tcPr>
          <w:p>
            <w:pPr>
              <w:jc w:val="right"/>
              <w:spacing w:after="0" w:line="122" w:lineRule="exact"/>
              <w:rPr>
                <w:sz w:val="20"/>
                <w:szCs w:val="20"/>
                <w:color w:val="auto"/>
              </w:rPr>
            </w:pPr>
            <w:r>
              <w:rPr>
                <w:rFonts w:ascii="Arial" w:cs="Arial" w:eastAsia="Arial" w:hAnsi="Arial"/>
                <w:sz w:val="13"/>
                <w:szCs w:val="13"/>
                <w:color w:val="auto"/>
              </w:rPr>
              <w:t>(5)</w:t>
            </w:r>
          </w:p>
        </w:tc>
        <w:tc>
          <w:tcPr>
            <w:tcW w:w="134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Los Angeles-Long</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46,123</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12</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148,000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17.39</w:t>
            </w:r>
          </w:p>
        </w:tc>
        <w:tc>
          <w:tcPr>
            <w:tcW w:w="6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color w:val="auto"/>
                <w:w w:val="85"/>
              </w:rPr>
              <w:t>43,000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w w:val="97"/>
              </w:rPr>
              <w:t>Food 4 Less</w:t>
            </w: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Beach-Anaheim, CA</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Third Street</w:t>
            </w:r>
          </w:p>
        </w:tc>
        <w:tc>
          <w:tcPr>
            <w:tcW w:w="3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Los Angeles-Long</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87,773</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207,000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81 %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60 %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83.92</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adidas / Madewell / Patagonia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Promenade</w:t>
            </w: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Beach-Anaheim, CA</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Multiple Restaurants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tcPr>
          <w:p>
            <w:pPr>
              <w:spacing w:after="0" w:line="122" w:lineRule="exact"/>
              <w:rPr>
                <w:sz w:val="20"/>
                <w:szCs w:val="20"/>
                <w:color w:val="auto"/>
              </w:rPr>
            </w:pPr>
            <w:r>
              <w:rPr>
                <w:rFonts w:ascii="Arial" w:cs="Arial" w:eastAsia="Arial" w:hAnsi="Arial"/>
                <w:sz w:val="13"/>
                <w:szCs w:val="13"/>
                <w:color w:val="auto"/>
              </w:rPr>
              <w:t>Westgate Center</w:t>
            </w:r>
          </w:p>
        </w:tc>
        <w:tc>
          <w:tcPr>
            <w:tcW w:w="300" w:type="dxa"/>
            <w:vAlign w:val="bottom"/>
          </w:tcPr>
          <w:p>
            <w:pPr>
              <w:spacing w:after="0"/>
              <w:rPr>
                <w:sz w:val="10"/>
                <w:szCs w:val="10"/>
                <w:color w:val="auto"/>
              </w:rPr>
            </w:pPr>
          </w:p>
        </w:tc>
        <w:tc>
          <w:tcPr>
            <w:tcW w:w="134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San Jose-Sunnyvale-</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158,152</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44</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648,000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20.19</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Target / Nordstrom Rack / Nike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Santa Clara, CA</w:t>
            </w:r>
          </w:p>
        </w:tc>
        <w:tc>
          <w:tcPr>
            <w:tcW w:w="600" w:type="dxa"/>
            <w:vAlign w:val="bottom"/>
            <w:tcBorders>
              <w:bottom w:val="single" w:sz="8" w:color="auto"/>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Factory / TJ Maxx</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w w:val="90"/>
              </w:rPr>
              <w:t>Total California</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2,930,770</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6,452,000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95 %</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gridSpan w:val="3"/>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880" w:type="dxa"/>
            <w:vAlign w:val="bottom"/>
            <w:gridSpan w:val="5"/>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Washington Metropolitan Area</w:t>
            </w:r>
          </w:p>
        </w:tc>
        <w:tc>
          <w:tcPr>
            <w:tcW w:w="6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tcPr>
          <w:p>
            <w:pPr>
              <w:spacing w:after="0" w:line="122" w:lineRule="exact"/>
              <w:rPr>
                <w:sz w:val="20"/>
                <w:szCs w:val="20"/>
                <w:color w:val="auto"/>
              </w:rPr>
            </w:pPr>
            <w:r>
              <w:rPr>
                <w:rFonts w:ascii="Arial" w:cs="Arial" w:eastAsia="Arial" w:hAnsi="Arial"/>
                <w:sz w:val="13"/>
                <w:szCs w:val="13"/>
                <w:color w:val="auto"/>
              </w:rPr>
              <w:t>Barcroft Plaza</w:t>
            </w:r>
          </w:p>
        </w:tc>
        <w:tc>
          <w:tcPr>
            <w:tcW w:w="300" w:type="dxa"/>
            <w:vAlign w:val="bottom"/>
          </w:tcPr>
          <w:p>
            <w:pPr>
              <w:spacing w:after="0"/>
              <w:rPr>
                <w:sz w:val="10"/>
                <w:szCs w:val="10"/>
                <w:color w:val="auto"/>
              </w:rPr>
            </w:pPr>
          </w:p>
        </w:tc>
        <w:tc>
          <w:tcPr>
            <w:tcW w:w="134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6"/>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50,188</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113,000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$27.93</w:t>
            </w:r>
          </w:p>
        </w:tc>
        <w:tc>
          <w:tcPr>
            <w:tcW w:w="6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color w:val="auto"/>
                <w:w w:val="85"/>
              </w:rPr>
              <w:t>46,000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w w:val="92"/>
              </w:rPr>
              <w:t>Harris Teeter</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Bethesda Row</w:t>
            </w:r>
          </w:p>
        </w:tc>
        <w:tc>
          <w:tcPr>
            <w:tcW w:w="3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6"/>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250,406</w:t>
            </w:r>
          </w:p>
        </w:tc>
        <w:tc>
          <w:tcPr>
            <w:tcW w:w="10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529,000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55.51</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2"/>
              </w:rPr>
              <w:t>180</w:t>
            </w:r>
          </w:p>
        </w:tc>
        <w:tc>
          <w:tcPr>
            <w:tcW w:w="5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40,000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Giant Food</w:t>
            </w:r>
          </w:p>
        </w:tc>
        <w:tc>
          <w:tcPr>
            <w:tcW w:w="19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Apple / Equinox / Anthropologie /</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4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Multiple Restaurants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gridSpan w:val="2"/>
          </w:tcPr>
          <w:p>
            <w:pPr>
              <w:spacing w:after="0" w:line="122" w:lineRule="exact"/>
              <w:rPr>
                <w:sz w:val="20"/>
                <w:szCs w:val="20"/>
                <w:color w:val="auto"/>
              </w:rPr>
            </w:pPr>
            <w:r>
              <w:rPr>
                <w:rFonts w:ascii="Arial" w:cs="Arial" w:eastAsia="Arial" w:hAnsi="Arial"/>
                <w:sz w:val="13"/>
                <w:szCs w:val="13"/>
                <w:color w:val="auto"/>
              </w:rPr>
              <w:t>Birch &amp; Broad</w:t>
            </w:r>
          </w:p>
        </w:tc>
        <w:tc>
          <w:tcPr>
            <w:tcW w:w="300" w:type="dxa"/>
            <w:vAlign w:val="bottom"/>
          </w:tcPr>
          <w:p>
            <w:pPr>
              <w:spacing w:after="0"/>
              <w:rPr>
                <w:sz w:val="10"/>
                <w:szCs w:val="10"/>
                <w:color w:val="auto"/>
              </w:rPr>
            </w:pPr>
          </w:p>
        </w:tc>
        <w:tc>
          <w:tcPr>
            <w:tcW w:w="134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6"/>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23,944</w:t>
            </w:r>
          </w:p>
        </w:tc>
        <w:tc>
          <w:tcPr>
            <w:tcW w:w="10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144,000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36.07</w:t>
            </w:r>
          </w:p>
        </w:tc>
        <w:tc>
          <w:tcPr>
            <w:tcW w:w="6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color w:val="auto"/>
                <w:w w:val="85"/>
              </w:rPr>
              <w:t>51,000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Giant Food</w:t>
            </w:r>
          </w:p>
        </w:tc>
        <w:tc>
          <w:tcPr>
            <w:tcW w:w="1940" w:type="dxa"/>
            <w:vAlign w:val="bottom"/>
          </w:tcPr>
          <w:p>
            <w:pPr>
              <w:ind w:left="40"/>
              <w:spacing w:after="0" w:line="122" w:lineRule="exact"/>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652"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7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Grocery</w:t>
            </w: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Property Name</w:t>
            </w:r>
          </w:p>
        </w:tc>
        <w:tc>
          <w:tcPr>
            <w:tcW w:w="160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MSA Description</w:t>
            </w:r>
          </w:p>
        </w:tc>
        <w:tc>
          <w:tcPr>
            <w:tcW w:w="6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Estate at</w:t>
            </w:r>
          </w:p>
        </w:tc>
        <w:tc>
          <w:tcPr>
            <w:tcW w:w="10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Acreage</w:t>
            </w:r>
          </w:p>
        </w:tc>
        <w:tc>
          <w:tcPr>
            <w:tcW w:w="6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GLA (3)</w:t>
            </w:r>
          </w:p>
        </w:tc>
        <w:tc>
          <w:tcPr>
            <w:tcW w:w="560" w:type="dxa"/>
            <w:vAlign w:val="bottom"/>
          </w:tcPr>
          <w:p>
            <w:pPr>
              <w:jc w:val="right"/>
              <w:ind w:right="57"/>
              <w:spacing w:after="0" w:line="122" w:lineRule="exact"/>
              <w:rPr>
                <w:sz w:val="20"/>
                <w:szCs w:val="20"/>
                <w:color w:val="auto"/>
              </w:rPr>
            </w:pPr>
            <w:r>
              <w:rPr>
                <w:rFonts w:ascii="Arial" w:cs="Arial" w:eastAsia="Arial" w:hAnsi="Arial"/>
                <w:sz w:val="13"/>
                <w:szCs w:val="13"/>
                <w:b w:val="1"/>
                <w:bCs w:val="1"/>
                <w:color w:val="auto"/>
                <w:w w:val="93"/>
              </w:rPr>
              <w:t>Leased</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b w:val="1"/>
                <w:bCs w:val="1"/>
                <w:color w:val="auto"/>
                <w:w w:val="91"/>
              </w:rPr>
              <w:t>Occupied</w:t>
            </w: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Rent</w:t>
            </w:r>
          </w:p>
        </w:tc>
        <w:tc>
          <w:tcPr>
            <w:tcW w:w="660" w:type="dxa"/>
            <w:vAlign w:val="bottom"/>
            <w:vMerge w:val="continue"/>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Anchor</w:t>
            </w:r>
          </w:p>
        </w:tc>
        <w:tc>
          <w:tcPr>
            <w:tcW w:w="760" w:type="dxa"/>
            <w:vAlign w:val="bottom"/>
            <w:vMerge w:val="continue"/>
          </w:tcPr>
          <w:p>
            <w:pPr>
              <w:spacing w:after="0"/>
              <w:rPr>
                <w:sz w:val="10"/>
                <w:szCs w:val="10"/>
                <w:color w:val="auto"/>
              </w:rPr>
            </w:pPr>
          </w:p>
        </w:tc>
        <w:tc>
          <w:tcPr>
            <w:tcW w:w="19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130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w:t>
            </w:r>
          </w:p>
        </w:tc>
        <w:tc>
          <w:tcPr>
            <w:tcW w:w="54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(3)</w:t>
            </w: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(3)</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1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0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040" w:type="dxa"/>
            <w:vAlign w:val="bottom"/>
            <w:vMerge w:val="restart"/>
          </w:tcPr>
          <w:p>
            <w:pPr>
              <w:jc w:val="center"/>
              <w:spacing w:after="0"/>
              <w:rPr>
                <w:sz w:val="20"/>
                <w:szCs w:val="20"/>
                <w:color w:val="auto"/>
              </w:rPr>
            </w:pPr>
            <w:r>
              <w:rPr>
                <w:rFonts w:ascii="Arial" w:cs="Arial" w:eastAsia="Arial" w:hAnsi="Arial"/>
                <w:sz w:val="11"/>
                <w:szCs w:val="11"/>
                <w:color w:val="auto"/>
                <w:w w:val="86"/>
              </w:rPr>
              <w:t>(in thousands)</w:t>
            </w: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104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30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Chesterbrook</w:t>
            </w:r>
          </w:p>
        </w:tc>
        <w:tc>
          <w:tcPr>
            <w:tcW w:w="1600" w:type="dxa"/>
            <w:vAlign w:val="bottom"/>
            <w:shd w:val="clear" w:color="auto" w:fill="CCEEFF"/>
          </w:tcPr>
          <w:p>
            <w:pPr>
              <w:ind w:left="80"/>
              <w:spacing w:after="0" w:line="122" w:lineRule="exact"/>
              <w:rPr>
                <w:sz w:val="20"/>
                <w:szCs w:val="20"/>
                <w:color w:val="auto"/>
              </w:rPr>
            </w:pPr>
            <w:r>
              <w:rPr>
                <w:rFonts w:ascii="Arial" w:cs="Arial" w:eastAsia="Arial" w:hAnsi="Arial"/>
                <w:sz w:val="13"/>
                <w:szCs w:val="13"/>
                <w:color w:val="auto"/>
                <w:w w:val="96"/>
              </w:rPr>
              <w:t>(5)   Washington-Arlington-</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38,276</w:t>
            </w: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9</w:t>
            </w:r>
          </w:p>
        </w:tc>
        <w:tc>
          <w:tcPr>
            <w:tcW w:w="620" w:type="dxa"/>
            <w:vAlign w:val="bottom"/>
            <w:shd w:val="clear" w:color="auto" w:fill="CCEEFF"/>
          </w:tcPr>
          <w:p>
            <w:pPr>
              <w:jc w:val="right"/>
              <w:ind w:right="37"/>
              <w:spacing w:after="0" w:line="122" w:lineRule="exact"/>
              <w:rPr>
                <w:sz w:val="20"/>
                <w:szCs w:val="20"/>
                <w:color w:val="auto"/>
              </w:rPr>
            </w:pPr>
            <w:r>
              <w:rPr>
                <w:rFonts w:ascii="Arial" w:cs="Arial" w:eastAsia="Arial" w:hAnsi="Arial"/>
                <w:sz w:val="13"/>
                <w:szCs w:val="13"/>
                <w:color w:val="auto"/>
              </w:rPr>
              <w:t>90,000</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85 %</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85 %</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26.79</w:t>
            </w: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35,000</w:t>
            </w:r>
          </w:p>
        </w:tc>
        <w:tc>
          <w:tcPr>
            <w:tcW w:w="7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Safeway</w:t>
            </w:r>
          </w:p>
        </w:tc>
        <w:tc>
          <w:tcPr>
            <w:tcW w:w="19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Walgreens / Starbucks</w:t>
            </w: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rPr>
                <w:sz w:val="10"/>
                <w:szCs w:val="10"/>
                <w:color w:val="auto"/>
              </w:rPr>
            </w:pPr>
          </w:p>
        </w:tc>
        <w:tc>
          <w:tcPr>
            <w:tcW w:w="160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spacing w:after="0"/>
              <w:rPr>
                <w:sz w:val="15"/>
                <w:szCs w:val="15"/>
                <w:color w:val="auto"/>
              </w:rPr>
            </w:pPr>
          </w:p>
        </w:tc>
        <w:tc>
          <w:tcPr>
            <w:tcW w:w="16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Congressional Plaza</w:t>
            </w:r>
          </w:p>
        </w:tc>
        <w:tc>
          <w:tcPr>
            <w:tcW w:w="1600" w:type="dxa"/>
            <w:vAlign w:val="bottom"/>
          </w:tcPr>
          <w:p>
            <w:pPr>
              <w:ind w:left="80"/>
              <w:spacing w:after="0" w:line="122" w:lineRule="exact"/>
              <w:rPr>
                <w:sz w:val="20"/>
                <w:szCs w:val="20"/>
                <w:color w:val="auto"/>
              </w:rPr>
            </w:pPr>
            <w:r>
              <w:rPr>
                <w:rFonts w:ascii="Arial" w:cs="Arial" w:eastAsia="Arial" w:hAnsi="Arial"/>
                <w:sz w:val="13"/>
                <w:szCs w:val="13"/>
                <w:color w:val="auto"/>
                <w:w w:val="96"/>
              </w:rPr>
              <w:t>(5)   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107,773</w:t>
            </w:r>
          </w:p>
        </w:tc>
        <w:tc>
          <w:tcPr>
            <w:tcW w:w="10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21</w:t>
            </w:r>
          </w:p>
        </w:tc>
        <w:tc>
          <w:tcPr>
            <w:tcW w:w="620" w:type="dxa"/>
            <w:vAlign w:val="bottom"/>
          </w:tcPr>
          <w:p>
            <w:pPr>
              <w:jc w:val="right"/>
              <w:ind w:right="37"/>
              <w:spacing w:after="0" w:line="122" w:lineRule="exact"/>
              <w:rPr>
                <w:sz w:val="20"/>
                <w:szCs w:val="20"/>
                <w:color w:val="auto"/>
              </w:rPr>
            </w:pPr>
            <w:r>
              <w:rPr>
                <w:rFonts w:ascii="Arial" w:cs="Arial" w:eastAsia="Arial" w:hAnsi="Arial"/>
                <w:sz w:val="13"/>
                <w:szCs w:val="13"/>
                <w:color w:val="auto"/>
              </w:rPr>
              <w:t>324,000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91 %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86 %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42.22</w:t>
            </w:r>
          </w:p>
        </w:tc>
        <w:tc>
          <w:tcPr>
            <w:tcW w:w="660" w:type="dxa"/>
            <w:vAlign w:val="bottom"/>
          </w:tcPr>
          <w:p>
            <w:pPr>
              <w:jc w:val="center"/>
              <w:spacing w:after="0" w:line="122" w:lineRule="exact"/>
              <w:rPr>
                <w:sz w:val="20"/>
                <w:szCs w:val="20"/>
                <w:color w:val="auto"/>
              </w:rPr>
            </w:pPr>
            <w:r>
              <w:rPr>
                <w:rFonts w:ascii="Arial" w:cs="Arial" w:eastAsia="Arial" w:hAnsi="Arial"/>
                <w:sz w:val="13"/>
                <w:szCs w:val="13"/>
                <w:color w:val="auto"/>
                <w:w w:val="92"/>
              </w:rPr>
              <w:t>194</w:t>
            </w: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25,000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The Fresh</w:t>
            </w: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Buy Buy Baby / Ulta / Barnes &amp;</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Market</w:t>
            </w: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Noble / Container Store</w:t>
            </w: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Courthouse Center</w:t>
            </w:r>
          </w:p>
        </w:tc>
        <w:tc>
          <w:tcPr>
            <w:tcW w:w="16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7,116</w:t>
            </w:r>
          </w:p>
        </w:tc>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w:t>
            </w:r>
          </w:p>
        </w:tc>
        <w:tc>
          <w:tcPr>
            <w:tcW w:w="62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38,000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76 %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76 %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22.81</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rPr>
                <w:sz w:val="10"/>
                <w:szCs w:val="10"/>
                <w:color w:val="auto"/>
              </w:rPr>
            </w:pPr>
          </w:p>
        </w:tc>
        <w:tc>
          <w:tcPr>
            <w:tcW w:w="160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spacing w:after="0"/>
              <w:rPr>
                <w:sz w:val="15"/>
                <w:szCs w:val="15"/>
                <w:color w:val="auto"/>
              </w:rPr>
            </w:pPr>
          </w:p>
        </w:tc>
        <w:tc>
          <w:tcPr>
            <w:tcW w:w="16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Fairfax Junction</w:t>
            </w:r>
          </w:p>
        </w:tc>
        <w:tc>
          <w:tcPr>
            <w:tcW w:w="1600" w:type="dxa"/>
            <w:vAlign w:val="bottom"/>
          </w:tcPr>
          <w:p>
            <w:pPr>
              <w:ind w:left="80"/>
              <w:spacing w:after="0" w:line="122" w:lineRule="exact"/>
              <w:rPr>
                <w:sz w:val="20"/>
                <w:szCs w:val="20"/>
                <w:color w:val="auto"/>
              </w:rPr>
            </w:pPr>
            <w:r>
              <w:rPr>
                <w:rFonts w:ascii="Arial" w:cs="Arial" w:eastAsia="Arial" w:hAnsi="Arial"/>
                <w:sz w:val="13"/>
                <w:szCs w:val="13"/>
                <w:color w:val="auto"/>
                <w:w w:val="96"/>
              </w:rPr>
              <w:t>(6)   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41,809</w:t>
            </w:r>
          </w:p>
        </w:tc>
        <w:tc>
          <w:tcPr>
            <w:tcW w:w="10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11</w:t>
            </w:r>
          </w:p>
        </w:tc>
        <w:tc>
          <w:tcPr>
            <w:tcW w:w="620" w:type="dxa"/>
            <w:vAlign w:val="bottom"/>
          </w:tcPr>
          <w:p>
            <w:pPr>
              <w:jc w:val="right"/>
              <w:ind w:right="37"/>
              <w:spacing w:after="0" w:line="122" w:lineRule="exact"/>
              <w:rPr>
                <w:sz w:val="20"/>
                <w:szCs w:val="20"/>
                <w:color w:val="auto"/>
              </w:rPr>
            </w:pPr>
            <w:r>
              <w:rPr>
                <w:rFonts w:ascii="Arial" w:cs="Arial" w:eastAsia="Arial" w:hAnsi="Arial"/>
                <w:sz w:val="13"/>
                <w:szCs w:val="13"/>
                <w:color w:val="auto"/>
              </w:rPr>
              <w:t>124,000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25.50</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23,000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Aldi</w:t>
            </w: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CVS / Planet Fitness</w:t>
            </w: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Federal Plaza</w:t>
            </w:r>
          </w:p>
        </w:tc>
        <w:tc>
          <w:tcPr>
            <w:tcW w:w="16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71,899</w:t>
            </w:r>
          </w:p>
        </w:tc>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18</w:t>
            </w:r>
          </w:p>
        </w:tc>
        <w:tc>
          <w:tcPr>
            <w:tcW w:w="62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249,000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37.11</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14,000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Trader Joe's</w:t>
            </w: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TJ Maxx / Micro Center / Ross</w:t>
            </w: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rPr>
                <w:sz w:val="10"/>
                <w:szCs w:val="10"/>
                <w:color w:val="auto"/>
              </w:rPr>
            </w:pPr>
          </w:p>
        </w:tc>
        <w:tc>
          <w:tcPr>
            <w:tcW w:w="160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Dress For Less</w:t>
            </w: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spacing w:after="0"/>
              <w:rPr>
                <w:sz w:val="15"/>
                <w:szCs w:val="15"/>
                <w:color w:val="auto"/>
              </w:rPr>
            </w:pPr>
          </w:p>
        </w:tc>
        <w:tc>
          <w:tcPr>
            <w:tcW w:w="16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Friendship Center</w:t>
            </w: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w w:val="94"/>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36,465</w:t>
            </w:r>
          </w:p>
        </w:tc>
        <w:tc>
          <w:tcPr>
            <w:tcW w:w="10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w:t>
            </w:r>
          </w:p>
        </w:tc>
        <w:tc>
          <w:tcPr>
            <w:tcW w:w="620" w:type="dxa"/>
            <w:vAlign w:val="bottom"/>
          </w:tcPr>
          <w:p>
            <w:pPr>
              <w:jc w:val="right"/>
              <w:ind w:right="37"/>
              <w:spacing w:after="0" w:line="122" w:lineRule="exact"/>
              <w:rPr>
                <w:sz w:val="20"/>
                <w:szCs w:val="20"/>
                <w:color w:val="auto"/>
              </w:rPr>
            </w:pPr>
            <w:r>
              <w:rPr>
                <w:rFonts w:ascii="Arial" w:cs="Arial" w:eastAsia="Arial" w:hAnsi="Arial"/>
                <w:sz w:val="13"/>
                <w:szCs w:val="13"/>
                <w:color w:val="auto"/>
              </w:rPr>
              <w:t>119,000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66 %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66 %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33.73</w:t>
            </w: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Marshalls / DSW / Maggiano's</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Gaithersburg Square</w:t>
            </w:r>
          </w:p>
        </w:tc>
        <w:tc>
          <w:tcPr>
            <w:tcW w:w="16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36,971</w:t>
            </w:r>
          </w:p>
        </w:tc>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16</w:t>
            </w:r>
          </w:p>
        </w:tc>
        <w:tc>
          <w:tcPr>
            <w:tcW w:w="62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208,000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87 %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31.41</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5"/>
              </w:rPr>
              <w:t>Marshalls / Ross Dress For Less /</w:t>
            </w: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rPr>
                <w:sz w:val="10"/>
                <w:szCs w:val="10"/>
                <w:color w:val="auto"/>
              </w:rPr>
            </w:pPr>
          </w:p>
        </w:tc>
        <w:tc>
          <w:tcPr>
            <w:tcW w:w="160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2"/>
              </w:rPr>
              <w:t>Ashley Furniture HomeStore / CVS</w:t>
            </w: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spacing w:after="0"/>
              <w:rPr>
                <w:sz w:val="15"/>
                <w:szCs w:val="15"/>
                <w:color w:val="auto"/>
              </w:rPr>
            </w:pPr>
          </w:p>
        </w:tc>
        <w:tc>
          <w:tcPr>
            <w:tcW w:w="16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Graham Park Plaza</w:t>
            </w: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w w:val="94"/>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23,426</w:t>
            </w:r>
          </w:p>
        </w:tc>
        <w:tc>
          <w:tcPr>
            <w:tcW w:w="10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10</w:t>
            </w:r>
          </w:p>
        </w:tc>
        <w:tc>
          <w:tcPr>
            <w:tcW w:w="620" w:type="dxa"/>
            <w:vAlign w:val="bottom"/>
          </w:tcPr>
          <w:p>
            <w:pPr>
              <w:jc w:val="right"/>
              <w:ind w:right="37"/>
              <w:spacing w:after="0" w:line="122" w:lineRule="exact"/>
              <w:rPr>
                <w:sz w:val="20"/>
                <w:szCs w:val="20"/>
                <w:color w:val="auto"/>
              </w:rPr>
            </w:pPr>
            <w:r>
              <w:rPr>
                <w:rFonts w:ascii="Arial" w:cs="Arial" w:eastAsia="Arial" w:hAnsi="Arial"/>
                <w:sz w:val="13"/>
                <w:szCs w:val="13"/>
                <w:color w:val="auto"/>
              </w:rPr>
              <w:t>132,000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81 %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39.71</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58,000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Giant Food</w:t>
            </w: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Idylwood Plaza</w:t>
            </w:r>
          </w:p>
        </w:tc>
        <w:tc>
          <w:tcPr>
            <w:tcW w:w="16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17,546</w:t>
            </w:r>
          </w:p>
        </w:tc>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7</w:t>
            </w:r>
          </w:p>
        </w:tc>
        <w:tc>
          <w:tcPr>
            <w:tcW w:w="62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73,000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52.50</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30,000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3"/>
              </w:rPr>
              <w:t>Whole Foods</w:t>
            </w: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rPr>
                <w:sz w:val="10"/>
                <w:szCs w:val="10"/>
                <w:color w:val="auto"/>
              </w:rPr>
            </w:pPr>
          </w:p>
        </w:tc>
        <w:tc>
          <w:tcPr>
            <w:tcW w:w="160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spacing w:after="0"/>
              <w:rPr>
                <w:sz w:val="15"/>
                <w:szCs w:val="15"/>
                <w:color w:val="auto"/>
              </w:rPr>
            </w:pPr>
          </w:p>
        </w:tc>
        <w:tc>
          <w:tcPr>
            <w:tcW w:w="16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Laurel</w:t>
            </w: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w w:val="94"/>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60,362</w:t>
            </w:r>
          </w:p>
        </w:tc>
        <w:tc>
          <w:tcPr>
            <w:tcW w:w="10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26</w:t>
            </w:r>
          </w:p>
        </w:tc>
        <w:tc>
          <w:tcPr>
            <w:tcW w:w="620" w:type="dxa"/>
            <w:vAlign w:val="bottom"/>
          </w:tcPr>
          <w:p>
            <w:pPr>
              <w:jc w:val="right"/>
              <w:ind w:right="37"/>
              <w:spacing w:after="0" w:line="122" w:lineRule="exact"/>
              <w:rPr>
                <w:sz w:val="20"/>
                <w:szCs w:val="20"/>
                <w:color w:val="auto"/>
              </w:rPr>
            </w:pPr>
            <w:r>
              <w:rPr>
                <w:rFonts w:ascii="Arial" w:cs="Arial" w:eastAsia="Arial" w:hAnsi="Arial"/>
                <w:sz w:val="13"/>
                <w:szCs w:val="13"/>
                <w:color w:val="auto"/>
              </w:rPr>
              <w:t>364,000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92 %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22.98</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61,000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Giant Food</w:t>
            </w: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Marshalls / L.A. Fitness /</w:t>
            </w: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HomeGoods</w:t>
            </w: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Montrose Crossing</w:t>
            </w:r>
          </w:p>
        </w:tc>
        <w:tc>
          <w:tcPr>
            <w:tcW w:w="2200" w:type="dxa"/>
            <w:vAlign w:val="bottom"/>
            <w:gridSpan w:val="2"/>
            <w:shd w:val="clear" w:color="auto" w:fill="CCEEFF"/>
          </w:tcPr>
          <w:p>
            <w:pPr>
              <w:ind w:left="360"/>
              <w:spacing w:after="0" w:line="129" w:lineRule="exact"/>
              <w:rPr>
                <w:sz w:val="20"/>
                <w:szCs w:val="20"/>
                <w:color w:val="auto"/>
              </w:rPr>
            </w:pPr>
            <w:r>
              <w:rPr>
                <w:rFonts w:ascii="Arial" w:cs="Arial" w:eastAsia="Arial" w:hAnsi="Arial"/>
                <w:sz w:val="13"/>
                <w:szCs w:val="13"/>
                <w:color w:val="auto"/>
                <w:w w:val="85"/>
              </w:rPr>
              <w:t>Washington-Arlington-167,964</w:t>
            </w:r>
          </w:p>
        </w:tc>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36</w:t>
            </w:r>
          </w:p>
        </w:tc>
        <w:tc>
          <w:tcPr>
            <w:tcW w:w="62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368,000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85 %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34.34</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73,000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Giant Food</w:t>
            </w: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Marshalls / Home Depot Design</w:t>
            </w: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rPr>
                <w:sz w:val="10"/>
                <w:szCs w:val="10"/>
                <w:color w:val="auto"/>
              </w:rPr>
            </w:pPr>
          </w:p>
        </w:tc>
        <w:tc>
          <w:tcPr>
            <w:tcW w:w="160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2"/>
              </w:rPr>
              <w:t>Center / Old Navy / Bob's Discount</w:t>
            </w: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spacing w:after="0"/>
              <w:rPr>
                <w:sz w:val="15"/>
                <w:szCs w:val="15"/>
                <w:color w:val="auto"/>
              </w:rPr>
            </w:pPr>
          </w:p>
        </w:tc>
        <w:tc>
          <w:tcPr>
            <w:tcW w:w="16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Furniture</w:t>
            </w:r>
          </w:p>
        </w:tc>
        <w:tc>
          <w:tcPr>
            <w:tcW w:w="0" w:type="dxa"/>
            <w:vAlign w:val="bottom"/>
          </w:tcPr>
          <w:p>
            <w:pPr>
              <w:spacing w:after="0"/>
              <w:rPr>
                <w:sz w:val="1"/>
                <w:szCs w:val="1"/>
                <w:color w:val="auto"/>
              </w:rPr>
            </w:pPr>
          </w:p>
        </w:tc>
      </w:tr>
      <w:tr>
        <w:trPr>
          <w:trHeight w:val="122"/>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Mount Vernon/South</w:t>
            </w:r>
          </w:p>
        </w:tc>
        <w:tc>
          <w:tcPr>
            <w:tcW w:w="1600" w:type="dxa"/>
            <w:vAlign w:val="bottom"/>
          </w:tcPr>
          <w:p>
            <w:pPr>
              <w:ind w:left="80"/>
              <w:spacing w:after="0" w:line="122" w:lineRule="exact"/>
              <w:rPr>
                <w:sz w:val="20"/>
                <w:szCs w:val="20"/>
                <w:color w:val="auto"/>
              </w:rPr>
            </w:pPr>
            <w:r>
              <w:rPr>
                <w:rFonts w:ascii="Arial" w:cs="Arial" w:eastAsia="Arial" w:hAnsi="Arial"/>
                <w:sz w:val="13"/>
                <w:szCs w:val="13"/>
                <w:color w:val="auto"/>
                <w:w w:val="96"/>
              </w:rPr>
              <w:t>(6)   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93,263</w:t>
            </w:r>
          </w:p>
        </w:tc>
        <w:tc>
          <w:tcPr>
            <w:tcW w:w="10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29</w:t>
            </w:r>
          </w:p>
        </w:tc>
        <w:tc>
          <w:tcPr>
            <w:tcW w:w="620" w:type="dxa"/>
            <w:vAlign w:val="bottom"/>
          </w:tcPr>
          <w:p>
            <w:pPr>
              <w:jc w:val="right"/>
              <w:ind w:right="37"/>
              <w:spacing w:after="0" w:line="122" w:lineRule="exact"/>
              <w:rPr>
                <w:sz w:val="20"/>
                <w:szCs w:val="20"/>
                <w:color w:val="auto"/>
              </w:rPr>
            </w:pPr>
            <w:r>
              <w:rPr>
                <w:rFonts w:ascii="Arial" w:cs="Arial" w:eastAsia="Arial" w:hAnsi="Arial"/>
                <w:sz w:val="13"/>
                <w:szCs w:val="13"/>
                <w:color w:val="auto"/>
              </w:rPr>
              <w:t>565,000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19.37</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62,000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Shoppers</w:t>
            </w: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w w:val="92"/>
              </w:rPr>
              <w:t>TJ Maxx / Home Depot / Bed, Bath</w:t>
            </w:r>
          </w:p>
        </w:tc>
        <w:tc>
          <w:tcPr>
            <w:tcW w:w="0" w:type="dxa"/>
            <w:vAlign w:val="bottom"/>
          </w:tcPr>
          <w:p>
            <w:pPr>
              <w:spacing w:after="0"/>
              <w:rPr>
                <w:sz w:val="1"/>
                <w:szCs w:val="1"/>
                <w:color w:val="auto"/>
              </w:rPr>
            </w:pPr>
          </w:p>
        </w:tc>
      </w:tr>
      <w:tr>
        <w:trPr>
          <w:trHeight w:val="121"/>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w w:val="96"/>
              </w:rPr>
              <w:t>Valley/7770 Richmond</w:t>
            </w: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Food</w:t>
            </w: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&amp; Beyond / Results Fitness</w:t>
            </w:r>
          </w:p>
        </w:tc>
        <w:tc>
          <w:tcPr>
            <w:tcW w:w="0" w:type="dxa"/>
            <w:vAlign w:val="bottom"/>
          </w:tcPr>
          <w:p>
            <w:pPr>
              <w:spacing w:after="0"/>
              <w:rPr>
                <w:sz w:val="1"/>
                <w:szCs w:val="1"/>
                <w:color w:val="auto"/>
              </w:rPr>
            </w:pPr>
          </w:p>
        </w:tc>
      </w:tr>
      <w:tr>
        <w:trPr>
          <w:trHeight w:val="168"/>
        </w:trPr>
        <w:tc>
          <w:tcPr>
            <w:tcW w:w="1300" w:type="dxa"/>
            <w:vAlign w:val="bottom"/>
          </w:tcPr>
          <w:p>
            <w:pPr>
              <w:ind w:left="20"/>
              <w:spacing w:after="0"/>
              <w:rPr>
                <w:sz w:val="20"/>
                <w:szCs w:val="20"/>
                <w:color w:val="auto"/>
              </w:rPr>
            </w:pPr>
            <w:r>
              <w:rPr>
                <w:rFonts w:ascii="Arial" w:cs="Arial" w:eastAsia="Arial" w:hAnsi="Arial"/>
                <w:sz w:val="13"/>
                <w:szCs w:val="13"/>
                <w:color w:val="auto"/>
              </w:rPr>
              <w:t>Hwy</w:t>
            </w:r>
          </w:p>
        </w:tc>
        <w:tc>
          <w:tcPr>
            <w:tcW w:w="1600" w:type="dxa"/>
            <w:vAlign w:val="bottom"/>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Arial" w:cs="Arial" w:eastAsia="Arial" w:hAnsi="Arial"/>
                <w:sz w:val="13"/>
                <w:szCs w:val="13"/>
                <w:color w:val="auto"/>
              </w:rPr>
              <w:t>Warehouse</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Old Keene Mill</w:t>
            </w:r>
          </w:p>
        </w:tc>
        <w:tc>
          <w:tcPr>
            <w:tcW w:w="16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13,186</w:t>
            </w:r>
          </w:p>
        </w:tc>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10</w:t>
            </w:r>
          </w:p>
        </w:tc>
        <w:tc>
          <w:tcPr>
            <w:tcW w:w="62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91,000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35.05</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24,000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3"/>
              </w:rPr>
              <w:t>Whole Foods</w:t>
            </w: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Walgreens / Planet Fitness</w:t>
            </w: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rPr>
                <w:sz w:val="10"/>
                <w:szCs w:val="10"/>
                <w:color w:val="auto"/>
              </w:rPr>
            </w:pPr>
          </w:p>
        </w:tc>
        <w:tc>
          <w:tcPr>
            <w:tcW w:w="160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spacing w:after="0"/>
              <w:rPr>
                <w:sz w:val="15"/>
                <w:szCs w:val="15"/>
                <w:color w:val="auto"/>
              </w:rPr>
            </w:pPr>
          </w:p>
        </w:tc>
        <w:tc>
          <w:tcPr>
            <w:tcW w:w="16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Pan Am</w:t>
            </w: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w w:val="94"/>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30,496</w:t>
            </w:r>
          </w:p>
        </w:tc>
        <w:tc>
          <w:tcPr>
            <w:tcW w:w="10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25</w:t>
            </w:r>
          </w:p>
        </w:tc>
        <w:tc>
          <w:tcPr>
            <w:tcW w:w="620" w:type="dxa"/>
            <w:vAlign w:val="bottom"/>
          </w:tcPr>
          <w:p>
            <w:pPr>
              <w:jc w:val="right"/>
              <w:ind w:right="37"/>
              <w:spacing w:after="0" w:line="122" w:lineRule="exact"/>
              <w:rPr>
                <w:sz w:val="20"/>
                <w:szCs w:val="20"/>
                <w:color w:val="auto"/>
              </w:rPr>
            </w:pPr>
            <w:r>
              <w:rPr>
                <w:rFonts w:ascii="Arial" w:cs="Arial" w:eastAsia="Arial" w:hAnsi="Arial"/>
                <w:sz w:val="13"/>
                <w:szCs w:val="13"/>
                <w:color w:val="auto"/>
              </w:rPr>
              <w:t>228,000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26.18</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65,000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Safeway</w:t>
            </w: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Micro Center / CVS / Michaels</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Pentagon Row</w:t>
            </w:r>
          </w:p>
        </w:tc>
        <w:tc>
          <w:tcPr>
            <w:tcW w:w="2200" w:type="dxa"/>
            <w:vAlign w:val="bottom"/>
            <w:gridSpan w:val="2"/>
            <w:shd w:val="clear" w:color="auto" w:fill="CCEEFF"/>
          </w:tcPr>
          <w:p>
            <w:pPr>
              <w:ind w:left="360"/>
              <w:spacing w:after="0" w:line="129" w:lineRule="exact"/>
              <w:rPr>
                <w:sz w:val="20"/>
                <w:szCs w:val="20"/>
                <w:color w:val="auto"/>
              </w:rPr>
            </w:pPr>
            <w:r>
              <w:rPr>
                <w:rFonts w:ascii="Arial" w:cs="Arial" w:eastAsia="Arial" w:hAnsi="Arial"/>
                <w:sz w:val="13"/>
                <w:szCs w:val="13"/>
                <w:color w:val="auto"/>
                <w:w w:val="85"/>
              </w:rPr>
              <w:t>Washington-Arlington-106,647</w:t>
            </w:r>
          </w:p>
        </w:tc>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14</w:t>
            </w:r>
          </w:p>
        </w:tc>
        <w:tc>
          <w:tcPr>
            <w:tcW w:w="62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297,000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35.63</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45,000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4"/>
              </w:rPr>
              <w:t>Harris Teeter</w:t>
            </w: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TJ Maxx / DSW / Ulta</w:t>
            </w:r>
          </w:p>
        </w:tc>
        <w:tc>
          <w:tcPr>
            <w:tcW w:w="0" w:type="dxa"/>
            <w:vAlign w:val="bottom"/>
          </w:tcPr>
          <w:p>
            <w:pPr>
              <w:spacing w:after="0"/>
              <w:rPr>
                <w:sz w:val="1"/>
                <w:szCs w:val="1"/>
                <w:color w:val="auto"/>
              </w:rPr>
            </w:pPr>
          </w:p>
        </w:tc>
      </w:tr>
      <w:tr>
        <w:trPr>
          <w:trHeight w:val="121"/>
        </w:trPr>
        <w:tc>
          <w:tcPr>
            <w:tcW w:w="1300" w:type="dxa"/>
            <w:vAlign w:val="bottom"/>
            <w:shd w:val="clear" w:color="auto" w:fill="CCEEFF"/>
          </w:tcPr>
          <w:p>
            <w:pPr>
              <w:spacing w:after="0"/>
              <w:rPr>
                <w:sz w:val="10"/>
                <w:szCs w:val="10"/>
                <w:color w:val="auto"/>
              </w:rPr>
            </w:pPr>
          </w:p>
        </w:tc>
        <w:tc>
          <w:tcPr>
            <w:tcW w:w="160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spacing w:after="0"/>
              <w:rPr>
                <w:sz w:val="15"/>
                <w:szCs w:val="15"/>
                <w:color w:val="auto"/>
              </w:rPr>
            </w:pPr>
          </w:p>
        </w:tc>
        <w:tc>
          <w:tcPr>
            <w:tcW w:w="16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Pike &amp; Rose</w:t>
            </w:r>
          </w:p>
        </w:tc>
        <w:tc>
          <w:tcPr>
            <w:tcW w:w="1600" w:type="dxa"/>
            <w:vAlign w:val="bottom"/>
          </w:tcPr>
          <w:p>
            <w:pPr>
              <w:ind w:left="80"/>
              <w:spacing w:after="0" w:line="122" w:lineRule="exact"/>
              <w:rPr>
                <w:sz w:val="20"/>
                <w:szCs w:val="20"/>
                <w:color w:val="auto"/>
              </w:rPr>
            </w:pPr>
            <w:r>
              <w:rPr>
                <w:rFonts w:ascii="Arial" w:cs="Arial" w:eastAsia="Arial" w:hAnsi="Arial"/>
                <w:sz w:val="13"/>
                <w:szCs w:val="13"/>
                <w:color w:val="auto"/>
                <w:w w:val="96"/>
              </w:rPr>
              <w:t>(7)   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724,768</w:t>
            </w:r>
          </w:p>
        </w:tc>
        <w:tc>
          <w:tcPr>
            <w:tcW w:w="10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24</w:t>
            </w:r>
          </w:p>
        </w:tc>
        <w:tc>
          <w:tcPr>
            <w:tcW w:w="620" w:type="dxa"/>
            <w:vAlign w:val="bottom"/>
          </w:tcPr>
          <w:p>
            <w:pPr>
              <w:jc w:val="right"/>
              <w:ind w:right="37"/>
              <w:spacing w:after="0" w:line="122" w:lineRule="exact"/>
              <w:rPr>
                <w:sz w:val="20"/>
                <w:szCs w:val="20"/>
                <w:color w:val="auto"/>
              </w:rPr>
            </w:pPr>
            <w:r>
              <w:rPr>
                <w:rFonts w:ascii="Arial" w:cs="Arial" w:eastAsia="Arial" w:hAnsi="Arial"/>
                <w:sz w:val="13"/>
                <w:szCs w:val="13"/>
                <w:color w:val="auto"/>
              </w:rPr>
              <w:t>622,000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99 %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99 %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40.17</w:t>
            </w:r>
          </w:p>
        </w:tc>
        <w:tc>
          <w:tcPr>
            <w:tcW w:w="660" w:type="dxa"/>
            <w:vAlign w:val="bottom"/>
          </w:tcPr>
          <w:p>
            <w:pPr>
              <w:jc w:val="center"/>
              <w:spacing w:after="0" w:line="122" w:lineRule="exact"/>
              <w:rPr>
                <w:sz w:val="20"/>
                <w:szCs w:val="20"/>
                <w:color w:val="auto"/>
              </w:rPr>
            </w:pPr>
            <w:r>
              <w:rPr>
                <w:rFonts w:ascii="Arial" w:cs="Arial" w:eastAsia="Arial" w:hAnsi="Arial"/>
                <w:sz w:val="13"/>
                <w:szCs w:val="13"/>
                <w:color w:val="auto"/>
                <w:w w:val="92"/>
              </w:rPr>
              <w:t>765</w:t>
            </w: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Porsche / Uniqlo / REI / H&amp;M /</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L.L. Bean / Multiple Restaurants</w:t>
            </w: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Pike 7 Plaza</w:t>
            </w:r>
          </w:p>
        </w:tc>
        <w:tc>
          <w:tcPr>
            <w:tcW w:w="16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50,911</w:t>
            </w:r>
          </w:p>
        </w:tc>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13</w:t>
            </w:r>
          </w:p>
        </w:tc>
        <w:tc>
          <w:tcPr>
            <w:tcW w:w="62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172,000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97 %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86 %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48.37</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4"/>
              </w:rPr>
              <w:t>TJ Maxx / DSW / Crunch Fitness /</w:t>
            </w: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rPr>
                <w:sz w:val="10"/>
                <w:szCs w:val="10"/>
                <w:color w:val="auto"/>
              </w:rPr>
            </w:pPr>
          </w:p>
        </w:tc>
        <w:tc>
          <w:tcPr>
            <w:tcW w:w="160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spacing w:after="0"/>
              <w:rPr>
                <w:sz w:val="15"/>
                <w:szCs w:val="15"/>
                <w:color w:val="auto"/>
              </w:rPr>
            </w:pPr>
          </w:p>
        </w:tc>
        <w:tc>
          <w:tcPr>
            <w:tcW w:w="16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Plaza del Mercado</w:t>
            </w: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w w:val="94"/>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46,972</w:t>
            </w:r>
          </w:p>
        </w:tc>
        <w:tc>
          <w:tcPr>
            <w:tcW w:w="10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10</w:t>
            </w:r>
          </w:p>
        </w:tc>
        <w:tc>
          <w:tcPr>
            <w:tcW w:w="620" w:type="dxa"/>
            <w:vAlign w:val="bottom"/>
          </w:tcPr>
          <w:p>
            <w:pPr>
              <w:jc w:val="right"/>
              <w:ind w:right="37"/>
              <w:spacing w:after="0" w:line="122" w:lineRule="exact"/>
              <w:rPr>
                <w:sz w:val="20"/>
                <w:szCs w:val="20"/>
                <w:color w:val="auto"/>
              </w:rPr>
            </w:pPr>
            <w:r>
              <w:rPr>
                <w:rFonts w:ascii="Arial" w:cs="Arial" w:eastAsia="Arial" w:hAnsi="Arial"/>
                <w:sz w:val="13"/>
                <w:szCs w:val="13"/>
                <w:color w:val="auto"/>
              </w:rPr>
              <w:t>116,000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95 %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95 %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32.16</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18,000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Aldi</w:t>
            </w: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CVS / L.A. Fitness</w:t>
            </w: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Quince Orchard</w:t>
            </w:r>
          </w:p>
        </w:tc>
        <w:tc>
          <w:tcPr>
            <w:tcW w:w="16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41,141</w:t>
            </w:r>
          </w:p>
        </w:tc>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16</w:t>
            </w:r>
          </w:p>
        </w:tc>
        <w:tc>
          <w:tcPr>
            <w:tcW w:w="62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268,000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25.48</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19,000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Aldi</w:t>
            </w: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HomeGoods / L.A. Fitness / Staples</w:t>
            </w: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spacing w:after="0"/>
              <w:rPr>
                <w:sz w:val="10"/>
                <w:szCs w:val="10"/>
                <w:color w:val="auto"/>
              </w:rPr>
            </w:pPr>
          </w:p>
        </w:tc>
        <w:tc>
          <w:tcPr>
            <w:tcW w:w="160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spacing w:after="0"/>
              <w:rPr>
                <w:sz w:val="15"/>
                <w:szCs w:val="15"/>
                <w:color w:val="auto"/>
              </w:rPr>
            </w:pPr>
          </w:p>
        </w:tc>
        <w:tc>
          <w:tcPr>
            <w:tcW w:w="16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w w:val="94"/>
              </w:rPr>
              <w:t>Rockville Town Square</w:t>
            </w:r>
          </w:p>
        </w:tc>
        <w:tc>
          <w:tcPr>
            <w:tcW w:w="1600" w:type="dxa"/>
            <w:vAlign w:val="bottom"/>
          </w:tcPr>
          <w:p>
            <w:pPr>
              <w:ind w:left="80"/>
              <w:spacing w:after="0" w:line="122" w:lineRule="exact"/>
              <w:rPr>
                <w:sz w:val="20"/>
                <w:szCs w:val="20"/>
                <w:color w:val="auto"/>
              </w:rPr>
            </w:pPr>
            <w:r>
              <w:rPr>
                <w:rFonts w:ascii="Arial" w:cs="Arial" w:eastAsia="Arial" w:hAnsi="Arial"/>
                <w:sz w:val="13"/>
                <w:szCs w:val="13"/>
                <w:color w:val="auto"/>
                <w:w w:val="96"/>
              </w:rPr>
              <w:t>(8)   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49,575</w:t>
            </w:r>
          </w:p>
        </w:tc>
        <w:tc>
          <w:tcPr>
            <w:tcW w:w="1040" w:type="dxa"/>
            <w:vAlign w:val="bottom"/>
          </w:tcPr>
          <w:p>
            <w:pPr>
              <w:jc w:val="center"/>
              <w:spacing w:after="0" w:line="122" w:lineRule="exact"/>
              <w:rPr>
                <w:sz w:val="20"/>
                <w:szCs w:val="20"/>
                <w:color w:val="auto"/>
              </w:rPr>
            </w:pPr>
            <w:r>
              <w:rPr>
                <w:rFonts w:ascii="Arial" w:cs="Arial" w:eastAsia="Arial" w:hAnsi="Arial"/>
                <w:sz w:val="13"/>
                <w:szCs w:val="13"/>
                <w:color w:val="auto"/>
                <w:w w:val="85"/>
              </w:rPr>
              <w:t>4,368</w:t>
            </w: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12</w:t>
            </w:r>
          </w:p>
        </w:tc>
        <w:tc>
          <w:tcPr>
            <w:tcW w:w="620" w:type="dxa"/>
            <w:vAlign w:val="bottom"/>
          </w:tcPr>
          <w:p>
            <w:pPr>
              <w:jc w:val="right"/>
              <w:ind w:right="37"/>
              <w:spacing w:after="0" w:line="122" w:lineRule="exact"/>
              <w:rPr>
                <w:sz w:val="20"/>
                <w:szCs w:val="20"/>
                <w:color w:val="auto"/>
              </w:rPr>
            </w:pPr>
            <w:r>
              <w:rPr>
                <w:rFonts w:ascii="Arial" w:cs="Arial" w:eastAsia="Arial" w:hAnsi="Arial"/>
                <w:sz w:val="13"/>
                <w:szCs w:val="13"/>
                <w:color w:val="auto"/>
              </w:rPr>
              <w:t>187,000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79 %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79 %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28.87</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25,000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Dawson's</w:t>
            </w: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CVS / Gold's Gym / Multiple</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Market</w:t>
            </w: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Rollingwood</w:t>
            </w:r>
          </w:p>
        </w:tc>
        <w:tc>
          <w:tcPr>
            <w:tcW w:w="16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13,493</w:t>
            </w:r>
          </w:p>
        </w:tc>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14</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N/A</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N/A</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2"/>
              </w:rPr>
              <w:t>282</w:t>
            </w:r>
          </w:p>
        </w:tc>
        <w:tc>
          <w:tcPr>
            <w:tcW w:w="5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0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Apartments</w:t>
            </w:r>
          </w:p>
        </w:tc>
        <w:tc>
          <w:tcPr>
            <w:tcW w:w="160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spacing w:after="0"/>
              <w:rPr>
                <w:sz w:val="15"/>
                <w:szCs w:val="15"/>
                <w:color w:val="auto"/>
              </w:rPr>
            </w:pPr>
          </w:p>
        </w:tc>
        <w:tc>
          <w:tcPr>
            <w:tcW w:w="16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w w:val="91"/>
              </w:rPr>
              <w:t>Tower Shopping Center</w:t>
            </w: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w w:val="94"/>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22,898</w:t>
            </w:r>
          </w:p>
        </w:tc>
        <w:tc>
          <w:tcPr>
            <w:tcW w:w="10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12</w:t>
            </w:r>
          </w:p>
        </w:tc>
        <w:tc>
          <w:tcPr>
            <w:tcW w:w="620" w:type="dxa"/>
            <w:vAlign w:val="bottom"/>
          </w:tcPr>
          <w:p>
            <w:pPr>
              <w:jc w:val="right"/>
              <w:ind w:right="37"/>
              <w:spacing w:after="0" w:line="122" w:lineRule="exact"/>
              <w:rPr>
                <w:sz w:val="20"/>
                <w:szCs w:val="20"/>
                <w:color w:val="auto"/>
              </w:rPr>
            </w:pPr>
            <w:r>
              <w:rPr>
                <w:rFonts w:ascii="Arial" w:cs="Arial" w:eastAsia="Arial" w:hAnsi="Arial"/>
                <w:sz w:val="13"/>
                <w:szCs w:val="13"/>
                <w:color w:val="auto"/>
              </w:rPr>
              <w:t>111,000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27.20</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26,000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L.A. Mart</w:t>
            </w:r>
          </w:p>
        </w:tc>
        <w:tc>
          <w:tcPr>
            <w:tcW w:w="1920" w:type="dxa"/>
            <w:vAlign w:val="bottom"/>
          </w:tcPr>
          <w:p>
            <w:pPr>
              <w:ind w:left="40"/>
              <w:spacing w:after="0" w:line="122" w:lineRule="exact"/>
              <w:rPr>
                <w:sz w:val="20"/>
                <w:szCs w:val="20"/>
                <w:color w:val="auto"/>
              </w:rPr>
            </w:pPr>
            <w:r>
              <w:rPr>
                <w:rFonts w:ascii="Arial" w:cs="Arial" w:eastAsia="Arial" w:hAnsi="Arial"/>
                <w:sz w:val="13"/>
                <w:szCs w:val="13"/>
                <w:color w:val="auto"/>
              </w:rPr>
              <w:t>Talbots / Total Wine &amp; More</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Twinbrooke Shopping</w:t>
            </w:r>
          </w:p>
        </w:tc>
        <w:tc>
          <w:tcPr>
            <w:tcW w:w="1600" w:type="dxa"/>
            <w:vAlign w:val="bottom"/>
            <w:shd w:val="clear" w:color="auto" w:fill="CCEEFF"/>
          </w:tcPr>
          <w:p>
            <w:pPr>
              <w:ind w:left="360"/>
              <w:spacing w:after="0" w:line="129" w:lineRule="exact"/>
              <w:rPr>
                <w:sz w:val="20"/>
                <w:szCs w:val="20"/>
                <w:color w:val="auto"/>
              </w:rPr>
            </w:pPr>
            <w:r>
              <w:rPr>
                <w:rFonts w:ascii="Arial" w:cs="Arial" w:eastAsia="Arial" w:hAnsi="Arial"/>
                <w:sz w:val="13"/>
                <w:szCs w:val="13"/>
                <w:color w:val="auto"/>
                <w:w w:val="94"/>
              </w:rPr>
              <w:t>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35,439</w:t>
            </w:r>
          </w:p>
        </w:tc>
        <w:tc>
          <w:tcPr>
            <w:tcW w:w="10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10</w:t>
            </w:r>
          </w:p>
        </w:tc>
        <w:tc>
          <w:tcPr>
            <w:tcW w:w="62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106,000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89 %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89 %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24.26</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35,000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Safeway</w:t>
            </w: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22"/>
        </w:trPr>
        <w:tc>
          <w:tcPr>
            <w:tcW w:w="130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Centre</w:t>
            </w:r>
          </w:p>
        </w:tc>
        <w:tc>
          <w:tcPr>
            <w:tcW w:w="160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spacing w:after="0"/>
              <w:rPr>
                <w:sz w:val="15"/>
                <w:szCs w:val="15"/>
                <w:color w:val="auto"/>
              </w:rPr>
            </w:pPr>
          </w:p>
        </w:tc>
        <w:tc>
          <w:tcPr>
            <w:tcW w:w="16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300" w:type="dxa"/>
            <w:vAlign w:val="bottom"/>
          </w:tcPr>
          <w:p>
            <w:pPr>
              <w:ind w:left="20"/>
              <w:spacing w:after="0" w:line="122" w:lineRule="exact"/>
              <w:rPr>
                <w:sz w:val="20"/>
                <w:szCs w:val="20"/>
                <w:color w:val="auto"/>
              </w:rPr>
            </w:pPr>
            <w:r>
              <w:rPr>
                <w:rFonts w:ascii="Arial" w:cs="Arial" w:eastAsia="Arial" w:hAnsi="Arial"/>
                <w:sz w:val="13"/>
                <w:szCs w:val="13"/>
                <w:color w:val="auto"/>
              </w:rPr>
              <w:t>Tyson's Station</w:t>
            </w: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w w:val="94"/>
              </w:rPr>
              <w:t>Washington-Arlington-</w:t>
            </w:r>
          </w:p>
        </w:tc>
        <w:tc>
          <w:tcPr>
            <w:tcW w:w="600" w:type="dxa"/>
            <w:vAlign w:val="bottom"/>
          </w:tcPr>
          <w:p>
            <w:pPr>
              <w:jc w:val="right"/>
              <w:spacing w:after="0" w:line="122" w:lineRule="exact"/>
              <w:rPr>
                <w:sz w:val="20"/>
                <w:szCs w:val="20"/>
                <w:color w:val="auto"/>
              </w:rPr>
            </w:pPr>
            <w:r>
              <w:rPr>
                <w:rFonts w:ascii="Arial" w:cs="Arial" w:eastAsia="Arial" w:hAnsi="Arial"/>
                <w:sz w:val="13"/>
                <w:szCs w:val="13"/>
                <w:color w:val="auto"/>
              </w:rPr>
              <w:t>6,082</w:t>
            </w:r>
          </w:p>
        </w:tc>
        <w:tc>
          <w:tcPr>
            <w:tcW w:w="104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5</w:t>
            </w:r>
          </w:p>
        </w:tc>
        <w:tc>
          <w:tcPr>
            <w:tcW w:w="620" w:type="dxa"/>
            <w:vAlign w:val="bottom"/>
          </w:tcPr>
          <w:p>
            <w:pPr>
              <w:jc w:val="right"/>
              <w:ind w:right="37"/>
              <w:spacing w:after="0" w:line="122" w:lineRule="exact"/>
              <w:rPr>
                <w:sz w:val="20"/>
                <w:szCs w:val="20"/>
                <w:color w:val="auto"/>
              </w:rPr>
            </w:pPr>
            <w:r>
              <w:rPr>
                <w:rFonts w:ascii="Arial" w:cs="Arial" w:eastAsia="Arial" w:hAnsi="Arial"/>
                <w:sz w:val="13"/>
                <w:szCs w:val="13"/>
                <w:color w:val="auto"/>
              </w:rPr>
              <w:t>50,000</w:t>
            </w: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47.70</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15,000</w:t>
            </w:r>
          </w:p>
        </w:tc>
        <w:tc>
          <w:tcPr>
            <w:tcW w:w="760" w:type="dxa"/>
            <w:vAlign w:val="bottom"/>
          </w:tcPr>
          <w:p>
            <w:pPr>
              <w:ind w:left="20"/>
              <w:spacing w:after="0" w:line="122" w:lineRule="exact"/>
              <w:rPr>
                <w:sz w:val="20"/>
                <w:szCs w:val="20"/>
                <w:color w:val="auto"/>
              </w:rPr>
            </w:pPr>
            <w:r>
              <w:rPr>
                <w:rFonts w:ascii="Arial" w:cs="Arial" w:eastAsia="Arial" w:hAnsi="Arial"/>
                <w:sz w:val="13"/>
                <w:szCs w:val="13"/>
                <w:color w:val="auto"/>
              </w:rPr>
              <w:t>Trader Joe's</w:t>
            </w: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1600" w:type="dxa"/>
            <w:vAlign w:val="bottom"/>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30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Arial" w:cs="Arial" w:eastAsia="Arial" w:hAnsi="Arial"/>
                <w:sz w:val="13"/>
                <w:szCs w:val="13"/>
                <w:color w:val="auto"/>
              </w:rPr>
              <w:t>MD-WV</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Village at Shirlington</w:t>
            </w:r>
          </w:p>
        </w:tc>
        <w:tc>
          <w:tcPr>
            <w:tcW w:w="16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w w:val="96"/>
              </w:rPr>
              <w:t>(8)   Washington-Arlington-</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70,151</w:t>
            </w:r>
          </w:p>
        </w:tc>
        <w:tc>
          <w:tcPr>
            <w:tcW w:w="10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6,904</w:t>
            </w: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16</w:t>
            </w:r>
          </w:p>
        </w:tc>
        <w:tc>
          <w:tcPr>
            <w:tcW w:w="62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267,000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77 %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40.62</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28,000</w:t>
            </w:r>
          </w:p>
        </w:tc>
        <w:tc>
          <w:tcPr>
            <w:tcW w:w="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4"/>
              </w:rPr>
              <w:t>Harris Teeter</w:t>
            </w:r>
          </w:p>
        </w:tc>
        <w:tc>
          <w:tcPr>
            <w:tcW w:w="19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8"/>
              </w:rPr>
              <w:t>CVS / AMC / Carlyle Grand Café</w:t>
            </w:r>
          </w:p>
        </w:tc>
        <w:tc>
          <w:tcPr>
            <w:tcW w:w="0" w:type="dxa"/>
            <w:vAlign w:val="bottom"/>
          </w:tcPr>
          <w:p>
            <w:pPr>
              <w:spacing w:after="0"/>
              <w:rPr>
                <w:sz w:val="1"/>
                <w:szCs w:val="1"/>
                <w:color w:val="auto"/>
              </w:rPr>
            </w:pPr>
          </w:p>
        </w:tc>
      </w:tr>
      <w:tr>
        <w:trPr>
          <w:trHeight w:val="121"/>
        </w:trPr>
        <w:tc>
          <w:tcPr>
            <w:tcW w:w="1300" w:type="dxa"/>
            <w:vAlign w:val="bottom"/>
            <w:shd w:val="clear" w:color="auto" w:fill="CCEEFF"/>
          </w:tcPr>
          <w:p>
            <w:pPr>
              <w:spacing w:after="0"/>
              <w:rPr>
                <w:sz w:val="10"/>
                <w:szCs w:val="10"/>
                <w:color w:val="auto"/>
              </w:rPr>
            </w:pPr>
          </w:p>
        </w:tc>
        <w:tc>
          <w:tcPr>
            <w:tcW w:w="1600" w:type="dxa"/>
            <w:vAlign w:val="bottom"/>
            <w:shd w:val="clear" w:color="auto" w:fill="CCEEFF"/>
          </w:tcPr>
          <w:p>
            <w:pPr>
              <w:ind w:left="360"/>
              <w:spacing w:after="0" w:line="122" w:lineRule="exact"/>
              <w:rPr>
                <w:sz w:val="20"/>
                <w:szCs w:val="20"/>
                <w:color w:val="auto"/>
              </w:rPr>
            </w:pPr>
            <w:r>
              <w:rPr>
                <w:rFonts w:ascii="Arial" w:cs="Arial" w:eastAsia="Arial" w:hAnsi="Arial"/>
                <w:sz w:val="13"/>
                <w:szCs w:val="13"/>
                <w:color w:val="auto"/>
              </w:rPr>
              <w:t>Alexandria, DC-VA-</w:t>
            </w:r>
          </w:p>
        </w:tc>
        <w:tc>
          <w:tcPr>
            <w:tcW w:w="6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spacing w:after="0"/>
              <w:rPr>
                <w:sz w:val="15"/>
                <w:szCs w:val="15"/>
                <w:color w:val="auto"/>
              </w:rPr>
            </w:pPr>
          </w:p>
        </w:tc>
        <w:tc>
          <w:tcPr>
            <w:tcW w:w="16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MD-WV</w:t>
            </w:r>
          </w:p>
        </w:tc>
        <w:tc>
          <w:tcPr>
            <w:tcW w:w="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652"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Real</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7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Grocery</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460" w:type="dxa"/>
            <w:vAlign w:val="bottom"/>
          </w:tcPr>
          <w:p>
            <w:pPr>
              <w:spacing w:after="0"/>
              <w:rPr>
                <w:sz w:val="10"/>
                <w:szCs w:val="10"/>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MSA Description</w:t>
            </w:r>
          </w:p>
        </w:tc>
        <w:tc>
          <w:tcPr>
            <w:tcW w:w="5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Estate at</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Lease Liabilities</w:t>
            </w: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Acreage</w:t>
            </w: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GLA (3)</w:t>
            </w:r>
          </w:p>
        </w:tc>
        <w:tc>
          <w:tcPr>
            <w:tcW w:w="580" w:type="dxa"/>
            <w:vAlign w:val="bottom"/>
          </w:tcPr>
          <w:p>
            <w:pPr>
              <w:jc w:val="right"/>
              <w:ind w:right="57"/>
              <w:spacing w:after="0" w:line="122" w:lineRule="exact"/>
              <w:rPr>
                <w:sz w:val="20"/>
                <w:szCs w:val="20"/>
                <w:color w:val="auto"/>
              </w:rPr>
            </w:pPr>
            <w:r>
              <w:rPr>
                <w:rFonts w:ascii="Arial" w:cs="Arial" w:eastAsia="Arial" w:hAnsi="Arial"/>
                <w:sz w:val="13"/>
                <w:szCs w:val="13"/>
                <w:b w:val="1"/>
                <w:bCs w:val="1"/>
                <w:color w:val="auto"/>
                <w:w w:val="98"/>
              </w:rPr>
              <w:t>Leased</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b w:val="1"/>
                <w:bCs w:val="1"/>
                <w:color w:val="auto"/>
                <w:w w:val="91"/>
              </w:rPr>
              <w:t>Occupied</w:t>
            </w: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Rent</w:t>
            </w:r>
          </w:p>
        </w:tc>
        <w:tc>
          <w:tcPr>
            <w:tcW w:w="660" w:type="dxa"/>
            <w:vAlign w:val="bottom"/>
            <w:vMerge w:val="continue"/>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Anchor</w:t>
            </w:r>
          </w:p>
        </w:tc>
        <w:tc>
          <w:tcPr>
            <w:tcW w:w="780" w:type="dxa"/>
            <w:vAlign w:val="bottom"/>
            <w:vMerge w:val="continue"/>
          </w:tcPr>
          <w:p>
            <w:pPr>
              <w:spacing w:after="0"/>
              <w:rPr>
                <w:sz w:val="10"/>
                <w:szCs w:val="10"/>
                <w:color w:val="auto"/>
              </w:rPr>
            </w:pPr>
          </w:p>
        </w:tc>
        <w:tc>
          <w:tcPr>
            <w:tcW w:w="19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w:t>
            </w:r>
          </w:p>
        </w:tc>
        <w:tc>
          <w:tcPr>
            <w:tcW w:w="54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(3)</w:t>
            </w: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(3)</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1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8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88"/>
              </w:rPr>
              <w:t>(in thousands)</w:t>
            </w: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gridSpan w:val="3"/>
          </w:tcPr>
          <w:p>
            <w:pPr>
              <w:spacing w:after="0" w:line="144" w:lineRule="exact"/>
              <w:rPr>
                <w:sz w:val="20"/>
                <w:szCs w:val="20"/>
                <w:color w:val="auto"/>
              </w:rPr>
            </w:pPr>
            <w:r>
              <w:rPr>
                <w:rFonts w:ascii="Arial" w:cs="Arial" w:eastAsia="Arial" w:hAnsi="Arial"/>
                <w:sz w:val="13"/>
                <w:szCs w:val="13"/>
                <w:color w:val="auto"/>
                <w:w w:val="97"/>
              </w:rPr>
              <w:t>Wildwood Shopping</w:t>
            </w:r>
          </w:p>
        </w:tc>
        <w:tc>
          <w:tcPr>
            <w:tcW w:w="460" w:type="dxa"/>
            <w:vAlign w:val="bottom"/>
          </w:tcPr>
          <w:p>
            <w:pPr>
              <w:spacing w:after="0"/>
              <w:rPr>
                <w:sz w:val="12"/>
                <w:szCs w:val="12"/>
                <w:color w:val="auto"/>
              </w:rPr>
            </w:pPr>
          </w:p>
        </w:tc>
        <w:tc>
          <w:tcPr>
            <w:tcW w:w="1300" w:type="dxa"/>
            <w:vAlign w:val="bottom"/>
            <w:gridSpan w:val="2"/>
          </w:tcPr>
          <w:p>
            <w:pPr>
              <w:ind w:left="20"/>
              <w:spacing w:after="0" w:line="144" w:lineRule="exact"/>
              <w:rPr>
                <w:sz w:val="20"/>
                <w:szCs w:val="20"/>
                <w:color w:val="auto"/>
              </w:rPr>
            </w:pPr>
            <w:r>
              <w:rPr>
                <w:rFonts w:ascii="Arial" w:cs="Arial" w:eastAsia="Arial" w:hAnsi="Arial"/>
                <w:sz w:val="13"/>
                <w:szCs w:val="13"/>
                <w:color w:val="auto"/>
                <w:w w:val="97"/>
              </w:rPr>
              <w:t>Washington-Arlington-</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27,391</w:t>
            </w:r>
          </w:p>
        </w:tc>
        <w:tc>
          <w:tcPr>
            <w:tcW w:w="1020" w:type="dxa"/>
            <w:vAlign w:val="bottom"/>
          </w:tcPr>
          <w:p>
            <w:pPr>
              <w:spacing w:after="0"/>
              <w:rPr>
                <w:sz w:val="12"/>
                <w:szCs w:val="12"/>
                <w:color w:val="auto"/>
              </w:rPr>
            </w:pPr>
          </w:p>
        </w:tc>
        <w:tc>
          <w:tcPr>
            <w:tcW w:w="540" w:type="dxa"/>
            <w:vAlign w:val="bottom"/>
          </w:tcPr>
          <w:p>
            <w:pPr>
              <w:jc w:val="right"/>
              <w:ind w:right="17"/>
              <w:spacing w:after="0" w:line="144" w:lineRule="exact"/>
              <w:rPr>
                <w:sz w:val="20"/>
                <w:szCs w:val="20"/>
                <w:color w:val="auto"/>
              </w:rPr>
            </w:pPr>
            <w:r>
              <w:rPr>
                <w:rFonts w:ascii="Arial" w:cs="Arial" w:eastAsia="Arial" w:hAnsi="Arial"/>
                <w:sz w:val="13"/>
                <w:szCs w:val="13"/>
                <w:color w:val="auto"/>
              </w:rPr>
              <w:t>12</w:t>
            </w:r>
          </w:p>
        </w:tc>
        <w:tc>
          <w:tcPr>
            <w:tcW w:w="620" w:type="dxa"/>
            <w:vAlign w:val="bottom"/>
          </w:tcPr>
          <w:p>
            <w:pPr>
              <w:jc w:val="right"/>
              <w:ind w:right="17"/>
              <w:spacing w:after="0" w:line="144" w:lineRule="exact"/>
              <w:rPr>
                <w:sz w:val="20"/>
                <w:szCs w:val="20"/>
                <w:color w:val="auto"/>
              </w:rPr>
            </w:pPr>
            <w:r>
              <w:rPr>
                <w:rFonts w:ascii="Arial" w:cs="Arial" w:eastAsia="Arial" w:hAnsi="Arial"/>
                <w:sz w:val="13"/>
                <w:szCs w:val="13"/>
                <w:color w:val="auto"/>
              </w:rPr>
              <w:t>88,000</w:t>
            </w:r>
          </w:p>
        </w:tc>
        <w:tc>
          <w:tcPr>
            <w:tcW w:w="580" w:type="dxa"/>
            <w:vAlign w:val="bottom"/>
          </w:tcPr>
          <w:p>
            <w:pPr>
              <w:jc w:val="right"/>
              <w:spacing w:after="0" w:line="144" w:lineRule="exact"/>
              <w:rPr>
                <w:sz w:val="20"/>
                <w:szCs w:val="20"/>
                <w:color w:val="auto"/>
              </w:rPr>
            </w:pPr>
            <w:r>
              <w:rPr>
                <w:rFonts w:ascii="Arial" w:cs="Arial" w:eastAsia="Arial" w:hAnsi="Arial"/>
                <w:sz w:val="13"/>
                <w:szCs w:val="13"/>
                <w:color w:val="auto"/>
              </w:rPr>
              <w:t>96 %</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96 %</w:t>
            </w:r>
          </w:p>
        </w:tc>
        <w:tc>
          <w:tcPr>
            <w:tcW w:w="500" w:type="dxa"/>
            <w:vAlign w:val="bottom"/>
          </w:tcPr>
          <w:p>
            <w:pPr>
              <w:jc w:val="right"/>
              <w:spacing w:after="0" w:line="144" w:lineRule="exact"/>
              <w:rPr>
                <w:sz w:val="20"/>
                <w:szCs w:val="20"/>
                <w:color w:val="auto"/>
              </w:rPr>
            </w:pPr>
            <w:r>
              <w:rPr>
                <w:rFonts w:ascii="Arial" w:cs="Arial" w:eastAsia="Arial" w:hAnsi="Arial"/>
                <w:sz w:val="13"/>
                <w:szCs w:val="13"/>
                <w:color w:val="auto"/>
              </w:rPr>
              <w:t>102.87</w:t>
            </w:r>
          </w:p>
        </w:tc>
        <w:tc>
          <w:tcPr>
            <w:tcW w:w="660" w:type="dxa"/>
            <w:vAlign w:val="bottom"/>
          </w:tcPr>
          <w:p>
            <w:pPr>
              <w:spacing w:after="0"/>
              <w:rPr>
                <w:sz w:val="12"/>
                <w:szCs w:val="12"/>
                <w:color w:val="auto"/>
              </w:rPr>
            </w:pPr>
          </w:p>
        </w:tc>
        <w:tc>
          <w:tcPr>
            <w:tcW w:w="500" w:type="dxa"/>
            <w:vAlign w:val="bottom"/>
          </w:tcPr>
          <w:p>
            <w:pPr>
              <w:jc w:val="center"/>
              <w:spacing w:after="0" w:line="144" w:lineRule="exact"/>
              <w:rPr>
                <w:sz w:val="20"/>
                <w:szCs w:val="20"/>
                <w:color w:val="auto"/>
              </w:rPr>
            </w:pPr>
            <w:r>
              <w:rPr>
                <w:rFonts w:ascii="Arial" w:cs="Arial" w:eastAsia="Arial" w:hAnsi="Arial"/>
                <w:sz w:val="13"/>
                <w:szCs w:val="13"/>
                <w:color w:val="auto"/>
                <w:w w:val="85"/>
              </w:rPr>
              <w:t>20,000</w:t>
            </w:r>
          </w:p>
        </w:tc>
        <w:tc>
          <w:tcPr>
            <w:tcW w:w="780" w:type="dxa"/>
            <w:vAlign w:val="bottom"/>
          </w:tcPr>
          <w:p>
            <w:pPr>
              <w:ind w:left="20"/>
              <w:spacing w:after="0" w:line="144" w:lineRule="exact"/>
              <w:rPr>
                <w:sz w:val="20"/>
                <w:szCs w:val="20"/>
                <w:color w:val="auto"/>
              </w:rPr>
            </w:pPr>
            <w:r>
              <w:rPr>
                <w:rFonts w:ascii="Arial" w:cs="Arial" w:eastAsia="Arial" w:hAnsi="Arial"/>
                <w:sz w:val="13"/>
                <w:szCs w:val="13"/>
                <w:color w:val="auto"/>
              </w:rPr>
              <w:t>Balducci's</w:t>
            </w:r>
          </w:p>
        </w:tc>
        <w:tc>
          <w:tcPr>
            <w:tcW w:w="1900" w:type="dxa"/>
            <w:vAlign w:val="bottom"/>
          </w:tcPr>
          <w:p>
            <w:pPr>
              <w:ind w:left="40"/>
              <w:spacing w:after="0" w:line="144" w:lineRule="exact"/>
              <w:rPr>
                <w:sz w:val="20"/>
                <w:szCs w:val="20"/>
                <w:color w:val="auto"/>
              </w:rPr>
            </w:pPr>
            <w:r>
              <w:rPr>
                <w:rFonts w:ascii="Arial" w:cs="Arial" w:eastAsia="Arial" w:hAnsi="Arial"/>
                <w:sz w:val="13"/>
                <w:szCs w:val="13"/>
                <w:color w:val="auto"/>
              </w:rPr>
              <w:t>CVS / Multiple 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gridSpan w:val="3"/>
          </w:tcPr>
          <w:p>
            <w:pPr>
              <w:spacing w:after="0" w:line="122" w:lineRule="exact"/>
              <w:rPr>
                <w:sz w:val="20"/>
                <w:szCs w:val="20"/>
                <w:color w:val="auto"/>
              </w:rPr>
            </w:pPr>
            <w:r>
              <w:rPr>
                <w:rFonts w:ascii="Arial" w:cs="Arial" w:eastAsia="Arial" w:hAnsi="Arial"/>
                <w:sz w:val="13"/>
                <w:szCs w:val="13"/>
                <w:color w:val="auto"/>
              </w:rPr>
              <w:t>Center</w:t>
            </w:r>
          </w:p>
        </w:tc>
        <w:tc>
          <w:tcPr>
            <w:tcW w:w="460" w:type="dxa"/>
            <w:vAlign w:val="bottom"/>
          </w:tcPr>
          <w:p>
            <w:pPr>
              <w:spacing w:after="0"/>
              <w:rPr>
                <w:sz w:val="10"/>
                <w:szCs w:val="10"/>
                <w:color w:val="auto"/>
              </w:rPr>
            </w:pPr>
          </w:p>
        </w:tc>
        <w:tc>
          <w:tcPr>
            <w:tcW w:w="130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Alexandria, DC-VA-</w:t>
            </w: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MD-WV</w:t>
            </w: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b w:val="1"/>
                <w:bCs w:val="1"/>
                <w:color w:val="auto"/>
                <w:w w:val="91"/>
              </w:rPr>
              <w:t>Total Washington Metropolitan Area</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2,266,558</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416</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6,043,000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93 %</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90 %</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35.68</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NY Metro/New</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gridSpan w:val="2"/>
            <w:shd w:val="clear" w:color="auto" w:fill="CCEEFF"/>
          </w:tcPr>
          <w:p>
            <w:pPr>
              <w:spacing w:after="0" w:line="102" w:lineRule="exact"/>
              <w:rPr>
                <w:sz w:val="20"/>
                <w:szCs w:val="20"/>
                <w:color w:val="auto"/>
              </w:rPr>
            </w:pPr>
            <w:r>
              <w:rPr>
                <w:rFonts w:ascii="Arial" w:cs="Arial" w:eastAsia="Arial" w:hAnsi="Arial"/>
                <w:sz w:val="10"/>
                <w:szCs w:val="10"/>
                <w:b w:val="1"/>
                <w:bCs w:val="1"/>
                <w:color w:val="auto"/>
              </w:rPr>
              <w:t>Jersey</w:t>
            </w:r>
          </w:p>
        </w:tc>
        <w:tc>
          <w:tcPr>
            <w:tcW w:w="3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1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gridSpan w:val="3"/>
          </w:tcPr>
          <w:p>
            <w:pPr>
              <w:spacing w:after="0" w:line="122" w:lineRule="exact"/>
              <w:rPr>
                <w:sz w:val="20"/>
                <w:szCs w:val="20"/>
                <w:color w:val="auto"/>
              </w:rPr>
            </w:pPr>
            <w:r>
              <w:rPr>
                <w:rFonts w:ascii="Arial" w:cs="Arial" w:eastAsia="Arial" w:hAnsi="Arial"/>
                <w:sz w:val="13"/>
                <w:szCs w:val="13"/>
                <w:color w:val="auto"/>
              </w:rPr>
              <w:t>Brick Plaza</w:t>
            </w:r>
          </w:p>
        </w:tc>
        <w:tc>
          <w:tcPr>
            <w:tcW w:w="460" w:type="dxa"/>
            <w:vAlign w:val="bottom"/>
          </w:tcPr>
          <w:p>
            <w:pPr>
              <w:spacing w:after="0"/>
              <w:rPr>
                <w:sz w:val="10"/>
                <w:szCs w:val="10"/>
                <w:color w:val="auto"/>
              </w:rPr>
            </w:pPr>
          </w:p>
        </w:tc>
        <w:tc>
          <w:tcPr>
            <w:tcW w:w="130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New York-Newark-</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104,347</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46</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408,000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90 %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21.96</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14,000</w:t>
            </w:r>
          </w:p>
        </w:tc>
        <w:tc>
          <w:tcPr>
            <w:tcW w:w="780" w:type="dxa"/>
            <w:vAlign w:val="bottom"/>
          </w:tcPr>
          <w:p>
            <w:pPr>
              <w:ind w:left="20"/>
              <w:spacing w:after="0" w:line="122" w:lineRule="exact"/>
              <w:rPr>
                <w:sz w:val="20"/>
                <w:szCs w:val="20"/>
                <w:color w:val="auto"/>
              </w:rPr>
            </w:pPr>
            <w:r>
              <w:rPr>
                <w:rFonts w:ascii="Arial" w:cs="Arial" w:eastAsia="Arial" w:hAnsi="Arial"/>
                <w:sz w:val="13"/>
                <w:szCs w:val="13"/>
                <w:color w:val="auto"/>
              </w:rPr>
              <w:t>Trader Joe's</w:t>
            </w: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rPr>
              <w:t>AMC / HomeGoods / Ulta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ind w:left="40"/>
              <w:spacing w:after="0"/>
              <w:rPr>
                <w:sz w:val="20"/>
                <w:szCs w:val="20"/>
                <w:color w:val="auto"/>
              </w:rPr>
            </w:pPr>
            <w:r>
              <w:rPr>
                <w:rFonts w:ascii="Arial" w:cs="Arial" w:eastAsia="Arial" w:hAnsi="Arial"/>
                <w:sz w:val="13"/>
                <w:szCs w:val="13"/>
                <w:color w:val="auto"/>
              </w:rPr>
              <w:t>Burlington</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Brook 35</w:t>
            </w:r>
          </w:p>
        </w:tc>
        <w:tc>
          <w:tcPr>
            <w:tcW w:w="4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(5) (6)</w:t>
            </w:r>
          </w:p>
        </w:tc>
        <w:tc>
          <w:tcPr>
            <w:tcW w:w="13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New York-Newark-</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50,205</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11,500</w:t>
            </w: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11</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99,000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40.24</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9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2"/>
              </w:rPr>
              <w:t>Banana Republic / Gap / Williams-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Sonoma</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40" w:type="dxa"/>
            <w:vAlign w:val="bottom"/>
            <w:gridSpan w:val="3"/>
          </w:tcPr>
          <w:p>
            <w:pPr>
              <w:spacing w:after="0" w:line="122" w:lineRule="exact"/>
              <w:rPr>
                <w:sz w:val="20"/>
                <w:szCs w:val="20"/>
                <w:color w:val="auto"/>
              </w:rPr>
            </w:pPr>
            <w:r>
              <w:rPr>
                <w:rFonts w:ascii="Arial" w:cs="Arial" w:eastAsia="Arial" w:hAnsi="Arial"/>
                <w:sz w:val="13"/>
                <w:szCs w:val="13"/>
                <w:color w:val="auto"/>
              </w:rPr>
              <w:t>Darien Commons</w:t>
            </w:r>
          </w:p>
        </w:tc>
        <w:tc>
          <w:tcPr>
            <w:tcW w:w="460" w:type="dxa"/>
            <w:vAlign w:val="bottom"/>
          </w:tcPr>
          <w:p>
            <w:pPr>
              <w:spacing w:after="0"/>
              <w:rPr>
                <w:sz w:val="10"/>
                <w:szCs w:val="10"/>
                <w:color w:val="auto"/>
              </w:rPr>
            </w:pPr>
          </w:p>
        </w:tc>
        <w:tc>
          <w:tcPr>
            <w:tcW w:w="130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Bridgeport-Stamford-</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98,492</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9</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59,000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89 %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89 %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42.92</w:t>
            </w:r>
          </w:p>
        </w:tc>
        <w:tc>
          <w:tcPr>
            <w:tcW w:w="66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w:t>
            </w: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rPr>
              <w:t>Equinox / Walgreens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color w:val="auto"/>
              </w:rPr>
              <w:t>Norwalk, CT</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Fresh Meadows</w:t>
            </w:r>
          </w:p>
        </w:tc>
        <w:tc>
          <w:tcPr>
            <w:tcW w:w="4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New York-Newark-</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94,081</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17</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409,000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37.29</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15,000</w:t>
            </w:r>
          </w:p>
        </w:tc>
        <w:tc>
          <w:tcPr>
            <w:tcW w:w="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2"/>
              </w:rPr>
              <w:t>Island of Gold</w:t>
            </w:r>
          </w:p>
        </w:tc>
        <w:tc>
          <w:tcPr>
            <w:tcW w:w="19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AMC / Kohl's / Michaels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gridSpan w:val="3"/>
          </w:tcPr>
          <w:p>
            <w:pPr>
              <w:spacing w:after="0" w:line="122" w:lineRule="exact"/>
              <w:rPr>
                <w:sz w:val="20"/>
                <w:szCs w:val="20"/>
                <w:color w:val="auto"/>
              </w:rPr>
            </w:pPr>
            <w:r>
              <w:rPr>
                <w:rFonts w:ascii="Arial" w:cs="Arial" w:eastAsia="Arial" w:hAnsi="Arial"/>
                <w:sz w:val="13"/>
                <w:szCs w:val="13"/>
                <w:color w:val="auto"/>
              </w:rPr>
              <w:t>Georgetowne</w:t>
            </w:r>
          </w:p>
        </w:tc>
        <w:tc>
          <w:tcPr>
            <w:tcW w:w="460" w:type="dxa"/>
            <w:vAlign w:val="bottom"/>
          </w:tcPr>
          <w:p>
            <w:pPr>
              <w:spacing w:after="0"/>
              <w:rPr>
                <w:sz w:val="10"/>
                <w:szCs w:val="10"/>
                <w:color w:val="auto"/>
              </w:rPr>
            </w:pPr>
          </w:p>
        </w:tc>
        <w:tc>
          <w:tcPr>
            <w:tcW w:w="130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New York-Newark-</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84,516</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9</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147,000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86 %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39.50</w:t>
            </w:r>
          </w:p>
        </w:tc>
        <w:tc>
          <w:tcPr>
            <w:tcW w:w="660" w:type="dxa"/>
            <w:vAlign w:val="bottom"/>
          </w:tcPr>
          <w:p>
            <w:pPr>
              <w:spacing w:after="0"/>
              <w:rPr>
                <w:sz w:val="10"/>
                <w:szCs w:val="10"/>
                <w:color w:val="auto"/>
              </w:rPr>
            </w:pPr>
          </w:p>
        </w:tc>
        <w:tc>
          <w:tcPr>
            <w:tcW w:w="1280" w:type="dxa"/>
            <w:vAlign w:val="bottom"/>
            <w:gridSpan w:val="2"/>
          </w:tcPr>
          <w:p>
            <w:pPr>
              <w:ind w:left="140"/>
              <w:spacing w:after="0" w:line="122" w:lineRule="exact"/>
              <w:rPr>
                <w:sz w:val="20"/>
                <w:szCs w:val="20"/>
                <w:color w:val="auto"/>
              </w:rPr>
            </w:pPr>
            <w:r>
              <w:rPr>
                <w:rFonts w:ascii="Arial" w:cs="Arial" w:eastAsia="Arial" w:hAnsi="Arial"/>
                <w:sz w:val="13"/>
                <w:szCs w:val="13"/>
                <w:color w:val="auto"/>
              </w:rPr>
              <w:t>43,000 Foodway</w:t>
            </w: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rPr>
              <w:t>Five Below / IHOP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3"/>
                <w:szCs w:val="13"/>
                <w:color w:val="auto"/>
              </w:rPr>
              <w:t>Shopping Center</w:t>
            </w:r>
          </w:p>
        </w:tc>
        <w:tc>
          <w:tcPr>
            <w:tcW w:w="46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Greenlawn Plaza</w:t>
            </w:r>
          </w:p>
        </w:tc>
        <w:tc>
          <w:tcPr>
            <w:tcW w:w="4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New York-Newark-</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32,737</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13</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103,000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89 %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89 %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18.39</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46,000</w:t>
            </w:r>
          </w:p>
        </w:tc>
        <w:tc>
          <w:tcPr>
            <w:tcW w:w="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Greenlawn</w:t>
            </w:r>
          </w:p>
        </w:tc>
        <w:tc>
          <w:tcPr>
            <w:tcW w:w="19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5"/>
              </w:rPr>
              <w:t>Tuesday Morning / Planet Fitness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Farms</w:t>
            </w: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gridSpan w:val="3"/>
          </w:tcPr>
          <w:p>
            <w:pPr>
              <w:spacing w:after="0" w:line="122" w:lineRule="exact"/>
              <w:rPr>
                <w:sz w:val="20"/>
                <w:szCs w:val="20"/>
                <w:color w:val="auto"/>
              </w:rPr>
            </w:pPr>
            <w:r>
              <w:rPr>
                <w:rFonts w:ascii="Arial" w:cs="Arial" w:eastAsia="Arial" w:hAnsi="Arial"/>
                <w:sz w:val="13"/>
                <w:szCs w:val="13"/>
                <w:color w:val="auto"/>
              </w:rPr>
              <w:t>Greenwich Avenue</w:t>
            </w:r>
          </w:p>
        </w:tc>
        <w:tc>
          <w:tcPr>
            <w:tcW w:w="460" w:type="dxa"/>
            <w:vAlign w:val="bottom"/>
          </w:tcPr>
          <w:p>
            <w:pPr>
              <w:spacing w:after="0"/>
              <w:rPr>
                <w:sz w:val="10"/>
                <w:szCs w:val="10"/>
                <w:color w:val="auto"/>
              </w:rPr>
            </w:pPr>
          </w:p>
        </w:tc>
        <w:tc>
          <w:tcPr>
            <w:tcW w:w="130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Bridgeport-Stamford-</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23,748</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35,000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96.19</w:t>
            </w: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rPr>
              <w:t>Saks Fifth Avenue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color w:val="auto"/>
              </w:rPr>
              <w:t>Norwalk, CT</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Hauppauge</w:t>
            </w:r>
          </w:p>
        </w:tc>
        <w:tc>
          <w:tcPr>
            <w:tcW w:w="4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New York-Newark-</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33,842</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15</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133,000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71 %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70 %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34.99</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61,000</w:t>
            </w:r>
          </w:p>
        </w:tc>
        <w:tc>
          <w:tcPr>
            <w:tcW w:w="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Shop Rite</w:t>
            </w:r>
          </w:p>
        </w:tc>
        <w:tc>
          <w:tcPr>
            <w:tcW w:w="1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gridSpan w:val="3"/>
          </w:tcPr>
          <w:p>
            <w:pPr>
              <w:spacing w:after="0" w:line="122" w:lineRule="exact"/>
              <w:rPr>
                <w:sz w:val="20"/>
                <w:szCs w:val="20"/>
                <w:color w:val="auto"/>
              </w:rPr>
            </w:pPr>
            <w:r>
              <w:rPr>
                <w:rFonts w:ascii="Arial" w:cs="Arial" w:eastAsia="Arial" w:hAnsi="Arial"/>
                <w:sz w:val="13"/>
                <w:szCs w:val="13"/>
                <w:color w:val="auto"/>
              </w:rPr>
              <w:t>Hoboken</w:t>
            </w:r>
          </w:p>
        </w:tc>
        <w:tc>
          <w:tcPr>
            <w:tcW w:w="460" w:type="dxa"/>
            <w:vAlign w:val="bottom"/>
          </w:tcPr>
          <w:p>
            <w:pPr>
              <w:jc w:val="center"/>
              <w:ind w:left="17"/>
              <w:spacing w:after="0" w:line="122" w:lineRule="exact"/>
              <w:rPr>
                <w:sz w:val="20"/>
                <w:szCs w:val="20"/>
                <w:color w:val="auto"/>
              </w:rPr>
            </w:pPr>
            <w:r>
              <w:rPr>
                <w:rFonts w:ascii="Arial" w:cs="Arial" w:eastAsia="Arial" w:hAnsi="Arial"/>
                <w:sz w:val="13"/>
                <w:szCs w:val="13"/>
                <w:color w:val="auto"/>
                <w:w w:val="87"/>
              </w:rPr>
              <w:t>(5)</w:t>
            </w:r>
          </w:p>
        </w:tc>
        <w:tc>
          <w:tcPr>
            <w:tcW w:w="130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New York-Newark-</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216,370</w:t>
            </w:r>
          </w:p>
        </w:tc>
        <w:tc>
          <w:tcPr>
            <w:tcW w:w="1020" w:type="dxa"/>
            <w:vAlign w:val="bottom"/>
          </w:tcPr>
          <w:p>
            <w:pPr>
              <w:jc w:val="right"/>
              <w:spacing w:after="0" w:line="122" w:lineRule="exact"/>
              <w:rPr>
                <w:sz w:val="20"/>
                <w:szCs w:val="20"/>
                <w:color w:val="auto"/>
              </w:rPr>
            </w:pPr>
            <w:r>
              <w:rPr>
                <w:rFonts w:ascii="Arial" w:cs="Arial" w:eastAsia="Arial" w:hAnsi="Arial"/>
                <w:sz w:val="13"/>
                <w:szCs w:val="13"/>
                <w:color w:val="auto"/>
              </w:rPr>
              <w:t>104,501</w:t>
            </w: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3</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171,000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98 %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55.87</w:t>
            </w:r>
          </w:p>
        </w:tc>
        <w:tc>
          <w:tcPr>
            <w:tcW w:w="66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129</w:t>
            </w: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rPr>
              <w:t>CVS / New York Sports Club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jc w:val="center"/>
              <w:ind w:left="17"/>
              <w:spacing w:after="0"/>
              <w:rPr>
                <w:sz w:val="20"/>
                <w:szCs w:val="20"/>
                <w:color w:val="auto"/>
              </w:rPr>
            </w:pPr>
            <w:r>
              <w:rPr>
                <w:rFonts w:ascii="Arial" w:cs="Arial" w:eastAsia="Arial" w:hAnsi="Arial"/>
                <w:sz w:val="13"/>
                <w:szCs w:val="13"/>
                <w:color w:val="auto"/>
                <w:w w:val="94"/>
              </w:rPr>
              <w:t>(10)</w:t>
            </w:r>
          </w:p>
        </w:tc>
        <w:tc>
          <w:tcPr>
            <w:tcW w:w="1300" w:type="dxa"/>
            <w:vAlign w:val="bottom"/>
            <w:gridSpan w:val="2"/>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ind w:left="40"/>
              <w:spacing w:after="0"/>
              <w:rPr>
                <w:sz w:val="20"/>
                <w:szCs w:val="20"/>
                <w:color w:val="auto"/>
              </w:rPr>
            </w:pPr>
            <w:r>
              <w:rPr>
                <w:rFonts w:ascii="Arial" w:cs="Arial" w:eastAsia="Arial" w:hAnsi="Arial"/>
                <w:sz w:val="13"/>
                <w:szCs w:val="13"/>
                <w:color w:val="auto"/>
              </w:rPr>
              <w:t>Sephora / Multiple Restaurants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Huntington</w:t>
            </w:r>
          </w:p>
        </w:tc>
        <w:tc>
          <w:tcPr>
            <w:tcW w:w="4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New York-Newark-</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51,787</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21</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212,000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84 %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73 %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17.12</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9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Petsmart / Michaels / Ulta</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40" w:type="dxa"/>
            <w:vAlign w:val="bottom"/>
            <w:gridSpan w:val="3"/>
          </w:tcPr>
          <w:p>
            <w:pPr>
              <w:spacing w:after="0" w:line="122" w:lineRule="exact"/>
              <w:rPr>
                <w:sz w:val="20"/>
                <w:szCs w:val="20"/>
                <w:color w:val="auto"/>
              </w:rPr>
            </w:pPr>
            <w:r>
              <w:rPr>
                <w:rFonts w:ascii="Arial" w:cs="Arial" w:eastAsia="Arial" w:hAnsi="Arial"/>
                <w:sz w:val="13"/>
                <w:szCs w:val="13"/>
                <w:color w:val="auto"/>
              </w:rPr>
              <w:t>Huntington Square</w:t>
            </w:r>
          </w:p>
        </w:tc>
        <w:tc>
          <w:tcPr>
            <w:tcW w:w="460" w:type="dxa"/>
            <w:vAlign w:val="bottom"/>
          </w:tcPr>
          <w:p>
            <w:pPr>
              <w:spacing w:after="0"/>
              <w:rPr>
                <w:sz w:val="10"/>
                <w:szCs w:val="10"/>
                <w:color w:val="auto"/>
              </w:rPr>
            </w:pPr>
          </w:p>
        </w:tc>
        <w:tc>
          <w:tcPr>
            <w:tcW w:w="130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New York-Newark-</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13,696</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18</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74,000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81 %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81 %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30.05</w:t>
            </w: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rPr>
              <w:t>Barnes &amp; Noble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Melville Mall</w:t>
            </w:r>
          </w:p>
        </w:tc>
        <w:tc>
          <w:tcPr>
            <w:tcW w:w="4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New York-Newark-</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104,799</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21</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253,000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28.70</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53,000</w:t>
            </w:r>
          </w:p>
        </w:tc>
        <w:tc>
          <w:tcPr>
            <w:tcW w:w="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Uncle</w:t>
            </w:r>
          </w:p>
        </w:tc>
        <w:tc>
          <w:tcPr>
            <w:tcW w:w="19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1"/>
              </w:rPr>
              <w:t>Marshalls / Dick's Sporting Goods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3"/>
                <w:szCs w:val="13"/>
                <w:color w:val="auto"/>
                <w:w w:val="95"/>
              </w:rPr>
              <w:t>Jersey City, NY-NJ-PA</w:t>
            </w:r>
          </w:p>
        </w:tc>
        <w:tc>
          <w:tcPr>
            <w:tcW w:w="5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Giuseppe's</w:t>
            </w:r>
          </w:p>
        </w:tc>
        <w:tc>
          <w:tcPr>
            <w:tcW w:w="190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1"/>
              </w:rPr>
              <w:t>Field &amp; Stream / Macy's Backstage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gridSpan w:val="3"/>
          </w:tcPr>
          <w:p>
            <w:pPr>
              <w:spacing w:after="0" w:line="122" w:lineRule="exact"/>
              <w:rPr>
                <w:sz w:val="20"/>
                <w:szCs w:val="20"/>
                <w:color w:val="auto"/>
              </w:rPr>
            </w:pPr>
            <w:r>
              <w:rPr>
                <w:rFonts w:ascii="Arial" w:cs="Arial" w:eastAsia="Arial" w:hAnsi="Arial"/>
                <w:sz w:val="13"/>
                <w:szCs w:val="13"/>
                <w:color w:val="auto"/>
              </w:rPr>
              <w:t>Mercer Mall</w:t>
            </w:r>
          </w:p>
        </w:tc>
        <w:tc>
          <w:tcPr>
            <w:tcW w:w="460" w:type="dxa"/>
            <w:vAlign w:val="bottom"/>
          </w:tcPr>
          <w:p>
            <w:pPr>
              <w:jc w:val="center"/>
              <w:ind w:left="17"/>
              <w:spacing w:after="0" w:line="122" w:lineRule="exact"/>
              <w:rPr>
                <w:sz w:val="20"/>
                <w:szCs w:val="20"/>
                <w:color w:val="auto"/>
              </w:rPr>
            </w:pPr>
            <w:r>
              <w:rPr>
                <w:rFonts w:ascii="Arial" w:cs="Arial" w:eastAsia="Arial" w:hAnsi="Arial"/>
                <w:sz w:val="13"/>
                <w:szCs w:val="13"/>
                <w:color w:val="auto"/>
                <w:w w:val="87"/>
              </w:rPr>
              <w:t>(8)</w:t>
            </w:r>
          </w:p>
        </w:tc>
        <w:tc>
          <w:tcPr>
            <w:tcW w:w="130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Trenton, NJ</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129,790</w:t>
            </w:r>
          </w:p>
        </w:tc>
        <w:tc>
          <w:tcPr>
            <w:tcW w:w="1020" w:type="dxa"/>
            <w:vAlign w:val="bottom"/>
          </w:tcPr>
          <w:p>
            <w:pPr>
              <w:jc w:val="right"/>
              <w:spacing w:after="0" w:line="122" w:lineRule="exact"/>
              <w:rPr>
                <w:sz w:val="20"/>
                <w:szCs w:val="20"/>
                <w:color w:val="auto"/>
              </w:rPr>
            </w:pPr>
            <w:r>
              <w:rPr>
                <w:rFonts w:ascii="Arial" w:cs="Arial" w:eastAsia="Arial" w:hAnsi="Arial"/>
                <w:sz w:val="13"/>
                <w:szCs w:val="13"/>
                <w:color w:val="auto"/>
              </w:rPr>
              <w:t>55,202</w:t>
            </w: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50</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551,000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89 %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89 %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26.54</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75,000</w:t>
            </w:r>
          </w:p>
        </w:tc>
        <w:tc>
          <w:tcPr>
            <w:tcW w:w="780" w:type="dxa"/>
            <w:vAlign w:val="bottom"/>
          </w:tcPr>
          <w:p>
            <w:pPr>
              <w:ind w:left="20"/>
              <w:spacing w:after="0" w:line="122" w:lineRule="exact"/>
              <w:rPr>
                <w:sz w:val="20"/>
                <w:szCs w:val="20"/>
                <w:color w:val="auto"/>
              </w:rPr>
            </w:pPr>
            <w:r>
              <w:rPr>
                <w:rFonts w:ascii="Arial" w:cs="Arial" w:eastAsia="Arial" w:hAnsi="Arial"/>
                <w:sz w:val="13"/>
                <w:szCs w:val="13"/>
                <w:color w:val="auto"/>
              </w:rPr>
              <w:t>Shop Rite</w:t>
            </w: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w w:val="91"/>
              </w:rPr>
              <w:t>Ferguson Bath, Kitchen, &amp; Lighting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w w:val="91"/>
              </w:rPr>
              <w:t>/ Ross Dress For Less / Nordstrom</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ind w:left="40"/>
              <w:spacing w:after="0"/>
              <w:rPr>
                <w:sz w:val="20"/>
                <w:szCs w:val="20"/>
                <w:color w:val="auto"/>
              </w:rPr>
            </w:pPr>
            <w:r>
              <w:rPr>
                <w:rFonts w:ascii="Arial" w:cs="Arial" w:eastAsia="Arial" w:hAnsi="Arial"/>
                <w:sz w:val="13"/>
                <w:szCs w:val="13"/>
                <w:color w:val="auto"/>
              </w:rPr>
              <w:t>Rack / REI / Tesla</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The Grove at</w:t>
            </w:r>
          </w:p>
        </w:tc>
        <w:tc>
          <w:tcPr>
            <w:tcW w:w="4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(5) (6)</w:t>
            </w:r>
          </w:p>
        </w:tc>
        <w:tc>
          <w:tcPr>
            <w:tcW w:w="13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New York-Newark-</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128,890</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43,600</w:t>
            </w: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21</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192,000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48.68</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9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Lululemon / Anthropologie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Shrewsbury</w:t>
            </w:r>
          </w:p>
        </w:tc>
        <w:tc>
          <w:tcPr>
            <w:tcW w:w="4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Pottery Barn / Williams-Sonoma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gridSpan w:val="3"/>
          </w:tcPr>
          <w:p>
            <w:pPr>
              <w:spacing w:after="0" w:line="122" w:lineRule="exact"/>
              <w:rPr>
                <w:sz w:val="20"/>
                <w:szCs w:val="20"/>
                <w:color w:val="auto"/>
              </w:rPr>
            </w:pPr>
            <w:r>
              <w:rPr>
                <w:rFonts w:ascii="Arial" w:cs="Arial" w:eastAsia="Arial" w:hAnsi="Arial"/>
                <w:sz w:val="13"/>
                <w:szCs w:val="13"/>
                <w:color w:val="auto"/>
              </w:rPr>
              <w:t>Troy</w:t>
            </w:r>
          </w:p>
        </w:tc>
        <w:tc>
          <w:tcPr>
            <w:tcW w:w="460" w:type="dxa"/>
            <w:vAlign w:val="bottom"/>
          </w:tcPr>
          <w:p>
            <w:pPr>
              <w:spacing w:after="0"/>
              <w:rPr>
                <w:sz w:val="10"/>
                <w:szCs w:val="10"/>
                <w:color w:val="auto"/>
              </w:rPr>
            </w:pPr>
          </w:p>
        </w:tc>
        <w:tc>
          <w:tcPr>
            <w:tcW w:w="130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New York-Newark-</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41,166</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19</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211,000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23.14</w:t>
            </w: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rPr>
              <w:t>Target / L.A. Fitness / Michaels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w w:val="95"/>
              </w:rPr>
              <w:t>Jersey City, NY-NJ-PA</w:t>
            </w: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Total NY Metro/New Jersey</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1,208,466</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274</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3,057,000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92 %</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90 %</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32.40</w:t>
            </w: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3"/>
          </w:tcPr>
          <w:p>
            <w:pPr>
              <w:spacing w:after="0"/>
              <w:rPr>
                <w:sz w:val="12"/>
                <w:szCs w:val="12"/>
                <w:color w:val="auto"/>
              </w:rPr>
            </w:pPr>
          </w:p>
        </w:tc>
        <w:tc>
          <w:tcPr>
            <w:tcW w:w="1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900" w:type="dxa"/>
            <w:vAlign w:val="bottom"/>
            <w:gridSpan w:val="6"/>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Philadelphia Metropolitan Area</w:t>
            </w:r>
          </w:p>
        </w:tc>
        <w:tc>
          <w:tcPr>
            <w:tcW w:w="5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gridSpan w:val="3"/>
          </w:tcPr>
          <w:p>
            <w:pPr>
              <w:spacing w:after="0" w:line="122" w:lineRule="exact"/>
              <w:rPr>
                <w:sz w:val="20"/>
                <w:szCs w:val="20"/>
                <w:color w:val="auto"/>
              </w:rPr>
            </w:pPr>
            <w:r>
              <w:rPr>
                <w:rFonts w:ascii="Arial" w:cs="Arial" w:eastAsia="Arial" w:hAnsi="Arial"/>
                <w:sz w:val="13"/>
                <w:szCs w:val="13"/>
                <w:color w:val="auto"/>
              </w:rPr>
              <w:t>Andorra</w:t>
            </w:r>
          </w:p>
        </w:tc>
        <w:tc>
          <w:tcPr>
            <w:tcW w:w="460" w:type="dxa"/>
            <w:vAlign w:val="bottom"/>
          </w:tcPr>
          <w:p>
            <w:pPr>
              <w:spacing w:after="0"/>
              <w:rPr>
                <w:sz w:val="10"/>
                <w:szCs w:val="10"/>
                <w:color w:val="auto"/>
              </w:rPr>
            </w:pPr>
          </w:p>
        </w:tc>
        <w:tc>
          <w:tcPr>
            <w:tcW w:w="130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7"/>
              </w:rPr>
              <w:t>Philadelphia-Camden-</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33,236</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22</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270,000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15.01</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24,000</w:t>
            </w:r>
          </w:p>
        </w:tc>
        <w:tc>
          <w:tcPr>
            <w:tcW w:w="268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8"/>
              </w:rPr>
              <w:t>Acme Markets TJ Maxx / Kohl's / L.A. Fitness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0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Wilmington, PA-NJ-</w:t>
            </w: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rPr>
              <w:t>Five Below</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color w:val="auto"/>
              </w:rPr>
              <w:t>DE-MD</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Bala Cynwyd</w:t>
            </w:r>
          </w:p>
        </w:tc>
        <w:tc>
          <w:tcPr>
            <w:tcW w:w="4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Philadelphia-Camden-</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66,502</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23</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174,000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36.79</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87</w:t>
            </w: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45,000</w:t>
            </w:r>
          </w:p>
        </w:tc>
        <w:tc>
          <w:tcPr>
            <w:tcW w:w="26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Acme Markets Michaels / L.A. Fitness</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3"/>
                <w:szCs w:val="13"/>
                <w:color w:val="auto"/>
              </w:rPr>
              <w:t>Wilmington, PA-NJ-</w:t>
            </w:r>
          </w:p>
        </w:tc>
        <w:tc>
          <w:tcPr>
            <w:tcW w:w="5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DE-MD</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40" w:type="dxa"/>
            <w:vAlign w:val="bottom"/>
            <w:gridSpan w:val="3"/>
          </w:tcPr>
          <w:p>
            <w:pPr>
              <w:spacing w:after="0" w:line="122" w:lineRule="exact"/>
              <w:rPr>
                <w:sz w:val="20"/>
                <w:szCs w:val="20"/>
                <w:color w:val="auto"/>
              </w:rPr>
            </w:pPr>
            <w:r>
              <w:rPr>
                <w:rFonts w:ascii="Arial" w:cs="Arial" w:eastAsia="Arial" w:hAnsi="Arial"/>
                <w:sz w:val="13"/>
                <w:szCs w:val="13"/>
                <w:color w:val="auto"/>
              </w:rPr>
              <w:t>Ellisburg</w:t>
            </w:r>
          </w:p>
        </w:tc>
        <w:tc>
          <w:tcPr>
            <w:tcW w:w="460" w:type="dxa"/>
            <w:vAlign w:val="bottom"/>
          </w:tcPr>
          <w:p>
            <w:pPr>
              <w:spacing w:after="0"/>
              <w:rPr>
                <w:sz w:val="10"/>
                <w:szCs w:val="10"/>
                <w:color w:val="auto"/>
              </w:rPr>
            </w:pPr>
          </w:p>
        </w:tc>
        <w:tc>
          <w:tcPr>
            <w:tcW w:w="130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7"/>
              </w:rPr>
              <w:t>Philadelphia-Camden-</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36,074</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28</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260,000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83 %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18.38</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47,000</w:t>
            </w:r>
          </w:p>
        </w:tc>
        <w:tc>
          <w:tcPr>
            <w:tcW w:w="780" w:type="dxa"/>
            <w:vAlign w:val="bottom"/>
          </w:tcPr>
          <w:p>
            <w:pPr>
              <w:ind w:left="20"/>
              <w:spacing w:after="0" w:line="122" w:lineRule="exact"/>
              <w:rPr>
                <w:sz w:val="20"/>
                <w:szCs w:val="20"/>
                <w:color w:val="auto"/>
              </w:rPr>
            </w:pPr>
            <w:r>
              <w:rPr>
                <w:rFonts w:ascii="Arial" w:cs="Arial" w:eastAsia="Arial" w:hAnsi="Arial"/>
                <w:sz w:val="13"/>
                <w:szCs w:val="13"/>
                <w:color w:val="auto"/>
                <w:w w:val="96"/>
              </w:rPr>
              <w:t>Whole Foods</w:t>
            </w: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rPr>
              <w:t>Buy Buy Baby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0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Wilmington, PA-NJ-</w:t>
            </w: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color w:val="auto"/>
              </w:rPr>
              <w:t>DE-MD</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Flourtown</w:t>
            </w:r>
          </w:p>
        </w:tc>
        <w:tc>
          <w:tcPr>
            <w:tcW w:w="46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Philadelphia-Camden-</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17,198</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24</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156,000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23.45</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75,000</w:t>
            </w:r>
          </w:p>
        </w:tc>
        <w:tc>
          <w:tcPr>
            <w:tcW w:w="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Giant Food</w:t>
            </w:r>
          </w:p>
        </w:tc>
        <w:tc>
          <w:tcPr>
            <w:tcW w:w="19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Movie Tavern</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3"/>
                <w:szCs w:val="13"/>
                <w:color w:val="auto"/>
              </w:rPr>
              <w:t>Wilmington, PA-NJ-</w:t>
            </w:r>
          </w:p>
        </w:tc>
        <w:tc>
          <w:tcPr>
            <w:tcW w:w="5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DE-MD</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gridSpan w:val="3"/>
          </w:tcPr>
          <w:p>
            <w:pPr>
              <w:spacing w:after="0" w:line="122" w:lineRule="exact"/>
              <w:rPr>
                <w:sz w:val="20"/>
                <w:szCs w:val="20"/>
                <w:color w:val="auto"/>
              </w:rPr>
            </w:pPr>
            <w:r>
              <w:rPr>
                <w:rFonts w:ascii="Arial" w:cs="Arial" w:eastAsia="Arial" w:hAnsi="Arial"/>
                <w:sz w:val="13"/>
                <w:szCs w:val="13"/>
                <w:color w:val="auto"/>
              </w:rPr>
              <w:t>Langhorne Square</w:t>
            </w:r>
          </w:p>
        </w:tc>
        <w:tc>
          <w:tcPr>
            <w:tcW w:w="460" w:type="dxa"/>
            <w:vAlign w:val="bottom"/>
          </w:tcPr>
          <w:p>
            <w:pPr>
              <w:spacing w:after="0"/>
              <w:rPr>
                <w:sz w:val="10"/>
                <w:szCs w:val="10"/>
                <w:color w:val="auto"/>
              </w:rPr>
            </w:pPr>
          </w:p>
        </w:tc>
        <w:tc>
          <w:tcPr>
            <w:tcW w:w="130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7"/>
              </w:rPr>
              <w:t>Philadelphia-Camden-</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23,794</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21</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223,000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99 %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99 %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18.45</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55,000</w:t>
            </w:r>
          </w:p>
        </w:tc>
        <w:tc>
          <w:tcPr>
            <w:tcW w:w="780" w:type="dxa"/>
            <w:vAlign w:val="bottom"/>
          </w:tcPr>
          <w:p>
            <w:pPr>
              <w:ind w:left="20"/>
              <w:spacing w:after="0" w:line="122" w:lineRule="exact"/>
              <w:rPr>
                <w:sz w:val="20"/>
                <w:szCs w:val="20"/>
                <w:color w:val="auto"/>
              </w:rPr>
            </w:pPr>
            <w:r>
              <w:rPr>
                <w:rFonts w:ascii="Arial" w:cs="Arial" w:eastAsia="Arial" w:hAnsi="Arial"/>
                <w:sz w:val="13"/>
                <w:szCs w:val="13"/>
                <w:color w:val="auto"/>
              </w:rPr>
              <w:t>Redner's</w:t>
            </w:r>
          </w:p>
        </w:tc>
        <w:tc>
          <w:tcPr>
            <w:tcW w:w="1900" w:type="dxa"/>
            <w:vAlign w:val="bottom"/>
          </w:tcPr>
          <w:p>
            <w:pPr>
              <w:ind w:left="40"/>
              <w:spacing w:after="0" w:line="122" w:lineRule="exact"/>
              <w:rPr>
                <w:sz w:val="20"/>
                <w:szCs w:val="20"/>
                <w:color w:val="auto"/>
              </w:rPr>
            </w:pPr>
            <w:r>
              <w:rPr>
                <w:rFonts w:ascii="Arial" w:cs="Arial" w:eastAsia="Arial" w:hAnsi="Arial"/>
                <w:sz w:val="13"/>
                <w:szCs w:val="13"/>
                <w:color w:val="auto"/>
              </w:rPr>
              <w:t>Marshalls / Planet Fitness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0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Wilmington, PA-NJ-</w:t>
            </w: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3"/>
                <w:szCs w:val="13"/>
                <w:color w:val="auto"/>
              </w:rPr>
              <w:t>Warehouse</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color w:val="auto"/>
              </w:rPr>
              <w:t>DE-MD</w:t>
            </w:r>
          </w:p>
        </w:tc>
        <w:tc>
          <w:tcPr>
            <w:tcW w:w="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Markets</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652"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Real</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jc w:val="right"/>
              <w:ind w:right="197"/>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217"/>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5"/>
              </w:rPr>
              <w:t>Average</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7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Grocery</w:t>
            </w: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420" w:type="dxa"/>
            <w:vAlign w:val="bottom"/>
          </w:tcPr>
          <w:p>
            <w:pPr>
              <w:spacing w:after="0"/>
              <w:rPr>
                <w:sz w:val="10"/>
                <w:szCs w:val="10"/>
                <w:color w:val="auto"/>
              </w:rPr>
            </w:pPr>
          </w:p>
        </w:tc>
        <w:tc>
          <w:tcPr>
            <w:tcW w:w="13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MSA Description</w:t>
            </w:r>
          </w:p>
        </w:tc>
        <w:tc>
          <w:tcPr>
            <w:tcW w:w="5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Estate at</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Lease Liabilities</w:t>
            </w: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Acreage</w:t>
            </w: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GLA (3)</w:t>
            </w:r>
          </w:p>
        </w:tc>
        <w:tc>
          <w:tcPr>
            <w:tcW w:w="580" w:type="dxa"/>
            <w:vAlign w:val="bottom"/>
          </w:tcPr>
          <w:p>
            <w:pPr>
              <w:jc w:val="right"/>
              <w:ind w:right="57"/>
              <w:spacing w:after="0" w:line="122" w:lineRule="exact"/>
              <w:rPr>
                <w:sz w:val="20"/>
                <w:szCs w:val="20"/>
                <w:color w:val="auto"/>
              </w:rPr>
            </w:pPr>
            <w:r>
              <w:rPr>
                <w:rFonts w:ascii="Arial" w:cs="Arial" w:eastAsia="Arial" w:hAnsi="Arial"/>
                <w:sz w:val="13"/>
                <w:szCs w:val="13"/>
                <w:b w:val="1"/>
                <w:bCs w:val="1"/>
                <w:color w:val="auto"/>
                <w:w w:val="98"/>
              </w:rPr>
              <w:t>Leased</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b w:val="1"/>
                <w:bCs w:val="1"/>
                <w:color w:val="auto"/>
                <w:w w:val="91"/>
              </w:rPr>
              <w:t>Occupied</w:t>
            </w: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Rent</w:t>
            </w:r>
          </w:p>
        </w:tc>
        <w:tc>
          <w:tcPr>
            <w:tcW w:w="660" w:type="dxa"/>
            <w:vAlign w:val="bottom"/>
            <w:vMerge w:val="continue"/>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Anchor</w:t>
            </w:r>
          </w:p>
        </w:tc>
        <w:tc>
          <w:tcPr>
            <w:tcW w:w="740" w:type="dxa"/>
            <w:vAlign w:val="bottom"/>
            <w:vMerge w:val="continue"/>
          </w:tcPr>
          <w:p>
            <w:pPr>
              <w:spacing w:after="0"/>
              <w:rPr>
                <w:sz w:val="10"/>
                <w:szCs w:val="10"/>
                <w:color w:val="auto"/>
              </w:rPr>
            </w:pPr>
          </w:p>
        </w:tc>
        <w:tc>
          <w:tcPr>
            <w:tcW w:w="19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w:t>
            </w:r>
          </w:p>
        </w:tc>
        <w:tc>
          <w:tcPr>
            <w:tcW w:w="54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(3)</w:t>
            </w: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(3)</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1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8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88"/>
              </w:rPr>
              <w:t>(in thousands)</w:t>
            </w: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6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color w:val="auto"/>
              </w:rPr>
              <w:t>Lawrence Park</w:t>
            </w:r>
          </w:p>
        </w:tc>
        <w:tc>
          <w:tcPr>
            <w:tcW w:w="420" w:type="dxa"/>
            <w:vAlign w:val="bottom"/>
            <w:shd w:val="clear" w:color="auto" w:fill="CCEEFF"/>
          </w:tcPr>
          <w:p>
            <w:pPr>
              <w:spacing w:after="0"/>
              <w:rPr>
                <w:sz w:val="10"/>
                <w:szCs w:val="10"/>
                <w:color w:val="auto"/>
              </w:rPr>
            </w:pPr>
          </w:p>
        </w:tc>
        <w:tc>
          <w:tcPr>
            <w:tcW w:w="13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7"/>
              </w:rPr>
              <w:t>Philadelphia-Camden-</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50,725</w:t>
            </w: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29</w:t>
            </w:r>
          </w:p>
        </w:tc>
        <w:tc>
          <w:tcPr>
            <w:tcW w:w="62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358,000</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96 %</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79 %</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22.88</w:t>
            </w: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53,000</w:t>
            </w:r>
          </w:p>
        </w:tc>
        <w:tc>
          <w:tcPr>
            <w:tcW w:w="26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3"/>
                <w:szCs w:val="13"/>
                <w:color w:val="auto"/>
                <w:w w:val="92"/>
              </w:rPr>
              <w:t>Acme Markets TJ Maxx / HomeGoods / Barnes &amp;</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2"/>
              </w:rPr>
              <w:t>Wilmington, PA-NJ-DE-</w:t>
            </w:r>
          </w:p>
        </w:tc>
        <w:tc>
          <w:tcPr>
            <w:tcW w:w="5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60" w:type="dxa"/>
            <w:vAlign w:val="bottom"/>
            <w:gridSpan w:val="4"/>
          </w:tcPr>
          <w:p>
            <w:pPr>
              <w:spacing w:after="0" w:line="122" w:lineRule="exact"/>
              <w:rPr>
                <w:sz w:val="20"/>
                <w:szCs w:val="20"/>
                <w:color w:val="auto"/>
              </w:rPr>
            </w:pPr>
            <w:r>
              <w:rPr>
                <w:rFonts w:ascii="Arial" w:cs="Arial" w:eastAsia="Arial" w:hAnsi="Arial"/>
                <w:sz w:val="13"/>
                <w:szCs w:val="13"/>
                <w:color w:val="auto"/>
              </w:rPr>
              <w:t>Northeast</w:t>
            </w:r>
          </w:p>
        </w:tc>
        <w:tc>
          <w:tcPr>
            <w:tcW w:w="420" w:type="dxa"/>
            <w:vAlign w:val="bottom"/>
          </w:tcPr>
          <w:p>
            <w:pPr>
              <w:spacing w:after="0"/>
              <w:rPr>
                <w:sz w:val="10"/>
                <w:szCs w:val="10"/>
                <w:color w:val="auto"/>
              </w:rPr>
            </w:pPr>
          </w:p>
        </w:tc>
        <w:tc>
          <w:tcPr>
            <w:tcW w:w="1320" w:type="dxa"/>
            <w:vAlign w:val="bottom"/>
          </w:tcPr>
          <w:p>
            <w:pPr>
              <w:ind w:left="40"/>
              <w:spacing w:after="0" w:line="122" w:lineRule="exact"/>
              <w:rPr>
                <w:sz w:val="20"/>
                <w:szCs w:val="20"/>
                <w:color w:val="auto"/>
              </w:rPr>
            </w:pPr>
            <w:r>
              <w:rPr>
                <w:rFonts w:ascii="Arial" w:cs="Arial" w:eastAsia="Arial" w:hAnsi="Arial"/>
                <w:sz w:val="13"/>
                <w:szCs w:val="13"/>
                <w:color w:val="auto"/>
                <w:w w:val="97"/>
              </w:rPr>
              <w:t>Philadelphia-Camden-</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34,436</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15</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227,000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82 %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82 %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19.76</w:t>
            </w: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tcPr>
          <w:p>
            <w:pPr>
              <w:ind w:left="60"/>
              <w:spacing w:after="0" w:line="122" w:lineRule="exact"/>
              <w:rPr>
                <w:sz w:val="20"/>
                <w:szCs w:val="20"/>
                <w:color w:val="auto"/>
              </w:rPr>
            </w:pPr>
            <w:r>
              <w:rPr>
                <w:rFonts w:ascii="Arial" w:cs="Arial" w:eastAsia="Arial" w:hAnsi="Arial"/>
                <w:sz w:val="13"/>
                <w:szCs w:val="13"/>
                <w:color w:val="auto"/>
                <w:w w:val="89"/>
              </w:rPr>
              <w:t>Marshalls / Ulta / Skechers / Crunch</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20" w:type="dxa"/>
            <w:vAlign w:val="bottom"/>
          </w:tcPr>
          <w:p>
            <w:pPr>
              <w:ind w:left="40"/>
              <w:spacing w:after="0" w:line="122" w:lineRule="exact"/>
              <w:rPr>
                <w:sz w:val="20"/>
                <w:szCs w:val="20"/>
                <w:color w:val="auto"/>
              </w:rPr>
            </w:pPr>
            <w:r>
              <w:rPr>
                <w:rFonts w:ascii="Arial" w:cs="Arial" w:eastAsia="Arial" w:hAnsi="Arial"/>
                <w:sz w:val="13"/>
                <w:szCs w:val="13"/>
                <w:color w:val="auto"/>
                <w:w w:val="92"/>
              </w:rPr>
              <w:t>Wilmington, PA-NJ-DE-</w:t>
            </w: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tcPr>
          <w:p>
            <w:pPr>
              <w:ind w:left="60"/>
              <w:spacing w:after="0" w:line="122" w:lineRule="exact"/>
              <w:rPr>
                <w:sz w:val="20"/>
                <w:szCs w:val="20"/>
                <w:color w:val="auto"/>
              </w:rPr>
            </w:pPr>
            <w:r>
              <w:rPr>
                <w:rFonts w:ascii="Arial" w:cs="Arial" w:eastAsia="Arial" w:hAnsi="Arial"/>
                <w:sz w:val="13"/>
                <w:szCs w:val="13"/>
                <w:color w:val="auto"/>
              </w:rPr>
              <w:t>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3"/>
                <w:szCs w:val="13"/>
                <w:color w:val="auto"/>
              </w:rPr>
              <w:t>MD</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w w:val="96"/>
              </w:rPr>
              <w:t>Town Center of New</w:t>
            </w:r>
          </w:p>
        </w:tc>
        <w:tc>
          <w:tcPr>
            <w:tcW w:w="420" w:type="dxa"/>
            <w:vAlign w:val="bottom"/>
            <w:shd w:val="clear" w:color="auto" w:fill="CCEEFF"/>
          </w:tcPr>
          <w:p>
            <w:pPr>
              <w:spacing w:after="0"/>
              <w:rPr>
                <w:sz w:val="11"/>
                <w:szCs w:val="11"/>
                <w:color w:val="auto"/>
              </w:rPr>
            </w:pPr>
          </w:p>
        </w:tc>
        <w:tc>
          <w:tcPr>
            <w:tcW w:w="13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7"/>
              </w:rPr>
              <w:t>Philadelphia-Camden-</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16,925</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17</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124,000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89 %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87 %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10.04</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36,000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Giant Food</w:t>
            </w:r>
          </w:p>
        </w:tc>
        <w:tc>
          <w:tcPr>
            <w:tcW w:w="19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Rite Aid / Dollar Tree</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16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color w:val="auto"/>
              </w:rPr>
              <w:t>Britain</w:t>
            </w:r>
          </w:p>
        </w:tc>
        <w:tc>
          <w:tcPr>
            <w:tcW w:w="420" w:type="dxa"/>
            <w:vAlign w:val="bottom"/>
            <w:shd w:val="clear" w:color="auto" w:fill="CCEEFF"/>
          </w:tcPr>
          <w:p>
            <w:pPr>
              <w:spacing w:after="0"/>
              <w:rPr>
                <w:sz w:val="10"/>
                <w:szCs w:val="10"/>
                <w:color w:val="auto"/>
              </w:rPr>
            </w:pPr>
          </w:p>
        </w:tc>
        <w:tc>
          <w:tcPr>
            <w:tcW w:w="13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2"/>
              </w:rPr>
              <w:t>Wilmington, PA-NJ-DE-</w:t>
            </w:r>
          </w:p>
        </w:tc>
        <w:tc>
          <w:tcPr>
            <w:tcW w:w="5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gridSpan w:val="4"/>
          </w:tcPr>
          <w:p>
            <w:pPr>
              <w:spacing w:after="0" w:line="122" w:lineRule="exact"/>
              <w:rPr>
                <w:sz w:val="20"/>
                <w:szCs w:val="20"/>
                <w:color w:val="auto"/>
              </w:rPr>
            </w:pPr>
            <w:r>
              <w:rPr>
                <w:rFonts w:ascii="Arial" w:cs="Arial" w:eastAsia="Arial" w:hAnsi="Arial"/>
                <w:sz w:val="13"/>
                <w:szCs w:val="13"/>
                <w:color w:val="auto"/>
              </w:rPr>
              <w:t>Willow Grove</w:t>
            </w:r>
          </w:p>
        </w:tc>
        <w:tc>
          <w:tcPr>
            <w:tcW w:w="420" w:type="dxa"/>
            <w:vAlign w:val="bottom"/>
          </w:tcPr>
          <w:p>
            <w:pPr>
              <w:spacing w:after="0"/>
              <w:rPr>
                <w:sz w:val="10"/>
                <w:szCs w:val="10"/>
                <w:color w:val="auto"/>
              </w:rPr>
            </w:pPr>
          </w:p>
        </w:tc>
        <w:tc>
          <w:tcPr>
            <w:tcW w:w="1320" w:type="dxa"/>
            <w:vAlign w:val="bottom"/>
          </w:tcPr>
          <w:p>
            <w:pPr>
              <w:ind w:left="40"/>
              <w:spacing w:after="0" w:line="122" w:lineRule="exact"/>
              <w:rPr>
                <w:sz w:val="20"/>
                <w:szCs w:val="20"/>
                <w:color w:val="auto"/>
              </w:rPr>
            </w:pPr>
            <w:r>
              <w:rPr>
                <w:rFonts w:ascii="Arial" w:cs="Arial" w:eastAsia="Arial" w:hAnsi="Arial"/>
                <w:sz w:val="13"/>
                <w:szCs w:val="13"/>
                <w:color w:val="auto"/>
                <w:w w:val="97"/>
              </w:rPr>
              <w:t>Philadelphia-Camden-</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32,085</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13</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183,000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58 %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58 %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22.06</w:t>
            </w: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tcPr>
          <w:p>
            <w:pPr>
              <w:ind w:left="60"/>
              <w:spacing w:after="0" w:line="122" w:lineRule="exact"/>
              <w:rPr>
                <w:sz w:val="20"/>
                <w:szCs w:val="20"/>
                <w:color w:val="auto"/>
              </w:rPr>
            </w:pPr>
            <w:r>
              <w:rPr>
                <w:rFonts w:ascii="Arial" w:cs="Arial" w:eastAsia="Arial" w:hAnsi="Arial"/>
                <w:sz w:val="13"/>
                <w:szCs w:val="13"/>
                <w:color w:val="auto"/>
              </w:rPr>
              <w:t>Marshalls / Five Below</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20" w:type="dxa"/>
            <w:vAlign w:val="bottom"/>
          </w:tcPr>
          <w:p>
            <w:pPr>
              <w:ind w:left="40"/>
              <w:spacing w:after="0" w:line="122" w:lineRule="exact"/>
              <w:rPr>
                <w:sz w:val="20"/>
                <w:szCs w:val="20"/>
                <w:color w:val="auto"/>
              </w:rPr>
            </w:pPr>
            <w:r>
              <w:rPr>
                <w:rFonts w:ascii="Arial" w:cs="Arial" w:eastAsia="Arial" w:hAnsi="Arial"/>
                <w:sz w:val="13"/>
                <w:szCs w:val="13"/>
                <w:color w:val="auto"/>
                <w:w w:val="92"/>
              </w:rPr>
              <w:t>Wilmington, PA-NJ-DE-</w:t>
            </w: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3"/>
                <w:szCs w:val="13"/>
                <w:color w:val="auto"/>
              </w:rPr>
              <w:t>MD</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Wynnewood</w:t>
            </w:r>
          </w:p>
        </w:tc>
        <w:tc>
          <w:tcPr>
            <w:tcW w:w="420" w:type="dxa"/>
            <w:vAlign w:val="bottom"/>
            <w:shd w:val="clear" w:color="auto" w:fill="CCEEFF"/>
          </w:tcPr>
          <w:p>
            <w:pPr>
              <w:spacing w:after="0"/>
              <w:rPr>
                <w:sz w:val="11"/>
                <w:szCs w:val="11"/>
                <w:color w:val="auto"/>
              </w:rPr>
            </w:pPr>
          </w:p>
        </w:tc>
        <w:tc>
          <w:tcPr>
            <w:tcW w:w="13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7"/>
              </w:rPr>
              <w:t>Philadelphia-Camden-</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42,869</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14</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249,000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29.12</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9</w:t>
            </w: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98,000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Giant Food</w:t>
            </w:r>
          </w:p>
        </w:tc>
        <w:tc>
          <w:tcPr>
            <w:tcW w:w="19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8"/>
              </w:rPr>
              <w:t>Bed, Bath &amp; Beyond / Old Navy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2"/>
              </w:rPr>
              <w:t>Wilmington, PA-NJ-DE-</w:t>
            </w:r>
          </w:p>
        </w:tc>
        <w:tc>
          <w:tcPr>
            <w:tcW w:w="5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580" w:type="dxa"/>
            <w:vAlign w:val="bottom"/>
            <w:tcBorders>
              <w:bottom w:val="single" w:sz="8" w:color="auto"/>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w w:val="90"/>
              </w:rPr>
              <w:t>Total Philadelphia Metropolitan Area</w:t>
            </w:r>
          </w:p>
        </w:tc>
        <w:tc>
          <w:tcPr>
            <w:tcW w:w="580" w:type="dxa"/>
            <w:vAlign w:val="bottom"/>
          </w:tcPr>
          <w:p>
            <w:pPr>
              <w:jc w:val="right"/>
              <w:spacing w:after="0"/>
              <w:rPr>
                <w:sz w:val="20"/>
                <w:szCs w:val="20"/>
                <w:color w:val="auto"/>
              </w:rPr>
            </w:pPr>
            <w:r>
              <w:rPr>
                <w:rFonts w:ascii="Arial" w:cs="Arial" w:eastAsia="Arial" w:hAnsi="Arial"/>
                <w:sz w:val="13"/>
                <w:szCs w:val="13"/>
                <w:color w:val="auto"/>
              </w:rPr>
              <w:t>353,844</w:t>
            </w:r>
          </w:p>
        </w:tc>
        <w:tc>
          <w:tcPr>
            <w:tcW w:w="10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206</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2,224,000</w:t>
            </w:r>
          </w:p>
        </w:tc>
        <w:tc>
          <w:tcPr>
            <w:tcW w:w="580" w:type="dxa"/>
            <w:vAlign w:val="bottom"/>
          </w:tcPr>
          <w:p>
            <w:pPr>
              <w:jc w:val="right"/>
              <w:spacing w:after="0"/>
              <w:rPr>
                <w:sz w:val="20"/>
                <w:szCs w:val="20"/>
                <w:color w:val="auto"/>
              </w:rPr>
            </w:pPr>
            <w:r>
              <w:rPr>
                <w:rFonts w:ascii="Arial" w:cs="Arial" w:eastAsia="Arial" w:hAnsi="Arial"/>
                <w:sz w:val="13"/>
                <w:szCs w:val="13"/>
                <w:color w:val="auto"/>
              </w:rPr>
              <w:t>90 %</w:t>
            </w:r>
          </w:p>
        </w:tc>
        <w:tc>
          <w:tcPr>
            <w:tcW w:w="640" w:type="dxa"/>
            <w:vAlign w:val="bottom"/>
          </w:tcPr>
          <w:p>
            <w:pPr>
              <w:jc w:val="right"/>
              <w:spacing w:after="0"/>
              <w:rPr>
                <w:sz w:val="20"/>
                <w:szCs w:val="20"/>
                <w:color w:val="auto"/>
              </w:rPr>
            </w:pPr>
            <w:r>
              <w:rPr>
                <w:rFonts w:ascii="Arial" w:cs="Arial" w:eastAsia="Arial" w:hAnsi="Arial"/>
                <w:sz w:val="13"/>
                <w:szCs w:val="13"/>
                <w:color w:val="auto"/>
              </w:rPr>
              <w:t>86 %</w:t>
            </w:r>
          </w:p>
        </w:tc>
        <w:tc>
          <w:tcPr>
            <w:tcW w:w="500" w:type="dxa"/>
            <w:vAlign w:val="bottom"/>
          </w:tcPr>
          <w:p>
            <w:pPr>
              <w:jc w:val="right"/>
              <w:spacing w:after="0"/>
              <w:rPr>
                <w:sz w:val="20"/>
                <w:szCs w:val="20"/>
                <w:color w:val="auto"/>
              </w:rPr>
            </w:pPr>
            <w:r>
              <w:rPr>
                <w:rFonts w:ascii="Arial" w:cs="Arial" w:eastAsia="Arial" w:hAnsi="Arial"/>
                <w:sz w:val="13"/>
                <w:szCs w:val="13"/>
                <w:color w:val="auto"/>
              </w:rPr>
              <w:t>21.84</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New England</w:t>
            </w:r>
          </w:p>
        </w:tc>
        <w:tc>
          <w:tcPr>
            <w:tcW w:w="4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6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color w:val="auto"/>
              </w:rPr>
              <w:t>Assembly Row /</w:t>
            </w:r>
          </w:p>
        </w:tc>
        <w:tc>
          <w:tcPr>
            <w:tcW w:w="4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rPr>
              <w:t>(7)</w:t>
            </w:r>
          </w:p>
        </w:tc>
        <w:tc>
          <w:tcPr>
            <w:tcW w:w="13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Boston-Cambridge-</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w w:val="86"/>
              </w:rPr>
              <w:t>1,078,617</w:t>
            </w: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65</w:t>
            </w:r>
          </w:p>
        </w:tc>
        <w:tc>
          <w:tcPr>
            <w:tcW w:w="62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w w:val="89"/>
              </w:rPr>
              <w:t>1,069,000</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97 %</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93 %</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35.11</w:t>
            </w:r>
          </w:p>
        </w:tc>
        <w:tc>
          <w:tcPr>
            <w:tcW w:w="6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92"/>
              </w:rPr>
              <w:t>947</w:t>
            </w:r>
          </w:p>
        </w:tc>
        <w:tc>
          <w:tcPr>
            <w:tcW w:w="5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18,000</w:t>
            </w:r>
          </w:p>
        </w:tc>
        <w:tc>
          <w:tcPr>
            <w:tcW w:w="74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7"/>
              </w:rPr>
              <w:t>Trader Joe's</w:t>
            </w:r>
          </w:p>
        </w:tc>
        <w:tc>
          <w:tcPr>
            <w:tcW w:w="19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TJ Maxx / AMC / LEGOLAND</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16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color w:val="auto"/>
              </w:rPr>
              <w:t>Assembly Square</w:t>
            </w:r>
          </w:p>
        </w:tc>
        <w:tc>
          <w:tcPr>
            <w:tcW w:w="420" w:type="dxa"/>
            <w:vAlign w:val="bottom"/>
            <w:shd w:val="clear" w:color="auto" w:fill="CCEEFF"/>
          </w:tcPr>
          <w:p>
            <w:pPr>
              <w:spacing w:after="0"/>
              <w:rPr>
                <w:sz w:val="10"/>
                <w:szCs w:val="10"/>
                <w:color w:val="auto"/>
              </w:rPr>
            </w:pPr>
          </w:p>
        </w:tc>
        <w:tc>
          <w:tcPr>
            <w:tcW w:w="13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Newton, MA-NH</w:t>
            </w:r>
          </w:p>
        </w:tc>
        <w:tc>
          <w:tcPr>
            <w:tcW w:w="5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Discovery Center / Multiple</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Marketplace</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gridSpan w:val="4"/>
          </w:tcPr>
          <w:p>
            <w:pPr>
              <w:spacing w:after="0" w:line="122" w:lineRule="exact"/>
              <w:rPr>
                <w:sz w:val="20"/>
                <w:szCs w:val="20"/>
                <w:color w:val="auto"/>
              </w:rPr>
            </w:pPr>
            <w:r>
              <w:rPr>
                <w:rFonts w:ascii="Arial" w:cs="Arial" w:eastAsia="Arial" w:hAnsi="Arial"/>
                <w:sz w:val="13"/>
                <w:szCs w:val="13"/>
                <w:color w:val="auto"/>
              </w:rPr>
              <w:t>Campus Plaza</w:t>
            </w:r>
          </w:p>
        </w:tc>
        <w:tc>
          <w:tcPr>
            <w:tcW w:w="420" w:type="dxa"/>
            <w:vAlign w:val="bottom"/>
          </w:tcPr>
          <w:p>
            <w:pPr>
              <w:spacing w:after="0"/>
              <w:rPr>
                <w:sz w:val="10"/>
                <w:szCs w:val="10"/>
                <w:color w:val="auto"/>
              </w:rPr>
            </w:pPr>
          </w:p>
        </w:tc>
        <w:tc>
          <w:tcPr>
            <w:tcW w:w="1320" w:type="dxa"/>
            <w:vAlign w:val="bottom"/>
          </w:tcPr>
          <w:p>
            <w:pPr>
              <w:ind w:left="40"/>
              <w:spacing w:after="0" w:line="122" w:lineRule="exact"/>
              <w:rPr>
                <w:sz w:val="20"/>
                <w:szCs w:val="20"/>
                <w:color w:val="auto"/>
              </w:rPr>
            </w:pPr>
            <w:r>
              <w:rPr>
                <w:rFonts w:ascii="Arial" w:cs="Arial" w:eastAsia="Arial" w:hAnsi="Arial"/>
                <w:sz w:val="13"/>
                <w:szCs w:val="13"/>
                <w:color w:val="auto"/>
              </w:rPr>
              <w:t>Boston-Cambridge-</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30,555</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15</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114,000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17.35</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46,000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w w:val="97"/>
              </w:rPr>
              <w:t>Roche Bros.</w:t>
            </w:r>
          </w:p>
        </w:tc>
        <w:tc>
          <w:tcPr>
            <w:tcW w:w="1940" w:type="dxa"/>
            <w:vAlign w:val="bottom"/>
          </w:tcPr>
          <w:p>
            <w:pPr>
              <w:ind w:left="60"/>
              <w:spacing w:after="0" w:line="122" w:lineRule="exact"/>
              <w:rPr>
                <w:sz w:val="20"/>
                <w:szCs w:val="20"/>
                <w:color w:val="auto"/>
              </w:rPr>
            </w:pPr>
            <w:r>
              <w:rPr>
                <w:rFonts w:ascii="Arial" w:cs="Arial" w:eastAsia="Arial" w:hAnsi="Arial"/>
                <w:sz w:val="13"/>
                <w:szCs w:val="13"/>
                <w:color w:val="auto"/>
              </w:rPr>
              <w:t>Burlington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3"/>
                <w:szCs w:val="13"/>
                <w:color w:val="auto"/>
              </w:rPr>
              <w:t>Newton, MA-NH</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Chelsea Commons</w:t>
            </w:r>
          </w:p>
        </w:tc>
        <w:tc>
          <w:tcPr>
            <w:tcW w:w="420" w:type="dxa"/>
            <w:vAlign w:val="bottom"/>
            <w:shd w:val="clear" w:color="auto" w:fill="CCEEFF"/>
          </w:tcPr>
          <w:p>
            <w:pPr>
              <w:spacing w:after="0"/>
              <w:rPr>
                <w:sz w:val="11"/>
                <w:szCs w:val="11"/>
                <w:color w:val="auto"/>
              </w:rPr>
            </w:pPr>
          </w:p>
        </w:tc>
        <w:tc>
          <w:tcPr>
            <w:tcW w:w="13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Boston-Cambridge-</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30,594</w:t>
            </w:r>
          </w:p>
        </w:tc>
        <w:tc>
          <w:tcPr>
            <w:tcW w:w="1020" w:type="dxa"/>
            <w:vAlign w:val="bottom"/>
            <w:shd w:val="clear" w:color="auto" w:fill="CCEEFF"/>
          </w:tcPr>
          <w:p>
            <w:pPr>
              <w:jc w:val="right"/>
              <w:ind w:right="299"/>
              <w:spacing w:after="0" w:line="129" w:lineRule="exact"/>
              <w:rPr>
                <w:sz w:val="20"/>
                <w:szCs w:val="20"/>
                <w:color w:val="auto"/>
              </w:rPr>
            </w:pPr>
            <w:r>
              <w:rPr>
                <w:rFonts w:ascii="Arial" w:cs="Arial" w:eastAsia="Arial" w:hAnsi="Arial"/>
                <w:sz w:val="13"/>
                <w:szCs w:val="13"/>
                <w:color w:val="auto"/>
              </w:rPr>
              <w:t>4,851</w:t>
            </w: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37</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222,000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12.81</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9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Home Depot / Planet Fitness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Newton, MA-NH</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60" w:type="dxa"/>
            <w:vAlign w:val="bottom"/>
            <w:gridSpan w:val="4"/>
          </w:tcPr>
          <w:p>
            <w:pPr>
              <w:spacing w:after="0" w:line="122" w:lineRule="exact"/>
              <w:rPr>
                <w:sz w:val="20"/>
                <w:szCs w:val="20"/>
                <w:color w:val="auto"/>
              </w:rPr>
            </w:pPr>
            <w:r>
              <w:rPr>
                <w:rFonts w:ascii="Arial" w:cs="Arial" w:eastAsia="Arial" w:hAnsi="Arial"/>
                <w:sz w:val="13"/>
                <w:szCs w:val="13"/>
                <w:color w:val="auto"/>
              </w:rPr>
              <w:t>Dedham Plaza</w:t>
            </w:r>
          </w:p>
        </w:tc>
        <w:tc>
          <w:tcPr>
            <w:tcW w:w="420" w:type="dxa"/>
            <w:vAlign w:val="bottom"/>
          </w:tcPr>
          <w:p>
            <w:pPr>
              <w:spacing w:after="0"/>
              <w:rPr>
                <w:sz w:val="10"/>
                <w:szCs w:val="10"/>
                <w:color w:val="auto"/>
              </w:rPr>
            </w:pPr>
          </w:p>
        </w:tc>
        <w:tc>
          <w:tcPr>
            <w:tcW w:w="1320" w:type="dxa"/>
            <w:vAlign w:val="bottom"/>
          </w:tcPr>
          <w:p>
            <w:pPr>
              <w:ind w:left="40"/>
              <w:spacing w:after="0" w:line="122" w:lineRule="exact"/>
              <w:rPr>
                <w:sz w:val="20"/>
                <w:szCs w:val="20"/>
                <w:color w:val="auto"/>
              </w:rPr>
            </w:pPr>
            <w:r>
              <w:rPr>
                <w:rFonts w:ascii="Arial" w:cs="Arial" w:eastAsia="Arial" w:hAnsi="Arial"/>
                <w:sz w:val="13"/>
                <w:szCs w:val="13"/>
                <w:color w:val="auto"/>
              </w:rPr>
              <w:t>Boston-Cambridge-</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47,774</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19</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245,000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16.75</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80,000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Star Market</w:t>
            </w:r>
          </w:p>
        </w:tc>
        <w:tc>
          <w:tcPr>
            <w:tcW w:w="1940" w:type="dxa"/>
            <w:vAlign w:val="bottom"/>
          </w:tcPr>
          <w:p>
            <w:pPr>
              <w:ind w:left="60"/>
              <w:spacing w:after="0" w:line="122" w:lineRule="exact"/>
              <w:rPr>
                <w:sz w:val="20"/>
                <w:szCs w:val="20"/>
                <w:color w:val="auto"/>
              </w:rPr>
            </w:pPr>
            <w:r>
              <w:rPr>
                <w:rFonts w:ascii="Arial" w:cs="Arial" w:eastAsia="Arial" w:hAnsi="Arial"/>
                <w:sz w:val="13"/>
                <w:szCs w:val="13"/>
                <w:color w:val="auto"/>
              </w:rPr>
              <w:t>Planet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3"/>
                <w:szCs w:val="13"/>
                <w:color w:val="auto"/>
              </w:rPr>
              <w:t>Newton, MA-NH</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Linden Square</w:t>
            </w:r>
          </w:p>
        </w:tc>
        <w:tc>
          <w:tcPr>
            <w:tcW w:w="420" w:type="dxa"/>
            <w:vAlign w:val="bottom"/>
            <w:shd w:val="clear" w:color="auto" w:fill="CCEEFF"/>
          </w:tcPr>
          <w:p>
            <w:pPr>
              <w:spacing w:after="0"/>
              <w:rPr>
                <w:sz w:val="11"/>
                <w:szCs w:val="11"/>
                <w:color w:val="auto"/>
              </w:rPr>
            </w:pPr>
          </w:p>
        </w:tc>
        <w:tc>
          <w:tcPr>
            <w:tcW w:w="13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Boston-Cambridge-</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151,391</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19</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220,000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49.75</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7</w:t>
            </w: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50,000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Roche Bros.</w:t>
            </w:r>
          </w:p>
        </w:tc>
        <w:tc>
          <w:tcPr>
            <w:tcW w:w="19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Newton, MA-NH</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gridSpan w:val="4"/>
          </w:tcPr>
          <w:p>
            <w:pPr>
              <w:spacing w:after="0" w:line="122" w:lineRule="exact"/>
              <w:rPr>
                <w:sz w:val="20"/>
                <w:szCs w:val="20"/>
                <w:color w:val="auto"/>
              </w:rPr>
            </w:pPr>
            <w:r>
              <w:rPr>
                <w:rFonts w:ascii="Arial" w:cs="Arial" w:eastAsia="Arial" w:hAnsi="Arial"/>
                <w:sz w:val="13"/>
                <w:szCs w:val="13"/>
                <w:color w:val="auto"/>
              </w:rPr>
              <w:t>North Dartmouth</w:t>
            </w:r>
          </w:p>
        </w:tc>
        <w:tc>
          <w:tcPr>
            <w:tcW w:w="420" w:type="dxa"/>
            <w:vAlign w:val="bottom"/>
          </w:tcPr>
          <w:p>
            <w:pPr>
              <w:spacing w:after="0"/>
              <w:rPr>
                <w:sz w:val="10"/>
                <w:szCs w:val="10"/>
                <w:color w:val="auto"/>
              </w:rPr>
            </w:pPr>
          </w:p>
        </w:tc>
        <w:tc>
          <w:tcPr>
            <w:tcW w:w="1320" w:type="dxa"/>
            <w:vAlign w:val="bottom"/>
          </w:tcPr>
          <w:p>
            <w:pPr>
              <w:ind w:left="40"/>
              <w:spacing w:after="0" w:line="122" w:lineRule="exact"/>
              <w:rPr>
                <w:sz w:val="20"/>
                <w:szCs w:val="20"/>
                <w:color w:val="auto"/>
              </w:rPr>
            </w:pPr>
            <w:r>
              <w:rPr>
                <w:rFonts w:ascii="Arial" w:cs="Arial" w:eastAsia="Arial" w:hAnsi="Arial"/>
                <w:sz w:val="13"/>
                <w:szCs w:val="13"/>
                <w:color w:val="auto"/>
              </w:rPr>
              <w:t>Providence-Warwick,</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9,369</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28</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48,000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17.22</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48,000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w w:val="95"/>
              </w:rPr>
              <w:t>Stop &amp; Shop</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3"/>
                <w:szCs w:val="13"/>
                <w:color w:val="auto"/>
              </w:rPr>
              <w:t>RI-MA</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Queen Anne Plaza</w:t>
            </w:r>
          </w:p>
        </w:tc>
        <w:tc>
          <w:tcPr>
            <w:tcW w:w="420" w:type="dxa"/>
            <w:vAlign w:val="bottom"/>
            <w:shd w:val="clear" w:color="auto" w:fill="CCEEFF"/>
          </w:tcPr>
          <w:p>
            <w:pPr>
              <w:spacing w:after="0"/>
              <w:rPr>
                <w:sz w:val="11"/>
                <w:szCs w:val="11"/>
                <w:color w:val="auto"/>
              </w:rPr>
            </w:pPr>
          </w:p>
        </w:tc>
        <w:tc>
          <w:tcPr>
            <w:tcW w:w="13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Boston-Cambridge-</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18,603</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17</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149,000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20.39</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50,000</w:t>
            </w:r>
          </w:p>
        </w:tc>
        <w:tc>
          <w:tcPr>
            <w:tcW w:w="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Big Y Foods</w:t>
            </w:r>
          </w:p>
        </w:tc>
        <w:tc>
          <w:tcPr>
            <w:tcW w:w="19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TJ Maxx / HomeGoods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Newton, MA-NH</w:t>
            </w:r>
          </w:p>
        </w:tc>
        <w:tc>
          <w:tcPr>
            <w:tcW w:w="580" w:type="dxa"/>
            <w:vAlign w:val="bottom"/>
            <w:tcBorders>
              <w:bottom w:val="single" w:sz="8" w:color="auto"/>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Total New England</w:t>
            </w:r>
          </w:p>
        </w:tc>
        <w:tc>
          <w:tcPr>
            <w:tcW w:w="580" w:type="dxa"/>
            <w:vAlign w:val="bottom"/>
          </w:tcPr>
          <w:p>
            <w:pPr>
              <w:jc w:val="right"/>
              <w:spacing w:after="0"/>
              <w:rPr>
                <w:sz w:val="20"/>
                <w:szCs w:val="20"/>
                <w:color w:val="auto"/>
              </w:rPr>
            </w:pPr>
            <w:r>
              <w:rPr>
                <w:rFonts w:ascii="Arial" w:cs="Arial" w:eastAsia="Arial" w:hAnsi="Arial"/>
                <w:sz w:val="13"/>
                <w:szCs w:val="13"/>
                <w:color w:val="auto"/>
                <w:w w:val="86"/>
              </w:rPr>
              <w:t>1,366,903</w:t>
            </w:r>
          </w:p>
        </w:tc>
        <w:tc>
          <w:tcPr>
            <w:tcW w:w="10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200</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2,067,000</w:t>
            </w:r>
          </w:p>
        </w:tc>
        <w:tc>
          <w:tcPr>
            <w:tcW w:w="580" w:type="dxa"/>
            <w:vAlign w:val="bottom"/>
          </w:tcPr>
          <w:p>
            <w:pPr>
              <w:jc w:val="right"/>
              <w:spacing w:after="0"/>
              <w:rPr>
                <w:sz w:val="20"/>
                <w:szCs w:val="20"/>
                <w:color w:val="auto"/>
              </w:rPr>
            </w:pPr>
            <w:r>
              <w:rPr>
                <w:rFonts w:ascii="Arial" w:cs="Arial" w:eastAsia="Arial" w:hAnsi="Arial"/>
                <w:sz w:val="13"/>
                <w:szCs w:val="13"/>
                <w:color w:val="auto"/>
              </w:rPr>
              <w:t>95 %</w:t>
            </w:r>
          </w:p>
        </w:tc>
        <w:tc>
          <w:tcPr>
            <w:tcW w:w="640" w:type="dxa"/>
            <w:vAlign w:val="bottom"/>
          </w:tcPr>
          <w:p>
            <w:pPr>
              <w:jc w:val="right"/>
              <w:spacing w:after="0"/>
              <w:rPr>
                <w:sz w:val="20"/>
                <w:szCs w:val="20"/>
                <w:color w:val="auto"/>
              </w:rPr>
            </w:pPr>
            <w:r>
              <w:rPr>
                <w:rFonts w:ascii="Arial" w:cs="Arial" w:eastAsia="Arial" w:hAnsi="Arial"/>
                <w:sz w:val="13"/>
                <w:szCs w:val="13"/>
                <w:color w:val="auto"/>
              </w:rPr>
              <w:t>93 %</w:t>
            </w:r>
          </w:p>
        </w:tc>
        <w:tc>
          <w:tcPr>
            <w:tcW w:w="500" w:type="dxa"/>
            <w:vAlign w:val="bottom"/>
          </w:tcPr>
          <w:p>
            <w:pPr>
              <w:jc w:val="right"/>
              <w:spacing w:after="0"/>
              <w:rPr>
                <w:sz w:val="20"/>
                <w:szCs w:val="20"/>
                <w:color w:val="auto"/>
              </w:rPr>
            </w:pPr>
            <w:r>
              <w:rPr>
                <w:rFonts w:ascii="Arial" w:cs="Arial" w:eastAsia="Arial" w:hAnsi="Arial"/>
                <w:sz w:val="13"/>
                <w:szCs w:val="13"/>
                <w:color w:val="auto"/>
              </w:rPr>
              <w:t>29.68</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3"/>
                <w:szCs w:val="13"/>
                <w:b w:val="1"/>
                <w:bCs w:val="1"/>
                <w:color w:val="auto"/>
              </w:rPr>
              <w:t>Baltimore</w:t>
            </w:r>
          </w:p>
        </w:tc>
        <w:tc>
          <w:tcPr>
            <w:tcW w:w="4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6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color w:val="auto"/>
              </w:rPr>
              <w:t>Governor Plaza</w:t>
            </w:r>
          </w:p>
        </w:tc>
        <w:tc>
          <w:tcPr>
            <w:tcW w:w="420" w:type="dxa"/>
            <w:vAlign w:val="bottom"/>
            <w:shd w:val="clear" w:color="auto" w:fill="CCEEFF"/>
          </w:tcPr>
          <w:p>
            <w:pPr>
              <w:spacing w:after="0"/>
              <w:rPr>
                <w:sz w:val="10"/>
                <w:szCs w:val="10"/>
                <w:color w:val="auto"/>
              </w:rPr>
            </w:pPr>
          </w:p>
        </w:tc>
        <w:tc>
          <w:tcPr>
            <w:tcW w:w="13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Baltimore-Columbia-</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26,592</w:t>
            </w: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24</w:t>
            </w:r>
          </w:p>
        </w:tc>
        <w:tc>
          <w:tcPr>
            <w:tcW w:w="62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243,000</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88 %</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80 %</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20.92</w:t>
            </w: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16,500</w:t>
            </w:r>
          </w:p>
        </w:tc>
        <w:tc>
          <w:tcPr>
            <w:tcW w:w="74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Aldi</w:t>
            </w:r>
          </w:p>
        </w:tc>
        <w:tc>
          <w:tcPr>
            <w:tcW w:w="19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Dick's Sporting Goods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Towson, MD</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gridSpan w:val="4"/>
          </w:tcPr>
          <w:p>
            <w:pPr>
              <w:spacing w:after="0" w:line="122" w:lineRule="exact"/>
              <w:rPr>
                <w:sz w:val="20"/>
                <w:szCs w:val="20"/>
                <w:color w:val="auto"/>
              </w:rPr>
            </w:pPr>
            <w:r>
              <w:rPr>
                <w:rFonts w:ascii="Arial" w:cs="Arial" w:eastAsia="Arial" w:hAnsi="Arial"/>
                <w:sz w:val="13"/>
                <w:szCs w:val="13"/>
                <w:color w:val="auto"/>
              </w:rPr>
              <w:t>Perring Plaza</w:t>
            </w:r>
          </w:p>
        </w:tc>
        <w:tc>
          <w:tcPr>
            <w:tcW w:w="420" w:type="dxa"/>
            <w:vAlign w:val="bottom"/>
          </w:tcPr>
          <w:p>
            <w:pPr>
              <w:spacing w:after="0"/>
              <w:rPr>
                <w:sz w:val="10"/>
                <w:szCs w:val="10"/>
                <w:color w:val="auto"/>
              </w:rPr>
            </w:pPr>
          </w:p>
        </w:tc>
        <w:tc>
          <w:tcPr>
            <w:tcW w:w="1320" w:type="dxa"/>
            <w:vAlign w:val="bottom"/>
          </w:tcPr>
          <w:p>
            <w:pPr>
              <w:ind w:left="40"/>
              <w:spacing w:after="0" w:line="122" w:lineRule="exact"/>
              <w:rPr>
                <w:sz w:val="20"/>
                <w:szCs w:val="20"/>
                <w:color w:val="auto"/>
              </w:rPr>
            </w:pPr>
            <w:r>
              <w:rPr>
                <w:rFonts w:ascii="Arial" w:cs="Arial" w:eastAsia="Arial" w:hAnsi="Arial"/>
                <w:sz w:val="13"/>
                <w:szCs w:val="13"/>
                <w:color w:val="auto"/>
              </w:rPr>
              <w:t>Baltimore-Columbia-</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35,887</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29</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397,000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15.76</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58,000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Shoppers</w:t>
            </w:r>
          </w:p>
        </w:tc>
        <w:tc>
          <w:tcPr>
            <w:tcW w:w="1940" w:type="dxa"/>
            <w:vAlign w:val="bottom"/>
          </w:tcPr>
          <w:p>
            <w:pPr>
              <w:ind w:left="60"/>
              <w:spacing w:after="0" w:line="122" w:lineRule="exact"/>
              <w:rPr>
                <w:sz w:val="20"/>
                <w:szCs w:val="20"/>
                <w:color w:val="auto"/>
              </w:rPr>
            </w:pPr>
            <w:r>
              <w:rPr>
                <w:rFonts w:ascii="Arial" w:cs="Arial" w:eastAsia="Arial" w:hAnsi="Arial"/>
                <w:sz w:val="13"/>
                <w:szCs w:val="13"/>
                <w:color w:val="auto"/>
              </w:rPr>
              <w:t>Home Depot / Micro Center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20" w:type="dxa"/>
            <w:vAlign w:val="bottom"/>
          </w:tcPr>
          <w:p>
            <w:pPr>
              <w:ind w:left="40"/>
              <w:spacing w:after="0" w:line="122" w:lineRule="exact"/>
              <w:rPr>
                <w:sz w:val="20"/>
                <w:szCs w:val="20"/>
                <w:color w:val="auto"/>
              </w:rPr>
            </w:pPr>
            <w:r>
              <w:rPr>
                <w:rFonts w:ascii="Arial" w:cs="Arial" w:eastAsia="Arial" w:hAnsi="Arial"/>
                <w:sz w:val="13"/>
                <w:szCs w:val="13"/>
                <w:color w:val="auto"/>
              </w:rPr>
              <w:t>Towson, MD</w:t>
            </w: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Food</w:t>
            </w:r>
          </w:p>
        </w:tc>
        <w:tc>
          <w:tcPr>
            <w:tcW w:w="1940" w:type="dxa"/>
            <w:vAlign w:val="bottom"/>
          </w:tcPr>
          <w:p>
            <w:pPr>
              <w:ind w:left="60"/>
              <w:spacing w:after="0" w:line="122" w:lineRule="exact"/>
              <w:rPr>
                <w:sz w:val="20"/>
                <w:szCs w:val="20"/>
                <w:color w:val="auto"/>
              </w:rPr>
            </w:pPr>
            <w:r>
              <w:rPr>
                <w:rFonts w:ascii="Arial" w:cs="Arial" w:eastAsia="Arial" w:hAnsi="Arial"/>
                <w:sz w:val="13"/>
                <w:szCs w:val="13"/>
                <w:color w:val="auto"/>
              </w:rPr>
              <w:t>Burlington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Warehouse</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THE AVENUE at</w:t>
            </w:r>
          </w:p>
        </w:tc>
        <w:tc>
          <w:tcPr>
            <w:tcW w:w="4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rPr>
              <w:t>(6)</w:t>
            </w:r>
          </w:p>
        </w:tc>
        <w:tc>
          <w:tcPr>
            <w:tcW w:w="13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Baltimore-Columbia-</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123,749</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35</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315,000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82 %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27.13</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9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7"/>
              </w:rPr>
              <w:t>AMC / Ulta / Old Navy / Barnes &amp;</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White Marsh</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Towson, MD</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ind w:left="60"/>
              <w:spacing w:after="0"/>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gridSpan w:val="4"/>
          </w:tcPr>
          <w:p>
            <w:pPr>
              <w:spacing w:after="0" w:line="122" w:lineRule="exact"/>
              <w:rPr>
                <w:sz w:val="20"/>
                <w:szCs w:val="20"/>
                <w:color w:val="auto"/>
              </w:rPr>
            </w:pPr>
            <w:r>
              <w:rPr>
                <w:rFonts w:ascii="Arial" w:cs="Arial" w:eastAsia="Arial" w:hAnsi="Arial"/>
                <w:sz w:val="13"/>
                <w:szCs w:val="13"/>
                <w:color w:val="auto"/>
              </w:rPr>
              <w:t>The Shoppes at</w:t>
            </w:r>
          </w:p>
        </w:tc>
        <w:tc>
          <w:tcPr>
            <w:tcW w:w="420" w:type="dxa"/>
            <w:vAlign w:val="bottom"/>
          </w:tcPr>
          <w:p>
            <w:pPr>
              <w:spacing w:after="0"/>
              <w:rPr>
                <w:sz w:val="10"/>
                <w:szCs w:val="10"/>
                <w:color w:val="auto"/>
              </w:rPr>
            </w:pPr>
          </w:p>
        </w:tc>
        <w:tc>
          <w:tcPr>
            <w:tcW w:w="1320" w:type="dxa"/>
            <w:vAlign w:val="bottom"/>
          </w:tcPr>
          <w:p>
            <w:pPr>
              <w:ind w:left="40"/>
              <w:spacing w:after="0" w:line="122" w:lineRule="exact"/>
              <w:rPr>
                <w:sz w:val="20"/>
                <w:szCs w:val="20"/>
                <w:color w:val="auto"/>
              </w:rPr>
            </w:pPr>
            <w:r>
              <w:rPr>
                <w:rFonts w:ascii="Arial" w:cs="Arial" w:eastAsia="Arial" w:hAnsi="Arial"/>
                <w:sz w:val="13"/>
                <w:szCs w:val="13"/>
                <w:color w:val="auto"/>
              </w:rPr>
              <w:t>Baltimore-Columbia-</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18,736</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4</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32,000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49.73</w:t>
            </w: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3"/>
                <w:szCs w:val="13"/>
                <w:color w:val="auto"/>
              </w:rPr>
              <w:t>Nottingham Square</w:t>
            </w:r>
          </w:p>
        </w:tc>
        <w:tc>
          <w:tcPr>
            <w:tcW w:w="4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3"/>
                <w:szCs w:val="13"/>
                <w:color w:val="auto"/>
              </w:rPr>
              <w:t>Towson, MD</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Towson Residential</w:t>
            </w:r>
          </w:p>
        </w:tc>
        <w:tc>
          <w:tcPr>
            <w:tcW w:w="420" w:type="dxa"/>
            <w:vAlign w:val="bottom"/>
            <w:shd w:val="clear" w:color="auto" w:fill="CCEEFF"/>
          </w:tcPr>
          <w:p>
            <w:pPr>
              <w:spacing w:after="0"/>
              <w:rPr>
                <w:sz w:val="11"/>
                <w:szCs w:val="11"/>
                <w:color w:val="auto"/>
              </w:rPr>
            </w:pPr>
          </w:p>
        </w:tc>
        <w:tc>
          <w:tcPr>
            <w:tcW w:w="13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Baltimore-Columbia-</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22,420</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4,000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82.83</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2"/>
              </w:rPr>
              <w:t>105</w:t>
            </w:r>
          </w:p>
        </w:tc>
        <w:tc>
          <w:tcPr>
            <w:tcW w:w="5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(Flats @ 703)</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Towson, MD</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60" w:type="dxa"/>
            <w:vAlign w:val="bottom"/>
            <w:gridSpan w:val="4"/>
          </w:tcPr>
          <w:p>
            <w:pPr>
              <w:spacing w:after="0" w:line="122" w:lineRule="exact"/>
              <w:rPr>
                <w:sz w:val="20"/>
                <w:szCs w:val="20"/>
                <w:color w:val="auto"/>
              </w:rPr>
            </w:pPr>
            <w:r>
              <w:rPr>
                <w:rFonts w:ascii="Arial" w:cs="Arial" w:eastAsia="Arial" w:hAnsi="Arial"/>
                <w:sz w:val="13"/>
                <w:szCs w:val="13"/>
                <w:color w:val="auto"/>
              </w:rPr>
              <w:t>White Marsh Plaza</w:t>
            </w:r>
          </w:p>
        </w:tc>
        <w:tc>
          <w:tcPr>
            <w:tcW w:w="420" w:type="dxa"/>
            <w:vAlign w:val="bottom"/>
          </w:tcPr>
          <w:p>
            <w:pPr>
              <w:spacing w:after="0"/>
              <w:rPr>
                <w:sz w:val="10"/>
                <w:szCs w:val="10"/>
                <w:color w:val="auto"/>
              </w:rPr>
            </w:pPr>
          </w:p>
        </w:tc>
        <w:tc>
          <w:tcPr>
            <w:tcW w:w="1320" w:type="dxa"/>
            <w:vAlign w:val="bottom"/>
          </w:tcPr>
          <w:p>
            <w:pPr>
              <w:ind w:left="40"/>
              <w:spacing w:after="0" w:line="122" w:lineRule="exact"/>
              <w:rPr>
                <w:sz w:val="20"/>
                <w:szCs w:val="20"/>
                <w:color w:val="auto"/>
              </w:rPr>
            </w:pPr>
            <w:r>
              <w:rPr>
                <w:rFonts w:ascii="Arial" w:cs="Arial" w:eastAsia="Arial" w:hAnsi="Arial"/>
                <w:sz w:val="13"/>
                <w:szCs w:val="13"/>
                <w:color w:val="auto"/>
              </w:rPr>
              <w:t>Baltimore-Columbia-</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26,565</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7</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80,000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23.61</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54,000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Giant Food</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3"/>
                <w:szCs w:val="13"/>
                <w:color w:val="auto"/>
              </w:rPr>
              <w:t>Towson, MD</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White Marsh Other</w:t>
            </w:r>
          </w:p>
        </w:tc>
        <w:tc>
          <w:tcPr>
            <w:tcW w:w="420" w:type="dxa"/>
            <w:vAlign w:val="bottom"/>
            <w:shd w:val="clear" w:color="auto" w:fill="CCEEFF"/>
          </w:tcPr>
          <w:p>
            <w:pPr>
              <w:spacing w:after="0"/>
              <w:rPr>
                <w:sz w:val="11"/>
                <w:szCs w:val="11"/>
                <w:color w:val="auto"/>
              </w:rPr>
            </w:pPr>
          </w:p>
        </w:tc>
        <w:tc>
          <w:tcPr>
            <w:tcW w:w="13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Baltimore-Columbia-</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28,886</w:t>
            </w:r>
          </w:p>
        </w:tc>
        <w:tc>
          <w:tcPr>
            <w:tcW w:w="10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16</w:t>
            </w:r>
          </w:p>
        </w:tc>
        <w:tc>
          <w:tcPr>
            <w:tcW w:w="62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56,000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32.79</w:t>
            </w: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Towson, MD</w:t>
            </w:r>
          </w:p>
        </w:tc>
        <w:tc>
          <w:tcPr>
            <w:tcW w:w="580" w:type="dxa"/>
            <w:vAlign w:val="bottom"/>
            <w:tcBorders>
              <w:bottom w:val="single" w:sz="8" w:color="auto"/>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Total Baltimore</w:t>
            </w:r>
          </w:p>
        </w:tc>
        <w:tc>
          <w:tcPr>
            <w:tcW w:w="580" w:type="dxa"/>
            <w:vAlign w:val="bottom"/>
          </w:tcPr>
          <w:p>
            <w:pPr>
              <w:jc w:val="right"/>
              <w:spacing w:after="0"/>
              <w:rPr>
                <w:sz w:val="20"/>
                <w:szCs w:val="20"/>
                <w:color w:val="auto"/>
              </w:rPr>
            </w:pPr>
            <w:r>
              <w:rPr>
                <w:rFonts w:ascii="Arial" w:cs="Arial" w:eastAsia="Arial" w:hAnsi="Arial"/>
                <w:sz w:val="13"/>
                <w:szCs w:val="13"/>
                <w:color w:val="auto"/>
              </w:rPr>
              <w:t>282,835</w:t>
            </w:r>
          </w:p>
        </w:tc>
        <w:tc>
          <w:tcPr>
            <w:tcW w:w="10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116</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1,127,000</w:t>
            </w:r>
          </w:p>
        </w:tc>
        <w:tc>
          <w:tcPr>
            <w:tcW w:w="580" w:type="dxa"/>
            <w:vAlign w:val="bottom"/>
          </w:tcPr>
          <w:p>
            <w:pPr>
              <w:jc w:val="right"/>
              <w:spacing w:after="0"/>
              <w:rPr>
                <w:sz w:val="20"/>
                <w:szCs w:val="20"/>
                <w:color w:val="auto"/>
              </w:rPr>
            </w:pPr>
            <w:r>
              <w:rPr>
                <w:rFonts w:ascii="Arial" w:cs="Arial" w:eastAsia="Arial" w:hAnsi="Arial"/>
                <w:sz w:val="13"/>
                <w:szCs w:val="13"/>
                <w:color w:val="auto"/>
              </w:rPr>
              <w:t>90 %</w:t>
            </w:r>
          </w:p>
        </w:tc>
        <w:tc>
          <w:tcPr>
            <w:tcW w:w="640" w:type="dxa"/>
            <w:vAlign w:val="bottom"/>
          </w:tcPr>
          <w:p>
            <w:pPr>
              <w:jc w:val="right"/>
              <w:spacing w:after="0"/>
              <w:rPr>
                <w:sz w:val="20"/>
                <w:szCs w:val="20"/>
                <w:color w:val="auto"/>
              </w:rPr>
            </w:pPr>
            <w:r>
              <w:rPr>
                <w:rFonts w:ascii="Arial" w:cs="Arial" w:eastAsia="Arial" w:hAnsi="Arial"/>
                <w:sz w:val="13"/>
                <w:szCs w:val="13"/>
                <w:color w:val="auto"/>
              </w:rPr>
              <w:t>86 %</w:t>
            </w:r>
          </w:p>
        </w:tc>
        <w:tc>
          <w:tcPr>
            <w:tcW w:w="500" w:type="dxa"/>
            <w:vAlign w:val="bottom"/>
          </w:tcPr>
          <w:p>
            <w:pPr>
              <w:jc w:val="right"/>
              <w:spacing w:after="0"/>
              <w:rPr>
                <w:sz w:val="20"/>
                <w:szCs w:val="20"/>
                <w:color w:val="auto"/>
              </w:rPr>
            </w:pPr>
            <w:r>
              <w:rPr>
                <w:rFonts w:ascii="Arial" w:cs="Arial" w:eastAsia="Arial" w:hAnsi="Arial"/>
                <w:sz w:val="13"/>
                <w:szCs w:val="13"/>
                <w:color w:val="auto"/>
              </w:rPr>
              <w:t>22.78</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3"/>
                <w:szCs w:val="13"/>
                <w:b w:val="1"/>
                <w:bCs w:val="1"/>
                <w:color w:val="auto"/>
              </w:rPr>
              <w:t>South Florida</w:t>
            </w:r>
          </w:p>
        </w:tc>
        <w:tc>
          <w:tcPr>
            <w:tcW w:w="4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6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color w:val="auto"/>
              </w:rPr>
              <w:t>CocoWalk</w:t>
            </w:r>
          </w:p>
        </w:tc>
        <w:tc>
          <w:tcPr>
            <w:tcW w:w="4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90"/>
              </w:rPr>
              <w:t>(5) (9)</w:t>
            </w:r>
          </w:p>
        </w:tc>
        <w:tc>
          <w:tcPr>
            <w:tcW w:w="13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3"/>
              </w:rPr>
              <w:t>Miami-Fort Lauderdale-</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191,237</w:t>
            </w: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3</w:t>
            </w:r>
          </w:p>
        </w:tc>
        <w:tc>
          <w:tcPr>
            <w:tcW w:w="62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245,000</w:t>
            </w: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99 %</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88 %</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43.92</w:t>
            </w: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9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w w:val="96"/>
              </w:rPr>
              <w:t>Cinepolis Theaters / Youfit Health</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West Palm Beach, FL</w:t>
            </w: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Club / Multiple 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60" w:type="dxa"/>
            <w:vAlign w:val="bottom"/>
            <w:gridSpan w:val="4"/>
          </w:tcPr>
          <w:p>
            <w:pPr>
              <w:spacing w:after="0" w:line="122" w:lineRule="exact"/>
              <w:rPr>
                <w:sz w:val="20"/>
                <w:szCs w:val="20"/>
                <w:color w:val="auto"/>
              </w:rPr>
            </w:pPr>
            <w:r>
              <w:rPr>
                <w:rFonts w:ascii="Arial" w:cs="Arial" w:eastAsia="Arial" w:hAnsi="Arial"/>
                <w:sz w:val="13"/>
                <w:szCs w:val="13"/>
                <w:color w:val="auto"/>
              </w:rPr>
              <w:t>Del Mar Village</w:t>
            </w:r>
          </w:p>
        </w:tc>
        <w:tc>
          <w:tcPr>
            <w:tcW w:w="420" w:type="dxa"/>
            <w:vAlign w:val="bottom"/>
          </w:tcPr>
          <w:p>
            <w:pPr>
              <w:spacing w:after="0"/>
              <w:rPr>
                <w:sz w:val="10"/>
                <w:szCs w:val="10"/>
                <w:color w:val="auto"/>
              </w:rPr>
            </w:pPr>
          </w:p>
        </w:tc>
        <w:tc>
          <w:tcPr>
            <w:tcW w:w="1320" w:type="dxa"/>
            <w:vAlign w:val="bottom"/>
          </w:tcPr>
          <w:p>
            <w:pPr>
              <w:ind w:left="40"/>
              <w:spacing w:after="0" w:line="122" w:lineRule="exact"/>
              <w:rPr>
                <w:sz w:val="20"/>
                <w:szCs w:val="20"/>
                <w:color w:val="auto"/>
              </w:rPr>
            </w:pPr>
            <w:r>
              <w:rPr>
                <w:rFonts w:ascii="Arial" w:cs="Arial" w:eastAsia="Arial" w:hAnsi="Arial"/>
                <w:sz w:val="13"/>
                <w:szCs w:val="13"/>
                <w:color w:val="auto"/>
                <w:w w:val="93"/>
              </w:rPr>
              <w:t>Miami-Fort Lauderdale-</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74,222</w:t>
            </w:r>
          </w:p>
        </w:tc>
        <w:tc>
          <w:tcPr>
            <w:tcW w:w="1020" w:type="dxa"/>
            <w:vAlign w:val="bottom"/>
          </w:tcPr>
          <w:p>
            <w:pPr>
              <w:spacing w:after="0"/>
              <w:rPr>
                <w:sz w:val="10"/>
                <w:szCs w:val="10"/>
                <w:color w:val="auto"/>
              </w:rPr>
            </w:pP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17</w:t>
            </w:r>
          </w:p>
        </w:tc>
        <w:tc>
          <w:tcPr>
            <w:tcW w:w="620" w:type="dxa"/>
            <w:vAlign w:val="bottom"/>
          </w:tcPr>
          <w:p>
            <w:pPr>
              <w:jc w:val="right"/>
              <w:ind w:right="17"/>
              <w:spacing w:after="0" w:line="122" w:lineRule="exact"/>
              <w:rPr>
                <w:sz w:val="20"/>
                <w:szCs w:val="20"/>
                <w:color w:val="auto"/>
              </w:rPr>
            </w:pPr>
            <w:r>
              <w:rPr>
                <w:rFonts w:ascii="Arial" w:cs="Arial" w:eastAsia="Arial" w:hAnsi="Arial"/>
                <w:sz w:val="13"/>
                <w:szCs w:val="13"/>
                <w:color w:val="auto"/>
              </w:rPr>
              <w:t>187,000</w:t>
            </w:r>
          </w:p>
        </w:tc>
        <w:tc>
          <w:tcPr>
            <w:tcW w:w="580" w:type="dxa"/>
            <w:vAlign w:val="bottom"/>
          </w:tcPr>
          <w:p>
            <w:pPr>
              <w:jc w:val="right"/>
              <w:spacing w:after="0" w:line="122" w:lineRule="exact"/>
              <w:rPr>
                <w:sz w:val="20"/>
                <w:szCs w:val="20"/>
                <w:color w:val="auto"/>
              </w:rPr>
            </w:pPr>
            <w:r>
              <w:rPr>
                <w:rFonts w:ascii="Arial" w:cs="Arial" w:eastAsia="Arial" w:hAnsi="Arial"/>
                <w:sz w:val="13"/>
                <w:szCs w:val="13"/>
                <w:color w:val="auto"/>
              </w:rPr>
              <w:t>95 %</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89 %</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20.92</w:t>
            </w:r>
          </w:p>
        </w:tc>
        <w:tc>
          <w:tcPr>
            <w:tcW w:w="6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3"/>
                <w:szCs w:val="13"/>
                <w:color w:val="auto"/>
                <w:w w:val="85"/>
              </w:rPr>
              <w:t>44,000</w:t>
            </w:r>
          </w:p>
        </w:tc>
        <w:tc>
          <w:tcPr>
            <w:tcW w:w="740" w:type="dxa"/>
            <w:vAlign w:val="bottom"/>
          </w:tcPr>
          <w:p>
            <w:pPr>
              <w:ind w:left="20"/>
              <w:spacing w:after="0" w:line="122" w:lineRule="exact"/>
              <w:rPr>
                <w:sz w:val="20"/>
                <w:szCs w:val="20"/>
                <w:color w:val="auto"/>
              </w:rPr>
            </w:pPr>
            <w:r>
              <w:rPr>
                <w:rFonts w:ascii="Arial" w:cs="Arial" w:eastAsia="Arial" w:hAnsi="Arial"/>
                <w:sz w:val="13"/>
                <w:szCs w:val="13"/>
                <w:color w:val="auto"/>
              </w:rPr>
              <w:t>Winn Dixie</w:t>
            </w:r>
          </w:p>
        </w:tc>
        <w:tc>
          <w:tcPr>
            <w:tcW w:w="1940" w:type="dxa"/>
            <w:vAlign w:val="bottom"/>
          </w:tcPr>
          <w:p>
            <w:pPr>
              <w:ind w:left="60"/>
              <w:spacing w:after="0" w:line="122" w:lineRule="exact"/>
              <w:rPr>
                <w:sz w:val="20"/>
                <w:szCs w:val="20"/>
                <w:color w:val="auto"/>
              </w:rPr>
            </w:pPr>
            <w:r>
              <w:rPr>
                <w:rFonts w:ascii="Arial" w:cs="Arial" w:eastAsia="Arial" w:hAnsi="Arial"/>
                <w:sz w:val="13"/>
                <w:szCs w:val="13"/>
                <w:color w:val="auto"/>
              </w:rPr>
              <w:t>CVS / L.A. Fitness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ind w:left="40"/>
              <w:spacing w:after="0"/>
              <w:rPr>
                <w:sz w:val="20"/>
                <w:szCs w:val="20"/>
                <w:color w:val="auto"/>
              </w:rPr>
            </w:pPr>
            <w:r>
              <w:rPr>
                <w:rFonts w:ascii="Arial" w:cs="Arial" w:eastAsia="Arial" w:hAnsi="Arial"/>
                <w:sz w:val="13"/>
                <w:szCs w:val="13"/>
                <w:color w:val="auto"/>
              </w:rPr>
              <w:t>West Palm Beach, FL</w:t>
            </w:r>
          </w:p>
        </w:tc>
        <w:tc>
          <w:tcPr>
            <w:tcW w:w="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652"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Real Estate</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1"/>
              </w:rPr>
              <w:t>Average</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Grocery</w:t>
            </w: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174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vMerge w:val="continue"/>
          </w:tcPr>
          <w:p>
            <w:pPr>
              <w:spacing w:after="0"/>
              <w:rPr>
                <w:sz w:val="10"/>
                <w:szCs w:val="10"/>
                <w:color w:val="auto"/>
              </w:rPr>
            </w:pPr>
          </w:p>
        </w:tc>
        <w:tc>
          <w:tcPr>
            <w:tcW w:w="10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Acreage</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GLA (3)</w:t>
            </w:r>
          </w:p>
        </w:tc>
        <w:tc>
          <w:tcPr>
            <w:tcW w:w="580" w:type="dxa"/>
            <w:vAlign w:val="bottom"/>
            <w:gridSpan w:val="2"/>
          </w:tcPr>
          <w:p>
            <w:pPr>
              <w:jc w:val="right"/>
              <w:ind w:right="57"/>
              <w:spacing w:after="0" w:line="122" w:lineRule="exact"/>
              <w:rPr>
                <w:sz w:val="20"/>
                <w:szCs w:val="20"/>
                <w:color w:val="auto"/>
              </w:rPr>
            </w:pPr>
            <w:r>
              <w:rPr>
                <w:rFonts w:ascii="Arial" w:cs="Arial" w:eastAsia="Arial" w:hAnsi="Arial"/>
                <w:sz w:val="13"/>
                <w:szCs w:val="13"/>
                <w:b w:val="1"/>
                <w:bCs w:val="1"/>
                <w:color w:val="auto"/>
                <w:w w:val="98"/>
              </w:rPr>
              <w:t>Leased</w:t>
            </w:r>
          </w:p>
        </w:tc>
        <w:tc>
          <w:tcPr>
            <w:tcW w:w="660" w:type="dxa"/>
            <w:vAlign w:val="bottom"/>
            <w:gridSpan w:val="2"/>
          </w:tcPr>
          <w:p>
            <w:pPr>
              <w:jc w:val="right"/>
              <w:ind w:right="17"/>
              <w:spacing w:after="0" w:line="122" w:lineRule="exact"/>
              <w:rPr>
                <w:sz w:val="20"/>
                <w:szCs w:val="20"/>
                <w:color w:val="auto"/>
              </w:rPr>
            </w:pPr>
            <w:r>
              <w:rPr>
                <w:rFonts w:ascii="Arial" w:cs="Arial" w:eastAsia="Arial" w:hAnsi="Arial"/>
                <w:sz w:val="13"/>
                <w:szCs w:val="13"/>
                <w:b w:val="1"/>
                <w:bCs w:val="1"/>
                <w:color w:val="auto"/>
                <w:w w:val="94"/>
              </w:rPr>
              <w:t>Occupied</w:t>
            </w:r>
          </w:p>
        </w:tc>
        <w:tc>
          <w:tcPr>
            <w:tcW w:w="5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Rent</w:t>
            </w:r>
          </w:p>
        </w:tc>
        <w:tc>
          <w:tcPr>
            <w:tcW w:w="660" w:type="dxa"/>
            <w:vAlign w:val="bottom"/>
            <w:vMerge w:val="continue"/>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Anchor</w:t>
            </w:r>
          </w:p>
        </w:tc>
        <w:tc>
          <w:tcPr>
            <w:tcW w:w="720" w:type="dxa"/>
            <w:vAlign w:val="bottom"/>
            <w:vMerge w:val="continue"/>
          </w:tcPr>
          <w:p>
            <w:pPr>
              <w:spacing w:after="0"/>
              <w:rPr>
                <w:sz w:val="10"/>
                <w:szCs w:val="10"/>
                <w:color w:val="auto"/>
              </w:rPr>
            </w:pPr>
          </w:p>
        </w:tc>
        <w:tc>
          <w:tcPr>
            <w:tcW w:w="18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vMerge w:val="continue"/>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at Cost (1)</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w:t>
            </w:r>
          </w:p>
        </w:tc>
        <w:tc>
          <w:tcPr>
            <w:tcW w:w="5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PSF (4)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Anchor</w:t>
            </w:r>
          </w:p>
        </w:tc>
        <w:tc>
          <w:tcPr>
            <w:tcW w:w="1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140" w:type="dxa"/>
            <w:vAlign w:val="bottom"/>
          </w:tcPr>
          <w:p>
            <w:pPr>
              <w:spacing w:after="0"/>
              <w:rPr>
                <w:sz w:val="12"/>
                <w:szCs w:val="12"/>
                <w:color w:val="auto"/>
              </w:rPr>
            </w:pPr>
          </w:p>
        </w:tc>
        <w:tc>
          <w:tcPr>
            <w:tcW w:w="860" w:type="dxa"/>
            <w:vAlign w:val="bottom"/>
          </w:tcPr>
          <w:p>
            <w:pPr>
              <w:jc w:val="center"/>
              <w:ind w:right="59"/>
              <w:spacing w:after="0"/>
              <w:rPr>
                <w:sz w:val="20"/>
                <w:szCs w:val="20"/>
                <w:color w:val="auto"/>
              </w:rPr>
            </w:pPr>
            <w:r>
              <w:rPr>
                <w:rFonts w:ascii="Arial" w:cs="Arial" w:eastAsia="Arial" w:hAnsi="Arial"/>
                <w:sz w:val="11"/>
                <w:szCs w:val="11"/>
                <w:color w:val="auto"/>
                <w:w w:val="88"/>
              </w:rPr>
              <w:t>(in thousands)</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0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color w:val="auto"/>
              </w:rPr>
              <w:t>Tower Shops</w:t>
            </w:r>
          </w:p>
        </w:tc>
        <w:tc>
          <w:tcPr>
            <w:tcW w:w="1740" w:type="dxa"/>
            <w:vAlign w:val="bottom"/>
            <w:shd w:val="clear" w:color="auto" w:fill="CCEEFF"/>
          </w:tcPr>
          <w:p>
            <w:pPr>
              <w:ind w:left="480"/>
              <w:spacing w:after="0" w:line="122" w:lineRule="exact"/>
              <w:rPr>
                <w:sz w:val="20"/>
                <w:szCs w:val="20"/>
                <w:color w:val="auto"/>
              </w:rPr>
            </w:pPr>
            <w:r>
              <w:rPr>
                <w:rFonts w:ascii="Arial" w:cs="Arial" w:eastAsia="Arial" w:hAnsi="Arial"/>
                <w:sz w:val="13"/>
                <w:szCs w:val="13"/>
                <w:color w:val="auto"/>
                <w:w w:val="91"/>
              </w:rPr>
              <w:t>Miami-Fort Lauderdale-</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101,124</w:t>
            </w: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67</w:t>
            </w:r>
          </w:p>
        </w:tc>
        <w:tc>
          <w:tcPr>
            <w:tcW w:w="64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430,000</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97</w:t>
            </w:r>
          </w:p>
        </w:tc>
        <w:tc>
          <w:tcPr>
            <w:tcW w:w="1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97</w:t>
            </w: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26.03</w:t>
            </w:r>
          </w:p>
        </w:tc>
        <w:tc>
          <w:tcPr>
            <w:tcW w:w="66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12,000</w:t>
            </w:r>
          </w:p>
        </w:tc>
        <w:tc>
          <w:tcPr>
            <w:tcW w:w="7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4"/>
              </w:rPr>
              <w:t>Trader Joe's</w:t>
            </w:r>
          </w:p>
        </w:tc>
        <w:tc>
          <w:tcPr>
            <w:tcW w:w="188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6"/>
              </w:rPr>
              <w:t>TJ Maxx / Ross Dress For Less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740" w:type="dxa"/>
            <w:vAlign w:val="bottom"/>
            <w:shd w:val="clear" w:color="auto" w:fill="CCEEFF"/>
          </w:tcPr>
          <w:p>
            <w:pPr>
              <w:ind w:left="480"/>
              <w:spacing w:after="0"/>
              <w:rPr>
                <w:sz w:val="20"/>
                <w:szCs w:val="20"/>
                <w:color w:val="auto"/>
              </w:rPr>
            </w:pPr>
            <w:r>
              <w:rPr>
                <w:rFonts w:ascii="Arial" w:cs="Arial" w:eastAsia="Arial" w:hAnsi="Arial"/>
                <w:sz w:val="13"/>
                <w:szCs w:val="13"/>
                <w:color w:val="auto"/>
                <w:w w:val="98"/>
              </w:rPr>
              <w:t>West Palm Beach, FL</w:t>
            </w:r>
          </w:p>
        </w:tc>
        <w:tc>
          <w:tcPr>
            <w:tcW w:w="68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Best Buy / Ulta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Total South Florida</w:t>
            </w:r>
          </w:p>
        </w:tc>
        <w:tc>
          <w:tcPr>
            <w:tcW w:w="680" w:type="dxa"/>
            <w:vAlign w:val="bottom"/>
          </w:tcPr>
          <w:p>
            <w:pPr>
              <w:jc w:val="right"/>
              <w:spacing w:after="0"/>
              <w:rPr>
                <w:sz w:val="20"/>
                <w:szCs w:val="20"/>
                <w:color w:val="auto"/>
              </w:rPr>
            </w:pPr>
            <w:r>
              <w:rPr>
                <w:rFonts w:ascii="Arial" w:cs="Arial" w:eastAsia="Arial" w:hAnsi="Arial"/>
                <w:sz w:val="13"/>
                <w:szCs w:val="13"/>
                <w:color w:val="auto"/>
              </w:rPr>
              <w:t>366,583</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87</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862,000</w:t>
            </w:r>
          </w:p>
        </w:tc>
        <w:tc>
          <w:tcPr>
            <w:tcW w:w="400" w:type="dxa"/>
            <w:vAlign w:val="bottom"/>
          </w:tcPr>
          <w:p>
            <w:pPr>
              <w:jc w:val="right"/>
              <w:spacing w:after="0"/>
              <w:rPr>
                <w:sz w:val="20"/>
                <w:szCs w:val="20"/>
                <w:color w:val="auto"/>
              </w:rPr>
            </w:pPr>
            <w:r>
              <w:rPr>
                <w:rFonts w:ascii="Arial" w:cs="Arial" w:eastAsia="Arial" w:hAnsi="Arial"/>
                <w:sz w:val="13"/>
                <w:szCs w:val="13"/>
                <w:color w:val="auto"/>
              </w:rPr>
              <w:t>97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29.81</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Chicago</w:t>
            </w:r>
          </w:p>
        </w:tc>
        <w:tc>
          <w:tcPr>
            <w:tcW w:w="1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0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color w:val="auto"/>
              </w:rPr>
              <w:t>Crossroads</w:t>
            </w:r>
          </w:p>
        </w:tc>
        <w:tc>
          <w:tcPr>
            <w:tcW w:w="1740" w:type="dxa"/>
            <w:vAlign w:val="bottom"/>
            <w:shd w:val="clear" w:color="auto" w:fill="CCEEFF"/>
          </w:tcPr>
          <w:p>
            <w:pPr>
              <w:ind w:left="480"/>
              <w:spacing w:after="0" w:line="122" w:lineRule="exact"/>
              <w:rPr>
                <w:sz w:val="20"/>
                <w:szCs w:val="20"/>
                <w:color w:val="auto"/>
              </w:rPr>
            </w:pPr>
            <w:r>
              <w:rPr>
                <w:rFonts w:ascii="Arial" w:cs="Arial" w:eastAsia="Arial" w:hAnsi="Arial"/>
                <w:sz w:val="13"/>
                <w:szCs w:val="13"/>
                <w:color w:val="auto"/>
              </w:rPr>
              <w:t>Chicago-Naperville-</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36,015</w:t>
            </w: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14</w:t>
            </w:r>
          </w:p>
        </w:tc>
        <w:tc>
          <w:tcPr>
            <w:tcW w:w="64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168,000</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92</w:t>
            </w:r>
          </w:p>
        </w:tc>
        <w:tc>
          <w:tcPr>
            <w:tcW w:w="1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92</w:t>
            </w: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23.54</w:t>
            </w:r>
          </w:p>
        </w:tc>
        <w:tc>
          <w:tcPr>
            <w:tcW w:w="6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8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L.A. Fitness / Ulta / Binny's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740" w:type="dxa"/>
            <w:vAlign w:val="bottom"/>
            <w:shd w:val="clear" w:color="auto" w:fill="CCEEFF"/>
          </w:tcPr>
          <w:p>
            <w:pPr>
              <w:ind w:left="480"/>
              <w:spacing w:after="0" w:line="122" w:lineRule="exact"/>
              <w:rPr>
                <w:sz w:val="20"/>
                <w:szCs w:val="20"/>
                <w:color w:val="auto"/>
              </w:rPr>
            </w:pPr>
            <w:r>
              <w:rPr>
                <w:rFonts w:ascii="Arial" w:cs="Arial" w:eastAsia="Arial" w:hAnsi="Arial"/>
                <w:sz w:val="13"/>
                <w:szCs w:val="13"/>
                <w:color w:val="auto"/>
              </w:rPr>
              <w:t>Elgin, IL-IN-WI</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8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Ferguson's Bath, Kitchen &amp;</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Lighting Gallery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gridSpan w:val="3"/>
          </w:tcPr>
          <w:p>
            <w:pPr>
              <w:spacing w:after="0" w:line="122" w:lineRule="exact"/>
              <w:rPr>
                <w:sz w:val="20"/>
                <w:szCs w:val="20"/>
                <w:color w:val="auto"/>
              </w:rPr>
            </w:pPr>
            <w:r>
              <w:rPr>
                <w:rFonts w:ascii="Arial" w:cs="Arial" w:eastAsia="Arial" w:hAnsi="Arial"/>
                <w:sz w:val="13"/>
                <w:szCs w:val="13"/>
                <w:color w:val="auto"/>
              </w:rPr>
              <w:t>Finley Square</w:t>
            </w:r>
          </w:p>
        </w:tc>
        <w:tc>
          <w:tcPr>
            <w:tcW w:w="1740" w:type="dxa"/>
            <w:vAlign w:val="bottom"/>
          </w:tcPr>
          <w:p>
            <w:pPr>
              <w:ind w:left="480"/>
              <w:spacing w:after="0" w:line="122" w:lineRule="exact"/>
              <w:rPr>
                <w:sz w:val="20"/>
                <w:szCs w:val="20"/>
                <w:color w:val="auto"/>
              </w:rPr>
            </w:pPr>
            <w:r>
              <w:rPr>
                <w:rFonts w:ascii="Arial" w:cs="Arial" w:eastAsia="Arial" w:hAnsi="Arial"/>
                <w:sz w:val="13"/>
                <w:szCs w:val="13"/>
                <w:color w:val="auto"/>
              </w:rPr>
              <w:t>Chicago-Naperville-</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41,749</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21</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281,000</w:t>
            </w:r>
          </w:p>
        </w:tc>
        <w:tc>
          <w:tcPr>
            <w:tcW w:w="400" w:type="dxa"/>
            <w:vAlign w:val="bottom"/>
          </w:tcPr>
          <w:p>
            <w:pPr>
              <w:jc w:val="right"/>
              <w:spacing w:after="0" w:line="122" w:lineRule="exact"/>
              <w:rPr>
                <w:sz w:val="20"/>
                <w:szCs w:val="20"/>
                <w:color w:val="auto"/>
              </w:rPr>
            </w:pPr>
            <w:r>
              <w:rPr>
                <w:rFonts w:ascii="Arial" w:cs="Arial" w:eastAsia="Arial" w:hAnsi="Arial"/>
                <w:sz w:val="13"/>
                <w:szCs w:val="13"/>
                <w:color w:val="auto"/>
              </w:rPr>
              <w:t>90</w:t>
            </w:r>
          </w:p>
        </w:tc>
        <w:tc>
          <w:tcPr>
            <w:tcW w:w="18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90</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16.45</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80" w:type="dxa"/>
            <w:vAlign w:val="bottom"/>
          </w:tcPr>
          <w:p>
            <w:pPr>
              <w:ind w:left="40"/>
              <w:spacing w:after="0" w:line="122" w:lineRule="exact"/>
              <w:rPr>
                <w:sz w:val="20"/>
                <w:szCs w:val="20"/>
                <w:color w:val="auto"/>
              </w:rPr>
            </w:pPr>
            <w:r>
              <w:rPr>
                <w:rFonts w:ascii="Arial" w:cs="Arial" w:eastAsia="Arial" w:hAnsi="Arial"/>
                <w:sz w:val="13"/>
                <w:szCs w:val="13"/>
                <w:color w:val="auto"/>
              </w:rPr>
              <w:t>Bed, Bath &amp; Beyond / Buy Buy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tcPr>
          <w:p>
            <w:pPr>
              <w:ind w:left="480"/>
              <w:spacing w:after="0"/>
              <w:rPr>
                <w:sz w:val="20"/>
                <w:szCs w:val="20"/>
                <w:color w:val="auto"/>
              </w:rPr>
            </w:pPr>
            <w:r>
              <w:rPr>
                <w:rFonts w:ascii="Arial" w:cs="Arial" w:eastAsia="Arial" w:hAnsi="Arial"/>
                <w:sz w:val="13"/>
                <w:szCs w:val="13"/>
                <w:color w:val="auto"/>
              </w:rPr>
              <w:t>Elgin, IL-IN-WI</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tcPr>
          <w:p>
            <w:pPr>
              <w:ind w:left="40"/>
              <w:spacing w:after="0"/>
              <w:rPr>
                <w:sz w:val="20"/>
                <w:szCs w:val="20"/>
                <w:color w:val="auto"/>
              </w:rPr>
            </w:pPr>
            <w:r>
              <w:rPr>
                <w:rFonts w:ascii="Arial" w:cs="Arial" w:eastAsia="Arial" w:hAnsi="Arial"/>
                <w:sz w:val="13"/>
                <w:szCs w:val="13"/>
                <w:color w:val="auto"/>
              </w:rPr>
              <w:t>Baby / Michaels / Portillo's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Garden Market</w:t>
            </w:r>
          </w:p>
        </w:tc>
        <w:tc>
          <w:tcPr>
            <w:tcW w:w="174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Chicago-Naperville-</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14,811</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139,000</w:t>
            </w: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14.76</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63,000</w:t>
            </w:r>
          </w:p>
        </w:tc>
        <w:tc>
          <w:tcPr>
            <w:tcW w:w="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Mariano's</w:t>
            </w:r>
          </w:p>
        </w:tc>
        <w:tc>
          <w:tcPr>
            <w:tcW w:w="18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Elgin, IL-IN-WI</w:t>
            </w: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8"/>
              </w:rPr>
              <w:t>Fresh Market</w:t>
            </w: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gridSpan w:val="3"/>
          </w:tcPr>
          <w:p>
            <w:pPr>
              <w:spacing w:after="0" w:line="122" w:lineRule="exact"/>
              <w:rPr>
                <w:sz w:val="20"/>
                <w:szCs w:val="20"/>
                <w:color w:val="auto"/>
              </w:rPr>
            </w:pPr>
            <w:r>
              <w:rPr>
                <w:rFonts w:ascii="Arial" w:cs="Arial" w:eastAsia="Arial" w:hAnsi="Arial"/>
                <w:sz w:val="13"/>
                <w:szCs w:val="13"/>
                <w:color w:val="auto"/>
              </w:rPr>
              <w:t>Riverpoint Center</w:t>
            </w:r>
          </w:p>
        </w:tc>
        <w:tc>
          <w:tcPr>
            <w:tcW w:w="1740" w:type="dxa"/>
            <w:vAlign w:val="bottom"/>
          </w:tcPr>
          <w:p>
            <w:pPr>
              <w:ind w:left="480"/>
              <w:spacing w:after="0" w:line="122" w:lineRule="exact"/>
              <w:rPr>
                <w:sz w:val="20"/>
                <w:szCs w:val="20"/>
                <w:color w:val="auto"/>
              </w:rPr>
            </w:pPr>
            <w:r>
              <w:rPr>
                <w:rFonts w:ascii="Arial" w:cs="Arial" w:eastAsia="Arial" w:hAnsi="Arial"/>
                <w:sz w:val="13"/>
                <w:szCs w:val="13"/>
                <w:color w:val="auto"/>
              </w:rPr>
              <w:t>Chicago-Naperville-</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121,603</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17</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211,000</w:t>
            </w:r>
          </w:p>
        </w:tc>
        <w:tc>
          <w:tcPr>
            <w:tcW w:w="400" w:type="dxa"/>
            <w:vAlign w:val="bottom"/>
          </w:tcPr>
          <w:p>
            <w:pPr>
              <w:jc w:val="right"/>
              <w:spacing w:after="0" w:line="122" w:lineRule="exact"/>
              <w:rPr>
                <w:sz w:val="20"/>
                <w:szCs w:val="20"/>
                <w:color w:val="auto"/>
              </w:rPr>
            </w:pPr>
            <w:r>
              <w:rPr>
                <w:rFonts w:ascii="Arial" w:cs="Arial" w:eastAsia="Arial" w:hAnsi="Arial"/>
                <w:sz w:val="13"/>
                <w:szCs w:val="13"/>
                <w:color w:val="auto"/>
              </w:rPr>
              <w:t>93</w:t>
            </w:r>
          </w:p>
        </w:tc>
        <w:tc>
          <w:tcPr>
            <w:tcW w:w="18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91</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21.23</w:t>
            </w:r>
          </w:p>
        </w:tc>
        <w:tc>
          <w:tcPr>
            <w:tcW w:w="6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color w:val="auto"/>
                <w:w w:val="85"/>
              </w:rPr>
              <w:t>86,000</w:t>
            </w:r>
          </w:p>
        </w:tc>
        <w:tc>
          <w:tcPr>
            <w:tcW w:w="720" w:type="dxa"/>
            <w:vAlign w:val="bottom"/>
          </w:tcPr>
          <w:p>
            <w:pPr>
              <w:ind w:left="20"/>
              <w:spacing w:after="0" w:line="122" w:lineRule="exact"/>
              <w:rPr>
                <w:sz w:val="20"/>
                <w:szCs w:val="20"/>
                <w:color w:val="auto"/>
              </w:rPr>
            </w:pPr>
            <w:r>
              <w:rPr>
                <w:rFonts w:ascii="Arial" w:cs="Arial" w:eastAsia="Arial" w:hAnsi="Arial"/>
                <w:sz w:val="13"/>
                <w:szCs w:val="13"/>
                <w:color w:val="auto"/>
              </w:rPr>
              <w:t>Jewel Osco</w:t>
            </w:r>
          </w:p>
        </w:tc>
        <w:tc>
          <w:tcPr>
            <w:tcW w:w="1880" w:type="dxa"/>
            <w:vAlign w:val="bottom"/>
          </w:tcPr>
          <w:p>
            <w:pPr>
              <w:ind w:left="40"/>
              <w:spacing w:after="0" w:line="122" w:lineRule="exact"/>
              <w:rPr>
                <w:sz w:val="20"/>
                <w:szCs w:val="20"/>
                <w:color w:val="auto"/>
              </w:rPr>
            </w:pPr>
            <w:r>
              <w:rPr>
                <w:rFonts w:ascii="Arial" w:cs="Arial" w:eastAsia="Arial" w:hAnsi="Arial"/>
                <w:sz w:val="13"/>
                <w:szCs w:val="13"/>
                <w:color w:val="auto"/>
              </w:rPr>
              <w:t>Marshalls / Old Navy</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Elgin, IL-IN-WI</w:t>
            </w: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Total Chicago</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214,178</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799,000</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18.85</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Other</w:t>
            </w:r>
          </w:p>
        </w:tc>
        <w:tc>
          <w:tcPr>
            <w:tcW w:w="1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10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color w:val="auto"/>
              </w:rPr>
              <w:t>Barracks Road</w:t>
            </w:r>
          </w:p>
        </w:tc>
        <w:tc>
          <w:tcPr>
            <w:tcW w:w="1740" w:type="dxa"/>
            <w:vAlign w:val="bottom"/>
            <w:shd w:val="clear" w:color="auto" w:fill="CCEEFF"/>
          </w:tcPr>
          <w:p>
            <w:pPr>
              <w:ind w:left="480"/>
              <w:spacing w:after="0" w:line="122" w:lineRule="exact"/>
              <w:rPr>
                <w:sz w:val="20"/>
                <w:szCs w:val="20"/>
                <w:color w:val="auto"/>
              </w:rPr>
            </w:pPr>
            <w:r>
              <w:rPr>
                <w:rFonts w:ascii="Arial" w:cs="Arial" w:eastAsia="Arial" w:hAnsi="Arial"/>
                <w:sz w:val="13"/>
                <w:szCs w:val="13"/>
                <w:color w:val="auto"/>
              </w:rPr>
              <w:t>Charlottesville, VA</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70,174</w:t>
            </w: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40</w:t>
            </w:r>
          </w:p>
        </w:tc>
        <w:tc>
          <w:tcPr>
            <w:tcW w:w="640" w:type="dxa"/>
            <w:vAlign w:val="bottom"/>
            <w:shd w:val="clear" w:color="auto" w:fill="CCEEFF"/>
          </w:tcPr>
          <w:p>
            <w:pPr>
              <w:jc w:val="right"/>
              <w:ind w:right="17"/>
              <w:spacing w:after="0" w:line="122" w:lineRule="exact"/>
              <w:rPr>
                <w:sz w:val="20"/>
                <w:szCs w:val="20"/>
                <w:color w:val="auto"/>
              </w:rPr>
            </w:pPr>
            <w:r>
              <w:rPr>
                <w:rFonts w:ascii="Arial" w:cs="Arial" w:eastAsia="Arial" w:hAnsi="Arial"/>
                <w:sz w:val="13"/>
                <w:szCs w:val="13"/>
                <w:color w:val="auto"/>
              </w:rPr>
              <w:t>498,000</w:t>
            </w: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97</w:t>
            </w:r>
          </w:p>
        </w:tc>
        <w:tc>
          <w:tcPr>
            <w:tcW w:w="1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93</w:t>
            </w: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27.61</w:t>
            </w:r>
          </w:p>
        </w:tc>
        <w:tc>
          <w:tcPr>
            <w:tcW w:w="66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99,000</w:t>
            </w:r>
          </w:p>
        </w:tc>
        <w:tc>
          <w:tcPr>
            <w:tcW w:w="7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89"/>
              </w:rPr>
              <w:t>Harris Teeter</w:t>
            </w:r>
          </w:p>
        </w:tc>
        <w:tc>
          <w:tcPr>
            <w:tcW w:w="188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2"/>
              </w:rPr>
              <w:t>Anthropologie / Nike / Bed, Bath &amp;</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Kroger</w:t>
            </w:r>
          </w:p>
        </w:tc>
        <w:tc>
          <w:tcPr>
            <w:tcW w:w="1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Beyond / Old Navy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gridSpan w:val="3"/>
          </w:tcPr>
          <w:p>
            <w:pPr>
              <w:spacing w:after="0" w:line="122" w:lineRule="exact"/>
              <w:rPr>
                <w:sz w:val="20"/>
                <w:szCs w:val="20"/>
                <w:color w:val="auto"/>
              </w:rPr>
            </w:pPr>
            <w:r>
              <w:rPr>
                <w:rFonts w:ascii="Arial" w:cs="Arial" w:eastAsia="Arial" w:hAnsi="Arial"/>
                <w:sz w:val="13"/>
                <w:szCs w:val="13"/>
                <w:color w:val="auto"/>
              </w:rPr>
              <w:t>Bristol Plaza</w:t>
            </w:r>
          </w:p>
        </w:tc>
        <w:tc>
          <w:tcPr>
            <w:tcW w:w="1740" w:type="dxa"/>
            <w:vAlign w:val="bottom"/>
          </w:tcPr>
          <w:p>
            <w:pPr>
              <w:ind w:left="480"/>
              <w:spacing w:after="0" w:line="122" w:lineRule="exact"/>
              <w:rPr>
                <w:sz w:val="20"/>
                <w:szCs w:val="20"/>
                <w:color w:val="auto"/>
              </w:rPr>
            </w:pPr>
            <w:r>
              <w:rPr>
                <w:rFonts w:ascii="Arial" w:cs="Arial" w:eastAsia="Arial" w:hAnsi="Arial"/>
                <w:sz w:val="13"/>
                <w:szCs w:val="13"/>
                <w:color w:val="auto"/>
                <w:w w:val="91"/>
              </w:rPr>
              <w:t>Hartford-West Hartford-</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35,213</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22</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264,000</w:t>
            </w:r>
          </w:p>
        </w:tc>
        <w:tc>
          <w:tcPr>
            <w:tcW w:w="400" w:type="dxa"/>
            <w:vAlign w:val="bottom"/>
          </w:tcPr>
          <w:p>
            <w:pPr>
              <w:jc w:val="right"/>
              <w:spacing w:after="0" w:line="122" w:lineRule="exact"/>
              <w:rPr>
                <w:sz w:val="20"/>
                <w:szCs w:val="20"/>
                <w:color w:val="auto"/>
              </w:rPr>
            </w:pPr>
            <w:r>
              <w:rPr>
                <w:rFonts w:ascii="Arial" w:cs="Arial" w:eastAsia="Arial" w:hAnsi="Arial"/>
                <w:sz w:val="13"/>
                <w:szCs w:val="13"/>
                <w:color w:val="auto"/>
              </w:rPr>
              <w:t>83</w:t>
            </w:r>
          </w:p>
        </w:tc>
        <w:tc>
          <w:tcPr>
            <w:tcW w:w="18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83</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14.21</w:t>
            </w:r>
          </w:p>
        </w:tc>
        <w:tc>
          <w:tcPr>
            <w:tcW w:w="6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color w:val="auto"/>
                <w:w w:val="85"/>
              </w:rPr>
              <w:t>74,000</w:t>
            </w:r>
          </w:p>
        </w:tc>
        <w:tc>
          <w:tcPr>
            <w:tcW w:w="720" w:type="dxa"/>
            <w:vAlign w:val="bottom"/>
          </w:tcPr>
          <w:p>
            <w:pPr>
              <w:ind w:left="20"/>
              <w:spacing w:after="0" w:line="122" w:lineRule="exact"/>
              <w:rPr>
                <w:sz w:val="20"/>
                <w:szCs w:val="20"/>
                <w:color w:val="auto"/>
              </w:rPr>
            </w:pPr>
            <w:r>
              <w:rPr>
                <w:rFonts w:ascii="Arial" w:cs="Arial" w:eastAsia="Arial" w:hAnsi="Arial"/>
                <w:sz w:val="13"/>
                <w:szCs w:val="13"/>
                <w:color w:val="auto"/>
                <w:w w:val="93"/>
              </w:rPr>
              <w:t>Stop &amp; Shop</w:t>
            </w:r>
          </w:p>
        </w:tc>
        <w:tc>
          <w:tcPr>
            <w:tcW w:w="1880" w:type="dxa"/>
            <w:vAlign w:val="bottom"/>
          </w:tcPr>
          <w:p>
            <w:pPr>
              <w:ind w:left="40"/>
              <w:spacing w:after="0" w:line="122" w:lineRule="exact"/>
              <w:rPr>
                <w:sz w:val="20"/>
                <w:szCs w:val="20"/>
                <w:color w:val="auto"/>
              </w:rPr>
            </w:pPr>
            <w:r>
              <w:rPr>
                <w:rFonts w:ascii="Arial" w:cs="Arial" w:eastAsia="Arial" w:hAnsi="Arial"/>
                <w:sz w:val="13"/>
                <w:szCs w:val="13"/>
                <w:color w:val="auto"/>
              </w:rPr>
              <w:t>TJ Maxx / Burlington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tcPr>
          <w:p>
            <w:pPr>
              <w:ind w:left="480"/>
              <w:spacing w:after="0"/>
              <w:rPr>
                <w:sz w:val="20"/>
                <w:szCs w:val="20"/>
                <w:color w:val="auto"/>
              </w:rPr>
            </w:pPr>
            <w:r>
              <w:rPr>
                <w:rFonts w:ascii="Arial" w:cs="Arial" w:eastAsia="Arial" w:hAnsi="Arial"/>
                <w:sz w:val="13"/>
                <w:szCs w:val="13"/>
                <w:color w:val="auto"/>
              </w:rPr>
              <w:t>East Hartford, CT</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Camelback</w:t>
            </w:r>
          </w:p>
        </w:tc>
        <w:tc>
          <w:tcPr>
            <w:tcW w:w="174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(5)   Phoenix-Mesa-</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179,353</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643,000</w:t>
            </w: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w:t>
            </w: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17.52</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82,000</w:t>
            </w:r>
          </w:p>
        </w:tc>
        <w:tc>
          <w:tcPr>
            <w:tcW w:w="7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2"/>
              </w:rPr>
              <w:t>Fry's Food &amp;</w:t>
            </w:r>
          </w:p>
        </w:tc>
        <w:tc>
          <w:tcPr>
            <w:tcW w:w="18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Floor &amp; Décor / Marshalls /</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Colonnade</w:t>
            </w:r>
          </w:p>
        </w:tc>
        <w:tc>
          <w:tcPr>
            <w:tcW w:w="1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Chandler, AZ</w:t>
            </w: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Drug</w:t>
            </w:r>
          </w:p>
        </w:tc>
        <w:tc>
          <w:tcPr>
            <w:tcW w:w="18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Nordstrom Last Chance / Best Buy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gridSpan w:val="3"/>
          </w:tcPr>
          <w:p>
            <w:pPr>
              <w:spacing w:after="0" w:line="122" w:lineRule="exact"/>
              <w:rPr>
                <w:sz w:val="20"/>
                <w:szCs w:val="20"/>
                <w:color w:val="auto"/>
              </w:rPr>
            </w:pPr>
            <w:r>
              <w:rPr>
                <w:rFonts w:ascii="Arial" w:cs="Arial" w:eastAsia="Arial" w:hAnsi="Arial"/>
                <w:sz w:val="13"/>
                <w:szCs w:val="13"/>
                <w:color w:val="auto"/>
              </w:rPr>
              <w:t>Gratiot Plaza</w:t>
            </w:r>
          </w:p>
        </w:tc>
        <w:tc>
          <w:tcPr>
            <w:tcW w:w="1740" w:type="dxa"/>
            <w:vAlign w:val="bottom"/>
          </w:tcPr>
          <w:p>
            <w:pPr>
              <w:ind w:left="480"/>
              <w:spacing w:after="0" w:line="122" w:lineRule="exact"/>
              <w:rPr>
                <w:sz w:val="20"/>
                <w:szCs w:val="20"/>
                <w:color w:val="auto"/>
              </w:rPr>
            </w:pPr>
            <w:r>
              <w:rPr>
                <w:rFonts w:ascii="Arial" w:cs="Arial" w:eastAsia="Arial" w:hAnsi="Arial"/>
                <w:sz w:val="13"/>
                <w:szCs w:val="13"/>
                <w:color w:val="auto"/>
              </w:rPr>
              <w:t>Detroit-Warren-</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20,294</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20</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215,000</w:t>
            </w:r>
          </w:p>
        </w:tc>
        <w:tc>
          <w:tcPr>
            <w:tcW w:w="400" w:type="dxa"/>
            <w:vAlign w:val="bottom"/>
          </w:tcPr>
          <w:p>
            <w:pPr>
              <w:jc w:val="right"/>
              <w:spacing w:after="0" w:line="122" w:lineRule="exact"/>
              <w:rPr>
                <w:sz w:val="20"/>
                <w:szCs w:val="20"/>
                <w:color w:val="auto"/>
              </w:rPr>
            </w:pPr>
            <w:r>
              <w:rPr>
                <w:rFonts w:ascii="Arial" w:cs="Arial" w:eastAsia="Arial" w:hAnsi="Arial"/>
                <w:sz w:val="13"/>
                <w:szCs w:val="13"/>
                <w:color w:val="auto"/>
              </w:rPr>
              <w:t>100</w:t>
            </w:r>
          </w:p>
        </w:tc>
        <w:tc>
          <w:tcPr>
            <w:tcW w:w="18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100</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12.81</w:t>
            </w:r>
          </w:p>
        </w:tc>
        <w:tc>
          <w:tcPr>
            <w:tcW w:w="6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color w:val="auto"/>
                <w:w w:val="85"/>
              </w:rPr>
              <w:t>69,000</w:t>
            </w:r>
          </w:p>
        </w:tc>
        <w:tc>
          <w:tcPr>
            <w:tcW w:w="720" w:type="dxa"/>
            <w:vAlign w:val="bottom"/>
          </w:tcPr>
          <w:p>
            <w:pPr>
              <w:ind w:left="20"/>
              <w:spacing w:after="0" w:line="122" w:lineRule="exact"/>
              <w:rPr>
                <w:sz w:val="20"/>
                <w:szCs w:val="20"/>
                <w:color w:val="auto"/>
              </w:rPr>
            </w:pPr>
            <w:r>
              <w:rPr>
                <w:rFonts w:ascii="Arial" w:cs="Arial" w:eastAsia="Arial" w:hAnsi="Arial"/>
                <w:sz w:val="13"/>
                <w:szCs w:val="13"/>
                <w:color w:val="auto"/>
              </w:rPr>
              <w:t>Kroger</w:t>
            </w:r>
          </w:p>
        </w:tc>
        <w:tc>
          <w:tcPr>
            <w:tcW w:w="1880" w:type="dxa"/>
            <w:vAlign w:val="bottom"/>
          </w:tcPr>
          <w:p>
            <w:pPr>
              <w:ind w:left="40"/>
              <w:spacing w:after="0" w:line="122" w:lineRule="exact"/>
              <w:rPr>
                <w:sz w:val="20"/>
                <w:szCs w:val="20"/>
                <w:color w:val="auto"/>
              </w:rPr>
            </w:pPr>
            <w:r>
              <w:rPr>
                <w:rFonts w:ascii="Arial" w:cs="Arial" w:eastAsia="Arial" w:hAnsi="Arial"/>
                <w:sz w:val="13"/>
                <w:szCs w:val="13"/>
                <w:color w:val="auto"/>
                <w:w w:val="97"/>
              </w:rPr>
              <w:t>Bed, Bath &amp; Beyond / Best Buy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40" w:type="dxa"/>
            <w:vAlign w:val="bottom"/>
          </w:tcPr>
          <w:p>
            <w:pPr>
              <w:ind w:left="480"/>
              <w:spacing w:after="0"/>
              <w:rPr>
                <w:sz w:val="20"/>
                <w:szCs w:val="20"/>
                <w:color w:val="auto"/>
              </w:rPr>
            </w:pPr>
            <w:r>
              <w:rPr>
                <w:rFonts w:ascii="Arial" w:cs="Arial" w:eastAsia="Arial" w:hAnsi="Arial"/>
                <w:sz w:val="13"/>
                <w:szCs w:val="13"/>
                <w:color w:val="auto"/>
              </w:rPr>
              <w:t>Dearborn, MI</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80" w:type="dxa"/>
            <w:vAlign w:val="bottom"/>
          </w:tcPr>
          <w:p>
            <w:pPr>
              <w:ind w:left="40"/>
              <w:spacing w:after="0"/>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Hilton Village</w:t>
            </w:r>
          </w:p>
        </w:tc>
        <w:tc>
          <w:tcPr>
            <w:tcW w:w="1740" w:type="dxa"/>
            <w:vAlign w:val="bottom"/>
            <w:shd w:val="clear" w:color="auto" w:fill="CCEEFF"/>
          </w:tcPr>
          <w:p>
            <w:pPr>
              <w:ind w:left="180"/>
              <w:spacing w:after="0" w:line="129" w:lineRule="exact"/>
              <w:rPr>
                <w:sz w:val="20"/>
                <w:szCs w:val="20"/>
                <w:color w:val="auto"/>
              </w:rPr>
            </w:pPr>
            <w:r>
              <w:rPr>
                <w:rFonts w:ascii="Arial" w:cs="Arial" w:eastAsia="Arial" w:hAnsi="Arial"/>
                <w:sz w:val="13"/>
                <w:szCs w:val="13"/>
                <w:color w:val="auto"/>
              </w:rPr>
              <w:t>(5)   Phoenix-Mesa-</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40,107</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64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93,000</w:t>
            </w: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w:t>
            </w: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36.25</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8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CVS / Houston's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Chandler, AZ</w:t>
            </w: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3"/>
                <w:szCs w:val="13"/>
                <w:color w:val="auto"/>
              </w:rPr>
              <w:t>Lancaster</w:t>
            </w:r>
          </w:p>
        </w:tc>
        <w:tc>
          <w:tcPr>
            <w:tcW w:w="1740" w:type="dxa"/>
            <w:vAlign w:val="bottom"/>
          </w:tcPr>
          <w:p>
            <w:pPr>
              <w:ind w:left="180"/>
              <w:spacing w:after="0"/>
              <w:rPr>
                <w:sz w:val="20"/>
                <w:szCs w:val="20"/>
                <w:color w:val="auto"/>
              </w:rPr>
            </w:pPr>
            <w:r>
              <w:rPr>
                <w:rFonts w:ascii="Arial" w:cs="Arial" w:eastAsia="Arial" w:hAnsi="Arial"/>
                <w:sz w:val="13"/>
                <w:szCs w:val="13"/>
                <w:color w:val="auto"/>
              </w:rPr>
              <w:t>(8)   Lancaster, PA</w:t>
            </w:r>
          </w:p>
        </w:tc>
        <w:tc>
          <w:tcPr>
            <w:tcW w:w="680" w:type="dxa"/>
            <w:vAlign w:val="bottom"/>
          </w:tcPr>
          <w:p>
            <w:pPr>
              <w:jc w:val="right"/>
              <w:spacing w:after="0"/>
              <w:rPr>
                <w:sz w:val="20"/>
                <w:szCs w:val="20"/>
                <w:color w:val="auto"/>
              </w:rPr>
            </w:pPr>
            <w:r>
              <w:rPr>
                <w:rFonts w:ascii="Arial" w:cs="Arial" w:eastAsia="Arial" w:hAnsi="Arial"/>
                <w:sz w:val="13"/>
                <w:szCs w:val="13"/>
                <w:color w:val="auto"/>
              </w:rPr>
              <w:t>13,301</w:t>
            </w:r>
          </w:p>
        </w:tc>
        <w:tc>
          <w:tcPr>
            <w:tcW w:w="140" w:type="dxa"/>
            <w:vAlign w:val="bottom"/>
          </w:tcPr>
          <w:p>
            <w:pPr>
              <w:spacing w:after="0"/>
              <w:rPr>
                <w:sz w:val="14"/>
                <w:szCs w:val="14"/>
                <w:color w:val="auto"/>
              </w:rPr>
            </w:pPr>
          </w:p>
        </w:tc>
        <w:tc>
          <w:tcPr>
            <w:tcW w:w="860" w:type="dxa"/>
            <w:vAlign w:val="bottom"/>
          </w:tcPr>
          <w:p>
            <w:pPr>
              <w:jc w:val="right"/>
              <w:ind w:right="299"/>
              <w:spacing w:after="0"/>
              <w:rPr>
                <w:sz w:val="20"/>
                <w:szCs w:val="20"/>
                <w:color w:val="auto"/>
              </w:rPr>
            </w:pPr>
            <w:r>
              <w:rPr>
                <w:rFonts w:ascii="Arial" w:cs="Arial" w:eastAsia="Arial" w:hAnsi="Arial"/>
                <w:sz w:val="13"/>
                <w:szCs w:val="13"/>
                <w:color w:val="auto"/>
              </w:rPr>
              <w:t>5,558</w:t>
            </w:r>
          </w:p>
        </w:tc>
        <w:tc>
          <w:tcPr>
            <w:tcW w:w="540" w:type="dxa"/>
            <w:vAlign w:val="bottom"/>
          </w:tcPr>
          <w:p>
            <w:pPr>
              <w:jc w:val="right"/>
              <w:spacing w:after="0"/>
              <w:rPr>
                <w:sz w:val="20"/>
                <w:szCs w:val="20"/>
                <w:color w:val="auto"/>
              </w:rPr>
            </w:pPr>
            <w:r>
              <w:rPr>
                <w:rFonts w:ascii="Arial" w:cs="Arial" w:eastAsia="Arial" w:hAnsi="Arial"/>
                <w:sz w:val="13"/>
                <w:szCs w:val="13"/>
                <w:color w:val="auto"/>
              </w:rPr>
              <w:t>11</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126,000</w:t>
            </w:r>
          </w:p>
        </w:tc>
        <w:tc>
          <w:tcPr>
            <w:tcW w:w="400" w:type="dxa"/>
            <w:vAlign w:val="bottom"/>
          </w:tcPr>
          <w:p>
            <w:pPr>
              <w:jc w:val="right"/>
              <w:spacing w:after="0"/>
              <w:rPr>
                <w:sz w:val="20"/>
                <w:szCs w:val="20"/>
                <w:color w:val="auto"/>
              </w:rPr>
            </w:pPr>
            <w:r>
              <w:rPr>
                <w:rFonts w:ascii="Arial" w:cs="Arial" w:eastAsia="Arial" w:hAnsi="Arial"/>
                <w:sz w:val="13"/>
                <w:szCs w:val="13"/>
                <w:color w:val="auto"/>
              </w:rPr>
              <w:t>96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20.08</w:t>
            </w:r>
          </w:p>
        </w:tc>
        <w:tc>
          <w:tcPr>
            <w:tcW w:w="6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75,000</w:t>
            </w:r>
          </w:p>
        </w:tc>
        <w:tc>
          <w:tcPr>
            <w:tcW w:w="720" w:type="dxa"/>
            <w:vAlign w:val="bottom"/>
          </w:tcPr>
          <w:p>
            <w:pPr>
              <w:ind w:left="20"/>
              <w:spacing w:after="0"/>
              <w:rPr>
                <w:sz w:val="20"/>
                <w:szCs w:val="20"/>
                <w:color w:val="auto"/>
              </w:rPr>
            </w:pPr>
            <w:r>
              <w:rPr>
                <w:rFonts w:ascii="Arial" w:cs="Arial" w:eastAsia="Arial" w:hAnsi="Arial"/>
                <w:sz w:val="13"/>
                <w:szCs w:val="13"/>
                <w:color w:val="auto"/>
              </w:rPr>
              <w:t>Giant Food</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29th Place</w:t>
            </w:r>
          </w:p>
        </w:tc>
        <w:tc>
          <w:tcPr>
            <w:tcW w:w="17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Charlottesville, VA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40,109</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168,000</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19.38</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32,000</w:t>
            </w: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Lidl</w:t>
            </w:r>
          </w:p>
        </w:tc>
        <w:tc>
          <w:tcPr>
            <w:tcW w:w="18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HomeGoods / DSW / Staples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00" w:type="dxa"/>
            <w:vAlign w:val="bottom"/>
            <w:gridSpan w:val="3"/>
          </w:tcPr>
          <w:p>
            <w:pPr>
              <w:spacing w:after="0" w:line="122" w:lineRule="exact"/>
              <w:rPr>
                <w:sz w:val="20"/>
                <w:szCs w:val="20"/>
                <w:color w:val="auto"/>
              </w:rPr>
            </w:pPr>
            <w:r>
              <w:rPr>
                <w:rFonts w:ascii="Arial" w:cs="Arial" w:eastAsia="Arial" w:hAnsi="Arial"/>
                <w:sz w:val="13"/>
                <w:szCs w:val="13"/>
                <w:color w:val="auto"/>
              </w:rPr>
              <w:t>Willow Lawn</w:t>
            </w:r>
          </w:p>
        </w:tc>
        <w:tc>
          <w:tcPr>
            <w:tcW w:w="1740" w:type="dxa"/>
            <w:vAlign w:val="bottom"/>
          </w:tcPr>
          <w:p>
            <w:pPr>
              <w:ind w:left="480"/>
              <w:spacing w:after="0" w:line="122" w:lineRule="exact"/>
              <w:rPr>
                <w:sz w:val="20"/>
                <w:szCs w:val="20"/>
                <w:color w:val="auto"/>
              </w:rPr>
            </w:pPr>
            <w:r>
              <w:rPr>
                <w:rFonts w:ascii="Arial" w:cs="Arial" w:eastAsia="Arial" w:hAnsi="Arial"/>
                <w:sz w:val="13"/>
                <w:szCs w:val="13"/>
                <w:color w:val="auto"/>
              </w:rPr>
              <w:t>Richmond, VA</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105,233</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37</w:t>
            </w:r>
          </w:p>
        </w:tc>
        <w:tc>
          <w:tcPr>
            <w:tcW w:w="640" w:type="dxa"/>
            <w:vAlign w:val="bottom"/>
          </w:tcPr>
          <w:p>
            <w:pPr>
              <w:jc w:val="right"/>
              <w:ind w:right="17"/>
              <w:spacing w:after="0" w:line="122" w:lineRule="exact"/>
              <w:rPr>
                <w:sz w:val="20"/>
                <w:szCs w:val="20"/>
                <w:color w:val="auto"/>
              </w:rPr>
            </w:pPr>
            <w:r>
              <w:rPr>
                <w:rFonts w:ascii="Arial" w:cs="Arial" w:eastAsia="Arial" w:hAnsi="Arial"/>
                <w:sz w:val="13"/>
                <w:szCs w:val="13"/>
                <w:color w:val="auto"/>
              </w:rPr>
              <w:t>464,000</w:t>
            </w:r>
          </w:p>
        </w:tc>
        <w:tc>
          <w:tcPr>
            <w:tcW w:w="400" w:type="dxa"/>
            <w:vAlign w:val="bottom"/>
          </w:tcPr>
          <w:p>
            <w:pPr>
              <w:jc w:val="right"/>
              <w:spacing w:after="0" w:line="122" w:lineRule="exact"/>
              <w:rPr>
                <w:sz w:val="20"/>
                <w:szCs w:val="20"/>
                <w:color w:val="auto"/>
              </w:rPr>
            </w:pPr>
            <w:r>
              <w:rPr>
                <w:rFonts w:ascii="Arial" w:cs="Arial" w:eastAsia="Arial" w:hAnsi="Arial"/>
                <w:sz w:val="13"/>
                <w:szCs w:val="13"/>
                <w:color w:val="auto"/>
              </w:rPr>
              <w:t>96</w:t>
            </w:r>
          </w:p>
        </w:tc>
        <w:tc>
          <w:tcPr>
            <w:tcW w:w="18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96</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22" w:lineRule="exact"/>
              <w:rPr>
                <w:sz w:val="20"/>
                <w:szCs w:val="20"/>
                <w:color w:val="auto"/>
              </w:rPr>
            </w:pPr>
            <w:r>
              <w:rPr>
                <w:rFonts w:ascii="Arial" w:cs="Arial" w:eastAsia="Arial" w:hAnsi="Arial"/>
                <w:sz w:val="13"/>
                <w:szCs w:val="13"/>
                <w:color w:val="auto"/>
              </w:rPr>
              <w:t>21.11</w:t>
            </w:r>
          </w:p>
        </w:tc>
        <w:tc>
          <w:tcPr>
            <w:tcW w:w="66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3"/>
                <w:szCs w:val="13"/>
                <w:color w:val="auto"/>
                <w:w w:val="85"/>
              </w:rPr>
              <w:t>66,000</w:t>
            </w:r>
          </w:p>
        </w:tc>
        <w:tc>
          <w:tcPr>
            <w:tcW w:w="720" w:type="dxa"/>
            <w:vAlign w:val="bottom"/>
          </w:tcPr>
          <w:p>
            <w:pPr>
              <w:ind w:left="20"/>
              <w:spacing w:after="0" w:line="122" w:lineRule="exact"/>
              <w:rPr>
                <w:sz w:val="20"/>
                <w:szCs w:val="20"/>
                <w:color w:val="auto"/>
              </w:rPr>
            </w:pPr>
            <w:r>
              <w:rPr>
                <w:rFonts w:ascii="Arial" w:cs="Arial" w:eastAsia="Arial" w:hAnsi="Arial"/>
                <w:sz w:val="13"/>
                <w:szCs w:val="13"/>
                <w:color w:val="auto"/>
              </w:rPr>
              <w:t>Kroger</w:t>
            </w:r>
          </w:p>
        </w:tc>
        <w:tc>
          <w:tcPr>
            <w:tcW w:w="1880" w:type="dxa"/>
            <w:vAlign w:val="bottom"/>
          </w:tcPr>
          <w:p>
            <w:pPr>
              <w:ind w:left="40"/>
              <w:spacing w:after="0" w:line="122" w:lineRule="exact"/>
              <w:rPr>
                <w:sz w:val="20"/>
                <w:szCs w:val="20"/>
                <w:color w:val="auto"/>
              </w:rPr>
            </w:pPr>
            <w:r>
              <w:rPr>
                <w:rFonts w:ascii="Arial" w:cs="Arial" w:eastAsia="Arial" w:hAnsi="Arial"/>
                <w:sz w:val="13"/>
                <w:szCs w:val="13"/>
                <w:color w:val="auto"/>
                <w:w w:val="94"/>
              </w:rPr>
              <w:t>Old Navy / Ross Dress For Less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80" w:type="dxa"/>
            <w:vAlign w:val="bottom"/>
          </w:tcPr>
          <w:p>
            <w:pPr>
              <w:ind w:left="40"/>
              <w:spacing w:after="0" w:line="122" w:lineRule="exact"/>
              <w:rPr>
                <w:sz w:val="20"/>
                <w:szCs w:val="20"/>
                <w:color w:val="auto"/>
              </w:rPr>
            </w:pPr>
            <w:r>
              <w:rPr>
                <w:rFonts w:ascii="Arial" w:cs="Arial" w:eastAsia="Arial" w:hAnsi="Arial"/>
                <w:sz w:val="13"/>
                <w:szCs w:val="13"/>
                <w:color w:val="auto"/>
              </w:rPr>
              <w:t>Gold's Gym / Dick's Sporting</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Goods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Total Other</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503,784</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2,471,000</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w:t>
            </w: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11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Grand Total</w:t>
            </w:r>
          </w:p>
        </w:tc>
        <w:tc>
          <w:tcPr>
            <w:tcW w:w="17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7"/>
              </w:rPr>
              <w:t>$ 9,493,921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413,611</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1,987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25,102,000</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94 %</w:t>
            </w: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91 % $ 29.69</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5"/>
              </w:rPr>
              <w:t>3,369</w:t>
            </w:r>
          </w:p>
        </w:tc>
        <w:tc>
          <w:tcPr>
            <w:tcW w:w="5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26" w:lineRule="exact"/>
        <w:rPr>
          <w:sz w:val="20"/>
          <w:szCs w:val="20"/>
          <w:color w:val="auto"/>
        </w:rPr>
      </w:pPr>
    </w:p>
    <w:p>
      <w:pPr>
        <w:ind w:left="300" w:hanging="274"/>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"Finance lease right of use assets."</w:t>
      </w:r>
    </w:p>
    <w:p>
      <w:pPr>
        <w:spacing w:after="0" w:line="26" w:lineRule="exact"/>
        <w:rPr>
          <w:rFonts w:ascii="Arial" w:cs="Arial" w:eastAsia="Arial" w:hAnsi="Arial"/>
          <w:sz w:val="13"/>
          <w:szCs w:val="13"/>
          <w:color w:val="auto"/>
        </w:rPr>
      </w:pPr>
    </w:p>
    <w:p>
      <w:pPr>
        <w:ind w:left="300" w:hanging="274"/>
        <w:spacing w:after="0"/>
        <w:tabs>
          <w:tab w:leader="none" w:pos="3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mortgage or finance lease liabilities differ from the total reported on the consolidated balance sheet due to the unamortized discount, premium, and/or debt issuance costs on certain mortgages payable.</w:t>
      </w:r>
    </w:p>
    <w:p>
      <w:pPr>
        <w:spacing w:after="0" w:line="37" w:lineRule="exact"/>
        <w:rPr>
          <w:rFonts w:ascii="Arial" w:cs="Arial" w:eastAsia="Arial" w:hAnsi="Arial"/>
          <w:sz w:val="12"/>
          <w:szCs w:val="12"/>
          <w:color w:val="auto"/>
        </w:rPr>
      </w:pPr>
    </w:p>
    <w:p>
      <w:pPr>
        <w:ind w:left="300" w:right="380" w:hanging="274"/>
        <w:spacing w:after="0" w:line="226" w:lineRule="auto"/>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the GLA, percentage leased, and percentage occupied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5" w:lineRule="exact"/>
        <w:rPr>
          <w:rFonts w:ascii="Arial" w:cs="Arial" w:eastAsia="Arial" w:hAnsi="Arial"/>
          <w:sz w:val="13"/>
          <w:szCs w:val="13"/>
          <w:color w:val="auto"/>
        </w:rPr>
      </w:pPr>
    </w:p>
    <w:p>
      <w:pPr>
        <w:ind w:left="300" w:hanging="274"/>
        <w:spacing w:after="0"/>
        <w:tabs>
          <w:tab w:leader="none" w:pos="3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Calculated as the aggregate, annualized in-place contractual (defined as cash basis excluding rent abatements) minimum rent for all occupied spaces divided by the aggregate GLA of all occupied spaces.</w:t>
      </w:r>
    </w:p>
    <w:p>
      <w:pPr>
        <w:spacing w:after="0" w:line="37" w:lineRule="exact"/>
        <w:rPr>
          <w:rFonts w:ascii="Arial" w:cs="Arial" w:eastAsia="Arial" w:hAnsi="Arial"/>
          <w:sz w:val="12"/>
          <w:szCs w:val="12"/>
          <w:color w:val="auto"/>
        </w:rPr>
      </w:pPr>
    </w:p>
    <w:p>
      <w:pPr>
        <w:ind w:left="300" w:hanging="274"/>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26" w:lineRule="exact"/>
        <w:rPr>
          <w:rFonts w:ascii="Arial" w:cs="Arial" w:eastAsia="Arial" w:hAnsi="Arial"/>
          <w:sz w:val="13"/>
          <w:szCs w:val="13"/>
          <w:color w:val="auto"/>
        </w:rPr>
      </w:pPr>
    </w:p>
    <w:p>
      <w:pPr>
        <w:ind w:left="300" w:hanging="274"/>
        <w:spacing w:after="0"/>
        <w:tabs>
          <w:tab w:leader="none" w:pos="3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All or a portion of the property is owned in a "downREIT" partnership, of which a wholly owned subsidiary of the Trust is the sole general partner, with third party partners holding operating partnership units.</w:t>
      </w:r>
    </w:p>
    <w:p>
      <w:pPr>
        <w:spacing w:after="0" w:line="37" w:lineRule="exact"/>
        <w:rPr>
          <w:rFonts w:ascii="Arial" w:cs="Arial" w:eastAsia="Arial" w:hAnsi="Arial"/>
          <w:sz w:val="12"/>
          <w:szCs w:val="12"/>
          <w:color w:val="auto"/>
        </w:rPr>
      </w:pPr>
    </w:p>
    <w:p>
      <w:pPr>
        <w:ind w:left="300" w:hanging="274"/>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the Assembly Row and Pike &amp; Rose schedules.</w:t>
      </w:r>
    </w:p>
    <w:p>
      <w:pPr>
        <w:spacing w:after="0" w:line="26" w:lineRule="exact"/>
        <w:rPr>
          <w:rFonts w:ascii="Arial" w:cs="Arial" w:eastAsia="Arial" w:hAnsi="Arial"/>
          <w:sz w:val="13"/>
          <w:szCs w:val="13"/>
          <w:color w:val="auto"/>
        </w:rPr>
      </w:pPr>
    </w:p>
    <w:p>
      <w:pPr>
        <w:ind w:left="300" w:hanging="274"/>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All or a portion of the property is subject to finance lease liabilities.</w:t>
      </w:r>
    </w:p>
    <w:p>
      <w:pPr>
        <w:spacing w:after="0" w:line="26" w:lineRule="exact"/>
        <w:rPr>
          <w:rFonts w:ascii="Arial" w:cs="Arial" w:eastAsia="Arial" w:hAnsi="Arial"/>
          <w:sz w:val="13"/>
          <w:szCs w:val="13"/>
          <w:color w:val="auto"/>
        </w:rPr>
      </w:pPr>
    </w:p>
    <w:p>
      <w:pPr>
        <w:ind w:left="300" w:hanging="274"/>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This property includes interests in four buildings in addition to our initial acquisition.</w:t>
      </w:r>
    </w:p>
    <w:p>
      <w:pPr>
        <w:spacing w:after="0" w:line="26" w:lineRule="exact"/>
        <w:rPr>
          <w:rFonts w:ascii="Arial" w:cs="Arial" w:eastAsia="Arial" w:hAnsi="Arial"/>
          <w:sz w:val="13"/>
          <w:szCs w:val="13"/>
          <w:color w:val="auto"/>
        </w:rPr>
      </w:pPr>
    </w:p>
    <w:p>
      <w:pPr>
        <w:ind w:left="300" w:hanging="274"/>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This property includes 39 buildings primarily along Washington Street and 14th Street in Hoboken, New Jersey.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652"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2021</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0"/>
              </w:rPr>
              <w:t>Number of</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88"/>
              </w:rPr>
              <w:t>Contractual</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Straight-lined</w:t>
            </w: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8"/>
              </w:rPr>
              <w:t>Tenant</w:t>
            </w:r>
          </w:p>
        </w:tc>
        <w:tc>
          <w:tcPr>
            <w:tcW w:w="200" w:type="dxa"/>
            <w:vAlign w:val="bottom"/>
          </w:tcPr>
          <w:p>
            <w:pPr>
              <w:spacing w:after="0"/>
              <w:rPr>
                <w:sz w:val="10"/>
                <w:szCs w:val="10"/>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1"/>
              </w:rPr>
              <w:t>% of Comparable</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1"/>
                <w:szCs w:val="11"/>
                <w:b w:val="1"/>
                <w:bCs w:val="1"/>
                <w:color w:val="auto"/>
              </w:rPr>
              <w:t>Quarter</w:t>
            </w:r>
          </w:p>
        </w:tc>
        <w:tc>
          <w:tcPr>
            <w:tcW w:w="6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5"/>
              </w:rPr>
              <w:t>Leases</w:t>
            </w:r>
          </w:p>
        </w:tc>
        <w:tc>
          <w:tcPr>
            <w:tcW w:w="1000" w:type="dxa"/>
            <w:vAlign w:val="bottom"/>
            <w:gridSpan w:val="3"/>
            <w:vMerge w:val="continue"/>
          </w:tcPr>
          <w:p>
            <w:pPr>
              <w:spacing w:after="0"/>
              <w:rPr>
                <w:sz w:val="9"/>
                <w:szCs w:val="9"/>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GLA Signed</w:t>
            </w:r>
          </w:p>
        </w:tc>
        <w:tc>
          <w:tcPr>
            <w:tcW w:w="880" w:type="dxa"/>
            <w:vAlign w:val="bottom"/>
            <w:gridSpan w:val="4"/>
          </w:tcPr>
          <w:p>
            <w:pPr>
              <w:ind w:left="20"/>
              <w:spacing w:after="0" w:line="108" w:lineRule="exact"/>
              <w:rPr>
                <w:sz w:val="20"/>
                <w:szCs w:val="20"/>
                <w:color w:val="auto"/>
              </w:rPr>
            </w:pPr>
            <w:r>
              <w:rPr>
                <w:rFonts w:ascii="Arial" w:cs="Arial" w:eastAsia="Arial" w:hAnsi="Arial"/>
                <w:sz w:val="11"/>
                <w:szCs w:val="11"/>
                <w:b w:val="1"/>
                <w:bCs w:val="1"/>
                <w:color w:val="auto"/>
              </w:rPr>
              <w:t>Rent (3) Per Sq.</w:t>
            </w:r>
          </w:p>
        </w:tc>
        <w:tc>
          <w:tcPr>
            <w:tcW w:w="76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1"/>
              </w:rPr>
              <w:t>(4) Per Sq.</w:t>
            </w:r>
          </w:p>
        </w:tc>
        <w:tc>
          <w:tcPr>
            <w:tcW w:w="960" w:type="dxa"/>
            <w:vAlign w:val="bottom"/>
            <w:gridSpan w:val="3"/>
            <w:vMerge w:val="continue"/>
          </w:tcPr>
          <w:p>
            <w:pPr>
              <w:spacing w:after="0"/>
              <w:rPr>
                <w:sz w:val="9"/>
                <w:szCs w:val="9"/>
                <w:color w:val="auto"/>
              </w:rPr>
            </w:pP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7"/>
              </w:rPr>
              <w:t>Increase Over</w:t>
            </w:r>
          </w:p>
        </w:tc>
        <w:tc>
          <w:tcPr>
            <w:tcW w:w="102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Basis % Increase</w:t>
            </w: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2"/>
              </w:rPr>
              <w:t>Improvements &amp;</w:t>
            </w: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Signed</w:t>
            </w: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rPr>
              <w:t>Ft.</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in Rent</w:t>
            </w:r>
          </w:p>
        </w:tc>
        <w:tc>
          <w:tcPr>
            <w:tcW w:w="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0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3"/>
              </w:rPr>
              <w:t>Over Prior Rent</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200" w:type="dxa"/>
            <w:vAlign w:val="bottom"/>
          </w:tcPr>
          <w:p>
            <w:pPr>
              <w:spacing w:after="0"/>
              <w:rPr>
                <w:sz w:val="12"/>
                <w:szCs w:val="12"/>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8"/>
              </w:rPr>
              <w:t>4th Quarter 2021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597,673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99"/>
              </w:rPr>
              <w:t>1,108,021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18,492,134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4"/>
                <w:szCs w:val="14"/>
                <w:color w:val="auto"/>
                <w:w w:val="97"/>
              </w:rPr>
              <w:t>3rd Quarter 2021</w:t>
            </w:r>
          </w:p>
        </w:tc>
        <w:tc>
          <w:tcPr>
            <w:tcW w:w="58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430,234</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40.73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38.13</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1,119,874</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15,214,700</w:t>
            </w:r>
          </w:p>
        </w:tc>
        <w:tc>
          <w:tcPr>
            <w:tcW w:w="100" w:type="dxa"/>
            <w:vAlign w:val="bottom"/>
          </w:tcPr>
          <w:p>
            <w:pPr>
              <w:spacing w:after="0"/>
              <w:rPr>
                <w:sz w:val="16"/>
                <w:szCs w:val="16"/>
                <w:color w:val="auto"/>
              </w:rPr>
            </w:pPr>
          </w:p>
        </w:tc>
        <w:tc>
          <w:tcPr>
            <w:tcW w:w="2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35.36</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4"/>
              </w:rPr>
              <w:t>2nd Quarter 2021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558,490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99"/>
              </w:rPr>
              <w:t>1,460,996</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28,679,057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51.35</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8"/>
              </w:rPr>
              <w:t>1st Quarter 2021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506,307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36.58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9"/>
              </w:rPr>
              <w:t>1,488,763</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16,231,682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32.06</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5"/>
              </w:rPr>
              <w:t>Total - 12 months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2,092,704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99"/>
              </w:rPr>
              <w:t>5,177,654</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78,617,573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37.57</w:t>
            </w:r>
          </w:p>
        </w:tc>
        <w:tc>
          <w:tcPr>
            <w:tcW w:w="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4"/>
                <w:szCs w:val="14"/>
                <w:b w:val="1"/>
                <w:bCs w:val="1"/>
                <w:color w:val="auto"/>
              </w:rPr>
              <w:t>New Lease Summary - Comparable (2)</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0"/>
              </w:rPr>
              <w:t>Number of</w:t>
            </w: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88"/>
              </w:rPr>
              <w:t>Contractual</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Straight-lined</w:t>
            </w: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8"/>
              </w:rPr>
              <w:t>Tenant</w:t>
            </w:r>
          </w:p>
        </w:tc>
        <w:tc>
          <w:tcPr>
            <w:tcW w:w="200" w:type="dxa"/>
            <w:vAlign w:val="bottom"/>
          </w:tcPr>
          <w:p>
            <w:pPr>
              <w:spacing w:after="0"/>
              <w:rPr>
                <w:sz w:val="11"/>
                <w:szCs w:val="11"/>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1"/>
              </w:rPr>
              <w:t>% of Comparable</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1"/>
                <w:szCs w:val="11"/>
                <w:b w:val="1"/>
                <w:bCs w:val="1"/>
                <w:color w:val="auto"/>
              </w:rPr>
              <w:t>Quarter</w:t>
            </w:r>
          </w:p>
        </w:tc>
        <w:tc>
          <w:tcPr>
            <w:tcW w:w="6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5"/>
              </w:rPr>
              <w:t>Leases</w:t>
            </w:r>
          </w:p>
        </w:tc>
        <w:tc>
          <w:tcPr>
            <w:tcW w:w="1000" w:type="dxa"/>
            <w:vAlign w:val="bottom"/>
            <w:gridSpan w:val="3"/>
            <w:vMerge w:val="continue"/>
          </w:tcPr>
          <w:p>
            <w:pPr>
              <w:spacing w:after="0"/>
              <w:rPr>
                <w:sz w:val="9"/>
                <w:szCs w:val="9"/>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GLA Signed</w:t>
            </w:r>
          </w:p>
        </w:tc>
        <w:tc>
          <w:tcPr>
            <w:tcW w:w="880" w:type="dxa"/>
            <w:vAlign w:val="bottom"/>
            <w:gridSpan w:val="4"/>
          </w:tcPr>
          <w:p>
            <w:pPr>
              <w:ind w:left="20"/>
              <w:spacing w:after="0" w:line="108" w:lineRule="exact"/>
              <w:rPr>
                <w:sz w:val="20"/>
                <w:szCs w:val="20"/>
                <w:color w:val="auto"/>
              </w:rPr>
            </w:pPr>
            <w:r>
              <w:rPr>
                <w:rFonts w:ascii="Arial" w:cs="Arial" w:eastAsia="Arial" w:hAnsi="Arial"/>
                <w:sz w:val="11"/>
                <w:szCs w:val="11"/>
                <w:b w:val="1"/>
                <w:bCs w:val="1"/>
                <w:color w:val="auto"/>
              </w:rPr>
              <w:t>Rent (3) Per Sq.</w:t>
            </w:r>
          </w:p>
        </w:tc>
        <w:tc>
          <w:tcPr>
            <w:tcW w:w="76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1"/>
              </w:rPr>
              <w:t>(4) Per Sq.</w:t>
            </w:r>
          </w:p>
        </w:tc>
        <w:tc>
          <w:tcPr>
            <w:tcW w:w="960" w:type="dxa"/>
            <w:vAlign w:val="bottom"/>
            <w:gridSpan w:val="3"/>
            <w:vMerge w:val="continue"/>
          </w:tcPr>
          <w:p>
            <w:pPr>
              <w:spacing w:after="0"/>
              <w:rPr>
                <w:sz w:val="9"/>
                <w:szCs w:val="9"/>
                <w:color w:val="auto"/>
              </w:rPr>
            </w:pP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7"/>
              </w:rPr>
              <w:t>Increase Over</w:t>
            </w:r>
          </w:p>
        </w:tc>
        <w:tc>
          <w:tcPr>
            <w:tcW w:w="102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Basis % Increase</w:t>
            </w: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2"/>
              </w:rPr>
              <w:t>Improvements &amp;</w:t>
            </w: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Signed</w:t>
            </w: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rPr>
              <w:t>Ft.</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in Rent</w:t>
            </w:r>
          </w:p>
        </w:tc>
        <w:tc>
          <w:tcPr>
            <w:tcW w:w="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0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3"/>
              </w:rPr>
              <w:t>Over Prior Rent</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200" w:type="dxa"/>
            <w:vAlign w:val="bottom"/>
          </w:tcPr>
          <w:p>
            <w:pPr>
              <w:spacing w:after="0"/>
              <w:rPr>
                <w:sz w:val="12"/>
                <w:szCs w:val="12"/>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8"/>
              </w:rPr>
              <w:t>4th Quarter 2021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56 %</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289,287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708,143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18,142,674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62.72</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4"/>
                <w:szCs w:val="14"/>
                <w:color w:val="auto"/>
                <w:w w:val="97"/>
              </w:rPr>
              <w:t>3rd Quarter 2021</w:t>
            </w:r>
          </w:p>
        </w:tc>
        <w:tc>
          <w:tcPr>
            <w:tcW w:w="58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219,614</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39.12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36.43</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592,684</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14,322,727</w:t>
            </w:r>
          </w:p>
        </w:tc>
        <w:tc>
          <w:tcPr>
            <w:tcW w:w="100" w:type="dxa"/>
            <w:vAlign w:val="bottom"/>
          </w:tcPr>
          <w:p>
            <w:pPr>
              <w:spacing w:after="0"/>
              <w:rPr>
                <w:sz w:val="16"/>
                <w:szCs w:val="16"/>
                <w:color w:val="auto"/>
              </w:rPr>
            </w:pPr>
          </w:p>
        </w:tc>
        <w:tc>
          <w:tcPr>
            <w:tcW w:w="2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65.22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4"/>
              </w:rPr>
              <w:t>2nd Quarter 2021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60 %</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414,602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99"/>
              </w:rPr>
              <w:t>1,447,345</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28,140,419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67.87</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8"/>
              </w:rPr>
              <w:t>1st Quarter 2021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52 %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220,014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39.70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9"/>
              </w:rPr>
              <w:t>1,337,437</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14,773,582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67.15</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5"/>
              </w:rPr>
              <w:t>Total - 12 months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54 %</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1,143,517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38.29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99"/>
              </w:rPr>
              <w:t>4,085,609</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75,379,402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65.92</w:t>
            </w:r>
          </w:p>
        </w:tc>
        <w:tc>
          <w:tcPr>
            <w:tcW w:w="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3620" w:type="dxa"/>
            <w:vAlign w:val="bottom"/>
            <w:gridSpan w:val="9"/>
          </w:tcPr>
          <w:p>
            <w:pPr>
              <w:spacing w:after="0"/>
              <w:rPr>
                <w:sz w:val="20"/>
                <w:szCs w:val="20"/>
                <w:color w:val="auto"/>
              </w:rPr>
            </w:pPr>
            <w:r>
              <w:rPr>
                <w:rFonts w:ascii="Arial" w:cs="Arial" w:eastAsia="Arial" w:hAnsi="Arial"/>
                <w:sz w:val="14"/>
                <w:szCs w:val="14"/>
                <w:b w:val="1"/>
                <w:bCs w:val="1"/>
                <w:color w:val="auto"/>
              </w:rPr>
              <w:t>Renewal Lease Summary - Comparable (2) (8)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0"/>
              </w:rPr>
              <w:t>Number of</w:t>
            </w: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88"/>
              </w:rPr>
              <w:t>Contractual</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Straight-lined</w:t>
            </w: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8"/>
              </w:rPr>
              <w:t>Tenant</w:t>
            </w:r>
          </w:p>
        </w:tc>
        <w:tc>
          <w:tcPr>
            <w:tcW w:w="200" w:type="dxa"/>
            <w:vAlign w:val="bottom"/>
          </w:tcPr>
          <w:p>
            <w:pPr>
              <w:spacing w:after="0"/>
              <w:rPr>
                <w:sz w:val="11"/>
                <w:szCs w:val="11"/>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1"/>
              </w:rPr>
              <w:t>% of Comparable</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Annual Increase</w:t>
            </w: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1"/>
                <w:szCs w:val="11"/>
                <w:b w:val="1"/>
                <w:bCs w:val="1"/>
                <w:color w:val="auto"/>
              </w:rPr>
              <w:t>Quarter</w:t>
            </w:r>
          </w:p>
        </w:tc>
        <w:tc>
          <w:tcPr>
            <w:tcW w:w="68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5"/>
              </w:rPr>
              <w:t>Leases</w:t>
            </w:r>
          </w:p>
        </w:tc>
        <w:tc>
          <w:tcPr>
            <w:tcW w:w="1000" w:type="dxa"/>
            <w:vAlign w:val="bottom"/>
            <w:gridSpan w:val="3"/>
            <w:vMerge w:val="continue"/>
          </w:tcPr>
          <w:p>
            <w:pPr>
              <w:spacing w:after="0"/>
              <w:rPr>
                <w:sz w:val="9"/>
                <w:szCs w:val="9"/>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GLA Signed</w:t>
            </w:r>
          </w:p>
        </w:tc>
        <w:tc>
          <w:tcPr>
            <w:tcW w:w="880" w:type="dxa"/>
            <w:vAlign w:val="bottom"/>
            <w:gridSpan w:val="4"/>
          </w:tcPr>
          <w:p>
            <w:pPr>
              <w:ind w:left="20"/>
              <w:spacing w:after="0" w:line="108" w:lineRule="exact"/>
              <w:rPr>
                <w:sz w:val="20"/>
                <w:szCs w:val="20"/>
                <w:color w:val="auto"/>
              </w:rPr>
            </w:pPr>
            <w:r>
              <w:rPr>
                <w:rFonts w:ascii="Arial" w:cs="Arial" w:eastAsia="Arial" w:hAnsi="Arial"/>
                <w:sz w:val="11"/>
                <w:szCs w:val="11"/>
                <w:b w:val="1"/>
                <w:bCs w:val="1"/>
                <w:color w:val="auto"/>
              </w:rPr>
              <w:t>Rent (3) Per Sq.</w:t>
            </w:r>
          </w:p>
        </w:tc>
        <w:tc>
          <w:tcPr>
            <w:tcW w:w="76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1"/>
              </w:rPr>
              <w:t>(4) Per Sq.</w:t>
            </w:r>
          </w:p>
        </w:tc>
        <w:tc>
          <w:tcPr>
            <w:tcW w:w="960" w:type="dxa"/>
            <w:vAlign w:val="bottom"/>
            <w:gridSpan w:val="3"/>
            <w:vMerge w:val="continue"/>
          </w:tcPr>
          <w:p>
            <w:pPr>
              <w:spacing w:after="0"/>
              <w:rPr>
                <w:sz w:val="9"/>
                <w:szCs w:val="9"/>
                <w:color w:val="auto"/>
              </w:rPr>
            </w:pPr>
          </w:p>
        </w:tc>
        <w:tc>
          <w:tcPr>
            <w:tcW w:w="9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7"/>
              </w:rPr>
              <w:t>Increase Over</w:t>
            </w:r>
          </w:p>
        </w:tc>
        <w:tc>
          <w:tcPr>
            <w:tcW w:w="102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Basis % Increase</w:t>
            </w: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2"/>
              </w:rPr>
              <w:t>Improvements &amp;</w:t>
            </w: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Signed</w:t>
            </w:r>
          </w:p>
        </w:tc>
        <w:tc>
          <w:tcPr>
            <w:tcW w:w="10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rPr>
              <w:t>Ft.</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in Rent</w:t>
            </w:r>
          </w:p>
        </w:tc>
        <w:tc>
          <w:tcPr>
            <w:tcW w:w="9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10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3"/>
              </w:rPr>
              <w:t>Over Prior Rent</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200" w:type="dxa"/>
            <w:vAlign w:val="bottom"/>
          </w:tcPr>
          <w:p>
            <w:pPr>
              <w:spacing w:after="0"/>
              <w:rPr>
                <w:sz w:val="12"/>
                <w:szCs w:val="12"/>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8"/>
              </w:rPr>
              <w:t>4th Quarter 2021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44 %</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308,386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399,878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349,460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4"/>
                <w:szCs w:val="14"/>
                <w:color w:val="auto"/>
                <w:w w:val="97"/>
              </w:rPr>
              <w:t>3rd Quarter 2021</w:t>
            </w:r>
          </w:p>
        </w:tc>
        <w:tc>
          <w:tcPr>
            <w:tcW w:w="5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53 %</w:t>
            </w:r>
          </w:p>
        </w:tc>
        <w:tc>
          <w:tcPr>
            <w:tcW w:w="1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210,620</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42.40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39.90</w:t>
            </w:r>
          </w:p>
        </w:tc>
        <w:tc>
          <w:tcPr>
            <w:tcW w:w="10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527,190</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891,973</w:t>
            </w:r>
          </w:p>
        </w:tc>
        <w:tc>
          <w:tcPr>
            <w:tcW w:w="100" w:type="dxa"/>
            <w:vAlign w:val="bottom"/>
          </w:tcPr>
          <w:p>
            <w:pPr>
              <w:spacing w:after="0"/>
              <w:rPr>
                <w:sz w:val="16"/>
                <w:szCs w:val="16"/>
                <w:color w:val="auto"/>
              </w:rPr>
            </w:pPr>
          </w:p>
        </w:tc>
        <w:tc>
          <w:tcPr>
            <w:tcW w:w="2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4.23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4"/>
              </w:rPr>
              <w:t>2nd Quarter 2021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40 %</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143,888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13,651</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538,638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8"/>
              </w:rPr>
              <w:t>1st Quarter 2021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48 %</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286,293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34.18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151,326</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1,458,100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5"/>
              </w:rPr>
              <w:t>Total - 12 months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46 %</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949,187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35.44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99"/>
              </w:rPr>
              <w:t>1,092,045</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3,238,171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45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Number of</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8"/>
              </w:rPr>
              <w:t>Tenant</w:t>
            </w:r>
          </w:p>
        </w:tc>
        <w:tc>
          <w:tcPr>
            <w:tcW w:w="200" w:type="dxa"/>
            <w:vAlign w:val="bottom"/>
          </w:tcPr>
          <w:p>
            <w:pPr>
              <w:spacing w:after="0"/>
              <w:rPr>
                <w:sz w:val="11"/>
                <w:szCs w:val="11"/>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Tenant</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1"/>
                <w:szCs w:val="11"/>
                <w:b w:val="1"/>
                <w:bCs w:val="1"/>
                <w:color w:val="auto"/>
                <w:w w:val="90"/>
              </w:rPr>
              <w:t>Contractual Rent</w:t>
            </w: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0"/>
              </w:rPr>
              <w:t>Leases</w:t>
            </w:r>
          </w:p>
        </w:tc>
        <w:tc>
          <w:tcPr>
            <w:tcW w:w="160" w:type="dxa"/>
            <w:vAlign w:val="bottom"/>
          </w:tcPr>
          <w:p>
            <w:pPr>
              <w:spacing w:after="0"/>
              <w:rPr>
                <w:sz w:val="9"/>
                <w:szCs w:val="9"/>
                <w:color w:val="auto"/>
              </w:rPr>
            </w:pPr>
          </w:p>
        </w:tc>
        <w:tc>
          <w:tcPr>
            <w:tcW w:w="1720" w:type="dxa"/>
            <w:vAlign w:val="bottom"/>
            <w:gridSpan w:val="4"/>
            <w:vMerge w:val="restart"/>
          </w:tcPr>
          <w:p>
            <w:pPr>
              <w:ind w:left="440"/>
              <w:spacing w:after="0"/>
              <w:rPr>
                <w:sz w:val="20"/>
                <w:szCs w:val="20"/>
                <w:color w:val="auto"/>
              </w:rPr>
            </w:pPr>
            <w:r>
              <w:rPr>
                <w:rFonts w:ascii="Arial" w:cs="Arial" w:eastAsia="Arial" w:hAnsi="Arial"/>
                <w:sz w:val="11"/>
                <w:szCs w:val="11"/>
                <w:b w:val="1"/>
                <w:bCs w:val="1"/>
                <w:color w:val="auto"/>
              </w:rPr>
              <w:t>GLA Signed</w:t>
            </w:r>
          </w:p>
        </w:tc>
        <w:tc>
          <w:tcPr>
            <w:tcW w:w="1020" w:type="dxa"/>
            <w:vAlign w:val="bottom"/>
            <w:gridSpan w:val="3"/>
            <w:vMerge w:val="continue"/>
          </w:tcPr>
          <w:p>
            <w:pPr>
              <w:spacing w:after="0"/>
              <w:rPr>
                <w:sz w:val="9"/>
                <w:szCs w:val="9"/>
                <w:color w:val="auto"/>
              </w:rPr>
            </w:pPr>
          </w:p>
        </w:tc>
        <w:tc>
          <w:tcPr>
            <w:tcW w:w="7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2"/>
              </w:rPr>
              <w:t>Improvements &amp;</w:t>
            </w:r>
          </w:p>
        </w:tc>
        <w:tc>
          <w:tcPr>
            <w:tcW w:w="9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8"/>
              </w:rPr>
              <w:t>Incentives Per Sq.</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Signed</w:t>
            </w:r>
          </w:p>
        </w:tc>
        <w:tc>
          <w:tcPr>
            <w:tcW w:w="16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(3) Per Sq. Ft.</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200" w:type="dxa"/>
            <w:vAlign w:val="bottom"/>
          </w:tcPr>
          <w:p>
            <w:pPr>
              <w:spacing w:after="0"/>
              <w:rPr>
                <w:sz w:val="12"/>
                <w:szCs w:val="12"/>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Ft.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8"/>
              </w:rPr>
              <w:t>4th Quarter 2021</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619,629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34.67</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19,435,246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31.37</w:t>
            </w: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4"/>
                <w:szCs w:val="14"/>
                <w:color w:val="auto"/>
                <w:w w:val="97"/>
              </w:rPr>
              <w:t>3rd Quarter 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114"/>
              <w:spacing w:after="0"/>
              <w:rPr>
                <w:sz w:val="20"/>
                <w:szCs w:val="20"/>
                <w:color w:val="auto"/>
              </w:rPr>
            </w:pPr>
            <w:r>
              <w:rPr>
                <w:rFonts w:ascii="Arial" w:cs="Arial" w:eastAsia="Arial" w:hAnsi="Arial"/>
                <w:sz w:val="14"/>
                <w:szCs w:val="14"/>
                <w:color w:val="auto"/>
              </w:rPr>
              <w:t>481,607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1"/>
              <w:spacing w:after="0"/>
              <w:rPr>
                <w:sz w:val="20"/>
                <w:szCs w:val="20"/>
                <w:color w:val="auto"/>
              </w:rPr>
            </w:pPr>
            <w:r>
              <w:rPr>
                <w:rFonts w:ascii="Arial" w:cs="Arial" w:eastAsia="Arial" w:hAnsi="Arial"/>
                <w:sz w:val="14"/>
                <w:szCs w:val="14"/>
                <w:color w:val="auto"/>
              </w:rPr>
              <w:t>39.87</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24,145,403</w:t>
            </w:r>
          </w:p>
        </w:tc>
        <w:tc>
          <w:tcPr>
            <w:tcW w:w="100" w:type="dxa"/>
            <w:vAlign w:val="bottom"/>
          </w:tcPr>
          <w:p>
            <w:pPr>
              <w:spacing w:after="0"/>
              <w:rPr>
                <w:sz w:val="16"/>
                <w:szCs w:val="16"/>
                <w:color w:val="auto"/>
              </w:rPr>
            </w:pPr>
          </w:p>
        </w:tc>
        <w:tc>
          <w:tcPr>
            <w:tcW w:w="2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50.14</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4"/>
                <w:szCs w:val="14"/>
                <w:color w:val="auto"/>
                <w:w w:val="94"/>
              </w:rPr>
              <w:t>2nd Quarter 2021</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576,782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37.57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29,473,951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51.10</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8"/>
              </w:rPr>
              <w:t>1st Quarter 2021</w:t>
            </w:r>
          </w:p>
        </w:tc>
        <w:tc>
          <w:tcPr>
            <w:tcW w:w="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514,636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36.94</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17,005,312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33.04</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5"/>
              </w:rPr>
              <w:t>Total - 12 months</w:t>
            </w: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w w:val="99"/>
              </w:rPr>
              <w:t>2,192,654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37.11</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90,059,912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41.07</w:t>
            </w:r>
          </w:p>
        </w:tc>
        <w:tc>
          <w:tcPr>
            <w:tcW w:w="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auto"/>
        </w:rPr>
        <w:t>Notes:</w:t>
      </w:r>
    </w:p>
    <w:p>
      <w:pPr>
        <w:spacing w:after="0" w:line="28" w:lineRule="exact"/>
        <w:rPr>
          <w:sz w:val="20"/>
          <w:szCs w:val="20"/>
          <w:color w:val="auto"/>
        </w:rPr>
      </w:pPr>
    </w:p>
    <w:p>
      <w:pPr>
        <w:ind w:left="800" w:right="300" w:hanging="761"/>
        <w:spacing w:after="0" w:line="236" w:lineRule="auto"/>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Information reflects activity in retail spaces only; office and residential spaces are not included. Contractual option exercises are not included. See Glossary of Terms for further discussion of information included above.</w:t>
      </w:r>
    </w:p>
    <w:p>
      <w:pPr>
        <w:spacing w:after="0" w:line="7" w:lineRule="exact"/>
        <w:rPr>
          <w:rFonts w:ascii="Arial" w:cs="Arial" w:eastAsia="Arial" w:hAnsi="Arial"/>
          <w:sz w:val="14"/>
          <w:szCs w:val="14"/>
          <w:color w:val="auto"/>
        </w:rPr>
      </w:pPr>
    </w:p>
    <w:p>
      <w:pPr>
        <w:ind w:left="800" w:hanging="761"/>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Comparable leases represent those leases signed on spaces for which there was a former tenant.</w:t>
      </w:r>
    </w:p>
    <w:p>
      <w:pPr>
        <w:spacing w:after="0" w:line="28" w:lineRule="exact"/>
        <w:rPr>
          <w:rFonts w:ascii="Arial" w:cs="Arial" w:eastAsia="Arial" w:hAnsi="Arial"/>
          <w:sz w:val="14"/>
          <w:szCs w:val="14"/>
          <w:color w:val="auto"/>
        </w:rPr>
      </w:pPr>
    </w:p>
    <w:p>
      <w:pPr>
        <w:ind w:left="800" w:hanging="761"/>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Contractual rent represents annual rent under the new lease.</w:t>
      </w:r>
    </w:p>
    <w:p>
      <w:pPr>
        <w:spacing w:after="0" w:line="28" w:lineRule="exact"/>
        <w:rPr>
          <w:rFonts w:ascii="Arial" w:cs="Arial" w:eastAsia="Arial" w:hAnsi="Arial"/>
          <w:sz w:val="14"/>
          <w:szCs w:val="14"/>
          <w:color w:val="auto"/>
        </w:rPr>
      </w:pPr>
    </w:p>
    <w:p>
      <w:pPr>
        <w:ind w:left="800" w:hanging="761"/>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Prior rent represents contractual rent, including percentage rent, from the prior tenant in the final 12 months of the term.</w:t>
      </w:r>
    </w:p>
    <w:p>
      <w:pPr>
        <w:spacing w:after="0" w:line="28" w:lineRule="exact"/>
        <w:rPr>
          <w:rFonts w:ascii="Arial" w:cs="Arial" w:eastAsia="Arial" w:hAnsi="Arial"/>
          <w:sz w:val="14"/>
          <w:szCs w:val="14"/>
          <w:color w:val="auto"/>
        </w:rPr>
      </w:pPr>
    </w:p>
    <w:p>
      <w:pPr>
        <w:ind w:left="800" w:hanging="761"/>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Weighted average is determined on the basis of contractual rent for the lease.</w:t>
      </w:r>
    </w:p>
    <w:p>
      <w:pPr>
        <w:spacing w:after="0" w:line="28" w:lineRule="exact"/>
        <w:rPr>
          <w:rFonts w:ascii="Arial" w:cs="Arial" w:eastAsia="Arial" w:hAnsi="Arial"/>
          <w:sz w:val="14"/>
          <w:szCs w:val="14"/>
          <w:color w:val="auto"/>
        </w:rPr>
      </w:pPr>
    </w:p>
    <w:p>
      <w:pPr>
        <w:ind w:left="800" w:hanging="761"/>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See Glossary of Terms.</w:t>
      </w:r>
    </w:p>
    <w:p>
      <w:pPr>
        <w:spacing w:after="0" w:line="28" w:lineRule="exact"/>
        <w:rPr>
          <w:rFonts w:ascii="Arial" w:cs="Arial" w:eastAsia="Arial" w:hAnsi="Arial"/>
          <w:sz w:val="14"/>
          <w:szCs w:val="14"/>
          <w:color w:val="auto"/>
        </w:rPr>
      </w:pPr>
    </w:p>
    <w:p>
      <w:pPr>
        <w:ind w:left="800" w:right="60" w:hanging="761"/>
        <w:spacing w:after="0" w:line="224" w:lineRule="auto"/>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Approximately $2.6 million ($2.86 per square foot) in 4th Quarter 2021, $2.3 million ($3.42 per square foot) in 3rd Quarter 2021, and $2.9 million ($1.75 per square foot) in 2nd Quarter 2021 of the Tenant Improvements &amp; Incentives are for properties under active redevelopment and are included in the Projected Cost for those properties on the Summary of Redevelopment Opportunities.</w:t>
      </w:r>
    </w:p>
    <w:p>
      <w:pPr>
        <w:spacing w:after="0" w:line="8" w:lineRule="exact"/>
        <w:rPr>
          <w:rFonts w:ascii="Arial" w:cs="Arial" w:eastAsia="Arial" w:hAnsi="Arial"/>
          <w:sz w:val="14"/>
          <w:szCs w:val="14"/>
          <w:color w:val="auto"/>
        </w:rPr>
      </w:pPr>
    </w:p>
    <w:p>
      <w:pPr>
        <w:ind w:left="800" w:hanging="761"/>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Renewal leases represent expiring leases rolling over with the same tenant in the same location. All other leases are categorized as new.</w:t>
      </w:r>
    </w:p>
    <w:p>
      <w:pPr>
        <w:spacing w:after="0" w:line="28" w:lineRule="exact"/>
        <w:rPr>
          <w:rFonts w:ascii="Arial" w:cs="Arial" w:eastAsia="Arial" w:hAnsi="Arial"/>
          <w:sz w:val="14"/>
          <w:szCs w:val="14"/>
          <w:color w:val="auto"/>
        </w:rPr>
      </w:pPr>
    </w:p>
    <w:p>
      <w:pPr>
        <w:ind w:left="800" w:right="120" w:hanging="761"/>
        <w:spacing w:after="0" w:line="218" w:lineRule="auto"/>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Number of Leases Signed, GLA Signed, Contractual Rent Per Sq. Ft. and Weighted Average Lease Term columns include information for leases signed at Phase 3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3 of Assembly Row and Pike &amp; Rose are included in the Projected Cost column for those projects shown on the Assembly Row and Pike &amp; Rose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97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268287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82875" cy="15430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222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2"/>
              </w:rPr>
              <w:t>Anchor Tenants (1)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89"/>
              </w:rPr>
              <w:t>Small Shop Tenants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9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 of Anchor</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9"/>
              </w:rPr>
              <w:t>Minimum Rent</w:t>
            </w:r>
          </w:p>
        </w:tc>
        <w:tc>
          <w:tcPr>
            <w:tcW w:w="220" w:type="dxa"/>
            <w:vAlign w:val="bottom"/>
          </w:tcPr>
          <w:p>
            <w:pPr>
              <w:spacing w:after="0"/>
              <w:rPr>
                <w:sz w:val="11"/>
                <w:szCs w:val="11"/>
                <w:color w:val="auto"/>
              </w:rPr>
            </w:pPr>
          </w:p>
        </w:tc>
        <w:tc>
          <w:tcPr>
            <w:tcW w:w="12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of Small</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240" w:type="dxa"/>
            <w:vAlign w:val="bottom"/>
          </w:tcPr>
          <w:p>
            <w:pPr>
              <w:spacing w:after="0"/>
              <w:rPr>
                <w:sz w:val="11"/>
                <w:szCs w:val="11"/>
                <w:color w:val="auto"/>
              </w:rPr>
            </w:pPr>
          </w:p>
        </w:tc>
        <w:tc>
          <w:tcPr>
            <w:tcW w:w="13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920" w:type="dxa"/>
            <w:vAlign w:val="bottom"/>
          </w:tcPr>
          <w:p>
            <w:pPr>
              <w:jc w:val="right"/>
              <w:ind w:right="101"/>
              <w:spacing w:after="0" w:line="135" w:lineRule="exact"/>
              <w:rPr>
                <w:sz w:val="20"/>
                <w:szCs w:val="20"/>
                <w:color w:val="auto"/>
              </w:rPr>
            </w:pPr>
            <w:r>
              <w:rPr>
                <w:rFonts w:ascii="Arial" w:cs="Arial" w:eastAsia="Arial" w:hAnsi="Arial"/>
                <w:sz w:val="14"/>
                <w:szCs w:val="14"/>
                <w:b w:val="1"/>
                <w:bCs w:val="1"/>
                <w:color w:val="auto"/>
              </w:rPr>
              <w:t>% of Total</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88"/>
        </w:trPr>
        <w:tc>
          <w:tcPr>
            <w:tcW w:w="9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SF</w:t>
            </w:r>
          </w:p>
        </w:tc>
        <w:tc>
          <w:tcPr>
            <w:tcW w:w="1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40" w:type="dxa"/>
            <w:vAlign w:val="bottom"/>
            <w:vMerge w:val="continue"/>
          </w:tcPr>
          <w:p>
            <w:pPr>
              <w:spacing w:after="0"/>
              <w:rPr>
                <w:sz w:val="16"/>
                <w:szCs w:val="16"/>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Shop SF</w:t>
            </w:r>
          </w:p>
        </w:tc>
        <w:tc>
          <w:tcPr>
            <w:tcW w:w="1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300" w:type="dxa"/>
            <w:vAlign w:val="bottom"/>
            <w:vMerge w:val="continue"/>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SF</w:t>
            </w: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11"/>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842,000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12 % $</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40.47</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1,807,000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 $</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tcPr>
          <w:p>
            <w:pPr>
              <w:jc w:val="right"/>
              <w:spacing w:after="0"/>
              <w:rPr>
                <w:sz w:val="20"/>
                <w:szCs w:val="20"/>
                <w:color w:val="auto"/>
              </w:rPr>
            </w:pPr>
            <w:r>
              <w:rPr>
                <w:rFonts w:ascii="Arial" w:cs="Arial" w:eastAsia="Arial" w:hAnsi="Arial"/>
                <w:sz w:val="16"/>
                <w:szCs w:val="16"/>
                <w:color w:val="auto"/>
              </w:rPr>
              <w:t>1,479,000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9 % $</w:t>
            </w:r>
          </w:p>
        </w:tc>
        <w:tc>
          <w:tcPr>
            <w:tcW w:w="900" w:type="dxa"/>
            <w:vAlign w:val="bottom"/>
          </w:tcPr>
          <w:p>
            <w:pPr>
              <w:jc w:val="right"/>
              <w:spacing w:after="0"/>
              <w:rPr>
                <w:sz w:val="20"/>
                <w:szCs w:val="20"/>
                <w:color w:val="auto"/>
              </w:rPr>
            </w:pPr>
            <w:r>
              <w:rPr>
                <w:rFonts w:ascii="Arial" w:cs="Arial" w:eastAsia="Arial" w:hAnsi="Arial"/>
                <w:sz w:val="16"/>
                <w:szCs w:val="16"/>
                <w:color w:val="auto"/>
              </w:rPr>
              <w:t>21.04</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1,013,000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14 % $</w:t>
            </w:r>
          </w:p>
        </w:tc>
        <w:tc>
          <w:tcPr>
            <w:tcW w:w="880" w:type="dxa"/>
            <w:vAlign w:val="bottom"/>
          </w:tcPr>
          <w:p>
            <w:pPr>
              <w:jc w:val="right"/>
              <w:spacing w:after="0"/>
              <w:rPr>
                <w:sz w:val="20"/>
                <w:szCs w:val="20"/>
                <w:color w:val="auto"/>
              </w:rPr>
            </w:pPr>
            <w:r>
              <w:rPr>
                <w:rFonts w:ascii="Arial" w:cs="Arial" w:eastAsia="Arial" w:hAnsi="Arial"/>
                <w:sz w:val="16"/>
                <w:szCs w:val="16"/>
                <w:color w:val="auto"/>
              </w:rPr>
              <w:t>43.26</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2,492,000</w:t>
            </w:r>
          </w:p>
        </w:tc>
        <w:tc>
          <w:tcPr>
            <w:tcW w:w="920" w:type="dxa"/>
            <w:vAlign w:val="bottom"/>
          </w:tcPr>
          <w:p>
            <w:pPr>
              <w:jc w:val="right"/>
              <w:spacing w:after="0"/>
              <w:rPr>
                <w:sz w:val="20"/>
                <w:szCs w:val="20"/>
                <w:color w:val="auto"/>
              </w:rPr>
            </w:pPr>
            <w:r>
              <w:rPr>
                <w:rFonts w:ascii="Arial" w:cs="Arial" w:eastAsia="Arial" w:hAnsi="Arial"/>
                <w:sz w:val="16"/>
                <w:szCs w:val="16"/>
                <w:color w:val="auto"/>
              </w:rPr>
              <w:t>11 % $</w:t>
            </w:r>
          </w:p>
        </w:tc>
        <w:tc>
          <w:tcPr>
            <w:tcW w:w="1020" w:type="dxa"/>
            <w:vAlign w:val="bottom"/>
          </w:tcPr>
          <w:p>
            <w:pPr>
              <w:jc w:val="right"/>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16 %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993,000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14 %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3,441,000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00" w:type="dxa"/>
            <w:vAlign w:val="bottom"/>
          </w:tcPr>
          <w:p>
            <w:pPr>
              <w:jc w:val="right"/>
              <w:spacing w:after="0"/>
              <w:rPr>
                <w:sz w:val="20"/>
                <w:szCs w:val="20"/>
                <w:color w:val="auto"/>
              </w:rPr>
            </w:pPr>
            <w:r>
              <w:rPr>
                <w:rFonts w:ascii="Arial" w:cs="Arial" w:eastAsia="Arial" w:hAnsi="Arial"/>
                <w:sz w:val="16"/>
                <w:szCs w:val="16"/>
                <w:color w:val="auto"/>
              </w:rPr>
              <w:t>2,113,000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14 % $</w:t>
            </w:r>
          </w:p>
        </w:tc>
        <w:tc>
          <w:tcPr>
            <w:tcW w:w="900" w:type="dxa"/>
            <w:vAlign w:val="bottom"/>
          </w:tcPr>
          <w:p>
            <w:pPr>
              <w:jc w:val="right"/>
              <w:spacing w:after="0"/>
              <w:rPr>
                <w:sz w:val="20"/>
                <w:szCs w:val="20"/>
                <w:color w:val="auto"/>
              </w:rPr>
            </w:pPr>
            <w:r>
              <w:rPr>
                <w:rFonts w:ascii="Arial" w:cs="Arial" w:eastAsia="Arial" w:hAnsi="Arial"/>
                <w:sz w:val="16"/>
                <w:szCs w:val="16"/>
                <w:color w:val="auto"/>
              </w:rPr>
              <w:t>18.86</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1,008,000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14 % $</w:t>
            </w:r>
          </w:p>
        </w:tc>
        <w:tc>
          <w:tcPr>
            <w:tcW w:w="880" w:type="dxa"/>
            <w:vAlign w:val="bottom"/>
          </w:tcPr>
          <w:p>
            <w:pPr>
              <w:jc w:val="right"/>
              <w:spacing w:after="0"/>
              <w:rPr>
                <w:sz w:val="20"/>
                <w:szCs w:val="20"/>
                <w:color w:val="auto"/>
              </w:rPr>
            </w:pPr>
            <w:r>
              <w:rPr>
                <w:rFonts w:ascii="Arial" w:cs="Arial" w:eastAsia="Arial" w:hAnsi="Arial"/>
                <w:sz w:val="16"/>
                <w:szCs w:val="16"/>
                <w:color w:val="auto"/>
              </w:rPr>
              <w:t>41.29</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3,121,000</w:t>
            </w:r>
          </w:p>
        </w:tc>
        <w:tc>
          <w:tcPr>
            <w:tcW w:w="920" w:type="dxa"/>
            <w:vAlign w:val="bottom"/>
          </w:tcPr>
          <w:p>
            <w:pPr>
              <w:jc w:val="right"/>
              <w:spacing w:after="0"/>
              <w:rPr>
                <w:sz w:val="20"/>
                <w:szCs w:val="20"/>
                <w:color w:val="auto"/>
              </w:rPr>
            </w:pPr>
            <w:r>
              <w:rPr>
                <w:rFonts w:ascii="Arial" w:cs="Arial" w:eastAsia="Arial" w:hAnsi="Arial"/>
                <w:sz w:val="16"/>
                <w:szCs w:val="16"/>
                <w:color w:val="auto"/>
              </w:rPr>
              <w:t>14 % $</w:t>
            </w:r>
          </w:p>
        </w:tc>
        <w:tc>
          <w:tcPr>
            <w:tcW w:w="1020" w:type="dxa"/>
            <w:vAlign w:val="bottom"/>
          </w:tcPr>
          <w:p>
            <w:pPr>
              <w:jc w:val="right"/>
              <w:spacing w:after="0"/>
              <w:rPr>
                <w:sz w:val="20"/>
                <w:szCs w:val="20"/>
                <w:color w:val="auto"/>
              </w:rPr>
            </w:pPr>
            <w:r>
              <w:rPr>
                <w:rFonts w:ascii="Arial" w:cs="Arial" w:eastAsia="Arial" w:hAnsi="Arial"/>
                <w:sz w:val="16"/>
                <w:szCs w:val="16"/>
                <w:color w:val="auto"/>
              </w:rPr>
              <w:t>26.11</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8 %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800,000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11 %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49.33</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2,045,000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32.79</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1200" w:type="dxa"/>
            <w:vAlign w:val="bottom"/>
          </w:tcPr>
          <w:p>
            <w:pPr>
              <w:jc w:val="right"/>
              <w:spacing w:after="0"/>
              <w:rPr>
                <w:sz w:val="20"/>
                <w:szCs w:val="20"/>
                <w:color w:val="auto"/>
              </w:rPr>
            </w:pPr>
            <w:r>
              <w:rPr>
                <w:rFonts w:ascii="Arial" w:cs="Arial" w:eastAsia="Arial" w:hAnsi="Arial"/>
                <w:sz w:val="16"/>
                <w:szCs w:val="16"/>
                <w:color w:val="auto"/>
              </w:rPr>
              <w:t>1,549,000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10 % $</w:t>
            </w:r>
          </w:p>
        </w:tc>
        <w:tc>
          <w:tcPr>
            <w:tcW w:w="900" w:type="dxa"/>
            <w:vAlign w:val="bottom"/>
          </w:tcPr>
          <w:p>
            <w:pPr>
              <w:jc w:val="right"/>
              <w:spacing w:after="0"/>
              <w:rPr>
                <w:sz w:val="20"/>
                <w:szCs w:val="20"/>
                <w:color w:val="auto"/>
              </w:rPr>
            </w:pPr>
            <w:r>
              <w:rPr>
                <w:rFonts w:ascii="Arial" w:cs="Arial" w:eastAsia="Arial" w:hAnsi="Arial"/>
                <w:sz w:val="16"/>
                <w:szCs w:val="16"/>
                <w:color w:val="auto"/>
              </w:rPr>
              <w:t>25.61</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709,000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10 % $</w:t>
            </w:r>
          </w:p>
        </w:tc>
        <w:tc>
          <w:tcPr>
            <w:tcW w:w="880" w:type="dxa"/>
            <w:vAlign w:val="bottom"/>
          </w:tcPr>
          <w:p>
            <w:pPr>
              <w:jc w:val="right"/>
              <w:spacing w:after="0"/>
              <w:rPr>
                <w:sz w:val="20"/>
                <w:szCs w:val="20"/>
                <w:color w:val="auto"/>
              </w:rPr>
            </w:pPr>
            <w:r>
              <w:rPr>
                <w:rFonts w:ascii="Arial" w:cs="Arial" w:eastAsia="Arial" w:hAnsi="Arial"/>
                <w:sz w:val="16"/>
                <w:szCs w:val="16"/>
                <w:color w:val="auto"/>
              </w:rPr>
              <w:t>50.51</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2,258,000</w:t>
            </w:r>
          </w:p>
        </w:tc>
        <w:tc>
          <w:tcPr>
            <w:tcW w:w="920" w:type="dxa"/>
            <w:vAlign w:val="bottom"/>
          </w:tcPr>
          <w:p>
            <w:pPr>
              <w:jc w:val="right"/>
              <w:spacing w:after="0"/>
              <w:rPr>
                <w:sz w:val="20"/>
                <w:szCs w:val="20"/>
                <w:color w:val="auto"/>
              </w:rPr>
            </w:pPr>
            <w:r>
              <w:rPr>
                <w:rFonts w:ascii="Arial" w:cs="Arial" w:eastAsia="Arial" w:hAnsi="Arial"/>
                <w:sz w:val="16"/>
                <w:szCs w:val="16"/>
                <w:color w:val="auto"/>
              </w:rPr>
              <w:t>10 % $</w:t>
            </w:r>
          </w:p>
        </w:tc>
        <w:tc>
          <w:tcPr>
            <w:tcW w:w="1020" w:type="dxa"/>
            <w:vAlign w:val="bottom"/>
          </w:tcPr>
          <w:p>
            <w:pPr>
              <w:jc w:val="right"/>
              <w:spacing w:after="0"/>
              <w:rPr>
                <w:sz w:val="20"/>
                <w:szCs w:val="20"/>
                <w:color w:val="auto"/>
              </w:rPr>
            </w:pPr>
            <w:r>
              <w:rPr>
                <w:rFonts w:ascii="Arial" w:cs="Arial" w:eastAsia="Arial" w:hAnsi="Arial"/>
                <w:sz w:val="16"/>
                <w:szCs w:val="16"/>
                <w:color w:val="auto"/>
              </w:rPr>
              <w:t>33.43</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441,000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1,526,000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2029</w:t>
            </w:r>
          </w:p>
        </w:tc>
        <w:tc>
          <w:tcPr>
            <w:tcW w:w="1200" w:type="dxa"/>
            <w:vAlign w:val="bottom"/>
          </w:tcPr>
          <w:p>
            <w:pPr>
              <w:jc w:val="right"/>
              <w:spacing w:after="0"/>
              <w:rPr>
                <w:sz w:val="20"/>
                <w:szCs w:val="20"/>
                <w:color w:val="auto"/>
              </w:rPr>
            </w:pPr>
            <w:r>
              <w:rPr>
                <w:rFonts w:ascii="Arial" w:cs="Arial" w:eastAsia="Arial" w:hAnsi="Arial"/>
                <w:sz w:val="16"/>
                <w:szCs w:val="16"/>
                <w:color w:val="auto"/>
              </w:rPr>
              <w:t>1,053,000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7 % $</w:t>
            </w:r>
          </w:p>
        </w:tc>
        <w:tc>
          <w:tcPr>
            <w:tcW w:w="900" w:type="dxa"/>
            <w:vAlign w:val="bottom"/>
          </w:tcPr>
          <w:p>
            <w:pPr>
              <w:jc w:val="right"/>
              <w:spacing w:after="0"/>
              <w:rPr>
                <w:sz w:val="20"/>
                <w:szCs w:val="20"/>
                <w:color w:val="auto"/>
              </w:rPr>
            </w:pPr>
            <w:r>
              <w:rPr>
                <w:rFonts w:ascii="Arial" w:cs="Arial" w:eastAsia="Arial" w:hAnsi="Arial"/>
                <w:sz w:val="16"/>
                <w:szCs w:val="16"/>
                <w:color w:val="auto"/>
              </w:rPr>
              <w:t>28.04</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430,000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tcPr>
          <w:p>
            <w:pPr>
              <w:jc w:val="right"/>
              <w:spacing w:after="0"/>
              <w:rPr>
                <w:sz w:val="20"/>
                <w:szCs w:val="20"/>
                <w:color w:val="auto"/>
              </w:rPr>
            </w:pPr>
            <w:r>
              <w:rPr>
                <w:rFonts w:ascii="Arial" w:cs="Arial" w:eastAsia="Arial" w:hAnsi="Arial"/>
                <w:sz w:val="16"/>
                <w:szCs w:val="16"/>
                <w:color w:val="auto"/>
              </w:rPr>
              <w:t>46.79</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1,483,000</w:t>
            </w:r>
          </w:p>
        </w:tc>
        <w:tc>
          <w:tcPr>
            <w:tcW w:w="920" w:type="dxa"/>
            <w:vAlign w:val="bottom"/>
          </w:tcPr>
          <w:p>
            <w:pPr>
              <w:jc w:val="right"/>
              <w:spacing w:after="0"/>
              <w:rPr>
                <w:sz w:val="20"/>
                <w:szCs w:val="20"/>
                <w:color w:val="auto"/>
              </w:rPr>
            </w:pPr>
            <w:r>
              <w:rPr>
                <w:rFonts w:ascii="Arial" w:cs="Arial" w:eastAsia="Arial" w:hAnsi="Arial"/>
                <w:sz w:val="16"/>
                <w:szCs w:val="16"/>
                <w:color w:val="auto"/>
              </w:rPr>
              <w:t>6 % $</w:t>
            </w:r>
          </w:p>
        </w:tc>
        <w:tc>
          <w:tcPr>
            <w:tcW w:w="1020" w:type="dxa"/>
            <w:vAlign w:val="bottom"/>
          </w:tcPr>
          <w:p>
            <w:pPr>
              <w:jc w:val="right"/>
              <w:spacing w:after="0"/>
              <w:rPr>
                <w:sz w:val="20"/>
                <w:szCs w:val="20"/>
                <w:color w:val="auto"/>
              </w:rPr>
            </w:pPr>
            <w:r>
              <w:rPr>
                <w:rFonts w:ascii="Arial" w:cs="Arial" w:eastAsia="Arial" w:hAnsi="Arial"/>
                <w:sz w:val="16"/>
                <w:szCs w:val="16"/>
                <w:color w:val="auto"/>
              </w:rPr>
              <w:t>33.48</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267,000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1,097,000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2031</w:t>
            </w:r>
          </w:p>
        </w:tc>
        <w:tc>
          <w:tcPr>
            <w:tcW w:w="1200" w:type="dxa"/>
            <w:vAlign w:val="bottom"/>
          </w:tcPr>
          <w:p>
            <w:pPr>
              <w:jc w:val="right"/>
              <w:spacing w:after="0"/>
              <w:rPr>
                <w:sz w:val="20"/>
                <w:szCs w:val="20"/>
                <w:color w:val="auto"/>
              </w:rPr>
            </w:pPr>
            <w:r>
              <w:rPr>
                <w:rFonts w:ascii="Arial" w:cs="Arial" w:eastAsia="Arial" w:hAnsi="Arial"/>
                <w:sz w:val="16"/>
                <w:szCs w:val="16"/>
                <w:color w:val="auto"/>
              </w:rPr>
              <w:t>387,000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2 % $</w:t>
            </w:r>
          </w:p>
        </w:tc>
        <w:tc>
          <w:tcPr>
            <w:tcW w:w="900" w:type="dxa"/>
            <w:vAlign w:val="bottom"/>
          </w:tcPr>
          <w:p>
            <w:pPr>
              <w:jc w:val="right"/>
              <w:spacing w:after="0"/>
              <w:rPr>
                <w:sz w:val="20"/>
                <w:szCs w:val="20"/>
                <w:color w:val="auto"/>
              </w:rPr>
            </w:pPr>
            <w:r>
              <w:rPr>
                <w:rFonts w:ascii="Arial" w:cs="Arial" w:eastAsia="Arial" w:hAnsi="Arial"/>
                <w:sz w:val="16"/>
                <w:szCs w:val="16"/>
                <w:color w:val="auto"/>
              </w:rPr>
              <w:t>30.91</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381,000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5 % $</w:t>
            </w:r>
          </w:p>
        </w:tc>
        <w:tc>
          <w:tcPr>
            <w:tcW w:w="880" w:type="dxa"/>
            <w:vAlign w:val="bottom"/>
          </w:tcPr>
          <w:p>
            <w:pPr>
              <w:jc w:val="right"/>
              <w:spacing w:after="0"/>
              <w:rPr>
                <w:sz w:val="20"/>
                <w:szCs w:val="20"/>
                <w:color w:val="auto"/>
              </w:rPr>
            </w:pPr>
            <w:r>
              <w:rPr>
                <w:rFonts w:ascii="Arial" w:cs="Arial" w:eastAsia="Arial" w:hAnsi="Arial"/>
                <w:sz w:val="16"/>
                <w:szCs w:val="16"/>
                <w:color w:val="auto"/>
              </w:rPr>
              <w:t>43.88</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768,000</w:t>
            </w:r>
          </w:p>
        </w:tc>
        <w:tc>
          <w:tcPr>
            <w:tcW w:w="920" w:type="dxa"/>
            <w:vAlign w:val="bottom"/>
          </w:tcPr>
          <w:p>
            <w:pPr>
              <w:jc w:val="right"/>
              <w:spacing w:after="0"/>
              <w:rPr>
                <w:sz w:val="20"/>
                <w:szCs w:val="20"/>
                <w:color w:val="auto"/>
              </w:rPr>
            </w:pPr>
            <w:r>
              <w:rPr>
                <w:rFonts w:ascii="Arial" w:cs="Arial" w:eastAsia="Arial" w:hAnsi="Arial"/>
                <w:sz w:val="16"/>
                <w:szCs w:val="16"/>
                <w:color w:val="auto"/>
              </w:rPr>
              <w:t>3 % $</w:t>
            </w:r>
          </w:p>
        </w:tc>
        <w:tc>
          <w:tcPr>
            <w:tcW w:w="1020" w:type="dxa"/>
            <w:vAlign w:val="bottom"/>
          </w:tcPr>
          <w:p>
            <w:pPr>
              <w:jc w:val="right"/>
              <w:spacing w:after="0"/>
              <w:rPr>
                <w:sz w:val="20"/>
                <w:szCs w:val="20"/>
                <w:color w:val="auto"/>
              </w:rPr>
            </w:pPr>
            <w:r>
              <w:rPr>
                <w:rFonts w:ascii="Arial" w:cs="Arial" w:eastAsia="Arial" w:hAnsi="Arial"/>
                <w:sz w:val="16"/>
                <w:szCs w:val="16"/>
                <w:color w:val="auto"/>
              </w:rPr>
              <w:t>37.35</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2,497,000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16 %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28.63</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322,000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43.97</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2,819,000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30.38</w:t>
            </w:r>
          </w:p>
        </w:tc>
        <w:tc>
          <w:tcPr>
            <w:tcW w:w="0" w:type="dxa"/>
            <w:vAlign w:val="bottom"/>
          </w:tcPr>
          <w:p>
            <w:pPr>
              <w:spacing w:after="0"/>
              <w:rPr>
                <w:sz w:val="1"/>
                <w:szCs w:val="1"/>
                <w:color w:val="auto"/>
              </w:rPr>
            </w:pPr>
          </w:p>
        </w:tc>
      </w:tr>
      <w:tr>
        <w:trPr>
          <w:trHeight w:val="212"/>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15,650,000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7,206,000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22,857,000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29.69</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0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Assumes all lease options are exercised</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980" w:type="dxa"/>
            <w:vAlign w:val="bottom"/>
          </w:tcPr>
          <w:p>
            <w:pPr>
              <w:spacing w:after="0"/>
              <w:rPr>
                <w:sz w:val="22"/>
                <w:szCs w:val="22"/>
                <w:color w:val="auto"/>
              </w:rPr>
            </w:pPr>
          </w:p>
        </w:tc>
        <w:tc>
          <w:tcPr>
            <w:tcW w:w="222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2"/>
              </w:rPr>
              <w:t>Anchor Tenants (1)</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89"/>
              </w:rPr>
              <w:t>Small Shop Tenants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9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 of Anchor</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9"/>
              </w:rPr>
              <w:t>Minimum Rent</w:t>
            </w:r>
          </w:p>
        </w:tc>
        <w:tc>
          <w:tcPr>
            <w:tcW w:w="220" w:type="dxa"/>
            <w:vAlign w:val="bottom"/>
          </w:tcPr>
          <w:p>
            <w:pPr>
              <w:spacing w:after="0"/>
              <w:rPr>
                <w:sz w:val="11"/>
                <w:szCs w:val="11"/>
                <w:color w:val="auto"/>
              </w:rPr>
            </w:pPr>
          </w:p>
        </w:tc>
        <w:tc>
          <w:tcPr>
            <w:tcW w:w="12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of Small</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240" w:type="dxa"/>
            <w:vAlign w:val="bottom"/>
          </w:tcPr>
          <w:p>
            <w:pPr>
              <w:spacing w:after="0"/>
              <w:rPr>
                <w:sz w:val="11"/>
                <w:szCs w:val="11"/>
                <w:color w:val="auto"/>
              </w:rPr>
            </w:pPr>
          </w:p>
        </w:tc>
        <w:tc>
          <w:tcPr>
            <w:tcW w:w="13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920" w:type="dxa"/>
            <w:vAlign w:val="bottom"/>
          </w:tcPr>
          <w:p>
            <w:pPr>
              <w:jc w:val="right"/>
              <w:ind w:right="101"/>
              <w:spacing w:after="0" w:line="135" w:lineRule="exact"/>
              <w:rPr>
                <w:sz w:val="20"/>
                <w:szCs w:val="20"/>
                <w:color w:val="auto"/>
              </w:rPr>
            </w:pPr>
            <w:r>
              <w:rPr>
                <w:rFonts w:ascii="Arial" w:cs="Arial" w:eastAsia="Arial" w:hAnsi="Arial"/>
                <w:sz w:val="14"/>
                <w:szCs w:val="14"/>
                <w:b w:val="1"/>
                <w:bCs w:val="1"/>
                <w:color w:val="auto"/>
              </w:rPr>
              <w:t>% of Total</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88"/>
        </w:trPr>
        <w:tc>
          <w:tcPr>
            <w:tcW w:w="9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SF</w:t>
            </w:r>
          </w:p>
        </w:tc>
        <w:tc>
          <w:tcPr>
            <w:tcW w:w="1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40" w:type="dxa"/>
            <w:vAlign w:val="bottom"/>
            <w:vMerge w:val="continue"/>
          </w:tcPr>
          <w:p>
            <w:pPr>
              <w:spacing w:after="0"/>
              <w:rPr>
                <w:sz w:val="16"/>
                <w:szCs w:val="16"/>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Shop SF</w:t>
            </w:r>
          </w:p>
        </w:tc>
        <w:tc>
          <w:tcPr>
            <w:tcW w:w="1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300" w:type="dxa"/>
            <w:vAlign w:val="bottom"/>
            <w:vMerge w:val="continue"/>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SF</w:t>
            </w: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11"/>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769,000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11 % $</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39.82</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1,306,000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 $</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30.01</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tcPr>
          <w:p>
            <w:pPr>
              <w:jc w:val="right"/>
              <w:spacing w:after="0"/>
              <w:rPr>
                <w:sz w:val="20"/>
                <w:szCs w:val="20"/>
                <w:color w:val="auto"/>
              </w:rPr>
            </w:pPr>
            <w:r>
              <w:rPr>
                <w:rFonts w:ascii="Arial" w:cs="Arial" w:eastAsia="Arial" w:hAnsi="Arial"/>
                <w:sz w:val="16"/>
                <w:szCs w:val="16"/>
                <w:color w:val="auto"/>
              </w:rPr>
              <w:t>369,000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2 % $</w:t>
            </w:r>
          </w:p>
        </w:tc>
        <w:tc>
          <w:tcPr>
            <w:tcW w:w="900" w:type="dxa"/>
            <w:vAlign w:val="bottom"/>
          </w:tcPr>
          <w:p>
            <w:pPr>
              <w:jc w:val="right"/>
              <w:spacing w:after="0"/>
              <w:rPr>
                <w:sz w:val="20"/>
                <w:szCs w:val="20"/>
                <w:color w:val="auto"/>
              </w:rPr>
            </w:pPr>
            <w:r>
              <w:rPr>
                <w:rFonts w:ascii="Arial" w:cs="Arial" w:eastAsia="Arial" w:hAnsi="Arial"/>
                <w:sz w:val="16"/>
                <w:szCs w:val="16"/>
                <w:color w:val="auto"/>
              </w:rPr>
              <w:t>23.56</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672,000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9 % $</w:t>
            </w:r>
          </w:p>
        </w:tc>
        <w:tc>
          <w:tcPr>
            <w:tcW w:w="880" w:type="dxa"/>
            <w:vAlign w:val="bottom"/>
          </w:tcPr>
          <w:p>
            <w:pPr>
              <w:jc w:val="right"/>
              <w:spacing w:after="0"/>
              <w:rPr>
                <w:sz w:val="20"/>
                <w:szCs w:val="20"/>
                <w:color w:val="auto"/>
              </w:rPr>
            </w:pPr>
            <w:r>
              <w:rPr>
                <w:rFonts w:ascii="Arial" w:cs="Arial" w:eastAsia="Arial" w:hAnsi="Arial"/>
                <w:sz w:val="16"/>
                <w:szCs w:val="16"/>
                <w:color w:val="auto"/>
              </w:rPr>
              <w:t>41.49</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1,041,000</w:t>
            </w:r>
          </w:p>
        </w:tc>
        <w:tc>
          <w:tcPr>
            <w:tcW w:w="920" w:type="dxa"/>
            <w:vAlign w:val="bottom"/>
          </w:tcPr>
          <w:p>
            <w:pPr>
              <w:jc w:val="right"/>
              <w:spacing w:after="0"/>
              <w:rPr>
                <w:sz w:val="20"/>
                <w:szCs w:val="20"/>
                <w:color w:val="auto"/>
              </w:rPr>
            </w:pPr>
            <w:r>
              <w:rPr>
                <w:rFonts w:ascii="Arial" w:cs="Arial" w:eastAsia="Arial" w:hAnsi="Arial"/>
                <w:sz w:val="16"/>
                <w:szCs w:val="16"/>
                <w:color w:val="auto"/>
              </w:rPr>
              <w:t>5 % $</w:t>
            </w:r>
          </w:p>
        </w:tc>
        <w:tc>
          <w:tcPr>
            <w:tcW w:w="1020" w:type="dxa"/>
            <w:vAlign w:val="bottom"/>
          </w:tcPr>
          <w:p>
            <w:pPr>
              <w:jc w:val="right"/>
              <w:spacing w:after="0"/>
              <w:rPr>
                <w:sz w:val="20"/>
                <w:szCs w:val="20"/>
                <w:color w:val="auto"/>
              </w:rPr>
            </w:pPr>
            <w:r>
              <w:rPr>
                <w:rFonts w:ascii="Arial" w:cs="Arial" w:eastAsia="Arial" w:hAnsi="Arial"/>
                <w:sz w:val="16"/>
                <w:szCs w:val="16"/>
                <w:color w:val="auto"/>
              </w:rPr>
              <w:t>35.13</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563,000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8 %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1,140,000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00" w:type="dxa"/>
            <w:vAlign w:val="bottom"/>
          </w:tcPr>
          <w:p>
            <w:pPr>
              <w:jc w:val="right"/>
              <w:spacing w:after="0"/>
              <w:rPr>
                <w:sz w:val="20"/>
                <w:szCs w:val="20"/>
                <w:color w:val="auto"/>
              </w:rPr>
            </w:pPr>
            <w:r>
              <w:rPr>
                <w:rFonts w:ascii="Arial" w:cs="Arial" w:eastAsia="Arial" w:hAnsi="Arial"/>
                <w:sz w:val="16"/>
                <w:szCs w:val="16"/>
                <w:color w:val="auto"/>
              </w:rPr>
              <w:t>700,000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5 % $</w:t>
            </w:r>
          </w:p>
        </w:tc>
        <w:tc>
          <w:tcPr>
            <w:tcW w:w="900" w:type="dxa"/>
            <w:vAlign w:val="bottom"/>
          </w:tcPr>
          <w:p>
            <w:pPr>
              <w:jc w:val="right"/>
              <w:spacing w:after="0"/>
              <w:rPr>
                <w:sz w:val="20"/>
                <w:szCs w:val="20"/>
                <w:color w:val="auto"/>
              </w:rPr>
            </w:pPr>
            <w:r>
              <w:rPr>
                <w:rFonts w:ascii="Arial" w:cs="Arial" w:eastAsia="Arial" w:hAnsi="Arial"/>
                <w:sz w:val="16"/>
                <w:szCs w:val="16"/>
                <w:color w:val="auto"/>
              </w:rPr>
              <w:t>16.07</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673,000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9 % $</w:t>
            </w:r>
          </w:p>
        </w:tc>
        <w:tc>
          <w:tcPr>
            <w:tcW w:w="880" w:type="dxa"/>
            <w:vAlign w:val="bottom"/>
          </w:tcPr>
          <w:p>
            <w:pPr>
              <w:jc w:val="right"/>
              <w:spacing w:after="0"/>
              <w:rPr>
                <w:sz w:val="20"/>
                <w:szCs w:val="20"/>
                <w:color w:val="auto"/>
              </w:rPr>
            </w:pPr>
            <w:r>
              <w:rPr>
                <w:rFonts w:ascii="Arial" w:cs="Arial" w:eastAsia="Arial" w:hAnsi="Arial"/>
                <w:sz w:val="16"/>
                <w:szCs w:val="16"/>
                <w:color w:val="auto"/>
              </w:rPr>
              <w:t>37.81</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1,374,000</w:t>
            </w:r>
          </w:p>
        </w:tc>
        <w:tc>
          <w:tcPr>
            <w:tcW w:w="920" w:type="dxa"/>
            <w:vAlign w:val="bottom"/>
          </w:tcPr>
          <w:p>
            <w:pPr>
              <w:jc w:val="right"/>
              <w:spacing w:after="0"/>
              <w:rPr>
                <w:sz w:val="20"/>
                <w:szCs w:val="20"/>
                <w:color w:val="auto"/>
              </w:rPr>
            </w:pPr>
            <w:r>
              <w:rPr>
                <w:rFonts w:ascii="Arial" w:cs="Arial" w:eastAsia="Arial" w:hAnsi="Arial"/>
                <w:sz w:val="16"/>
                <w:szCs w:val="16"/>
                <w:color w:val="auto"/>
              </w:rPr>
              <w:t>6 % $</w:t>
            </w:r>
          </w:p>
        </w:tc>
        <w:tc>
          <w:tcPr>
            <w:tcW w:w="1020" w:type="dxa"/>
            <w:vAlign w:val="bottom"/>
          </w:tcPr>
          <w:p>
            <w:pPr>
              <w:jc w:val="right"/>
              <w:spacing w:after="0"/>
              <w:rPr>
                <w:sz w:val="20"/>
                <w:szCs w:val="20"/>
                <w:color w:val="auto"/>
              </w:rPr>
            </w:pPr>
            <w:r>
              <w:rPr>
                <w:rFonts w:ascii="Arial" w:cs="Arial" w:eastAsia="Arial" w:hAnsi="Arial"/>
                <w:sz w:val="16"/>
                <w:szCs w:val="16"/>
                <w:color w:val="auto"/>
              </w:rPr>
              <w:t>26.73</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429,000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771,000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1200" w:type="dxa"/>
            <w:vAlign w:val="bottom"/>
          </w:tcPr>
          <w:p>
            <w:pPr>
              <w:jc w:val="right"/>
              <w:spacing w:after="0"/>
              <w:rPr>
                <w:sz w:val="20"/>
                <w:szCs w:val="20"/>
                <w:color w:val="auto"/>
              </w:rPr>
            </w:pPr>
            <w:r>
              <w:rPr>
                <w:rFonts w:ascii="Arial" w:cs="Arial" w:eastAsia="Arial" w:hAnsi="Arial"/>
                <w:sz w:val="16"/>
                <w:szCs w:val="16"/>
                <w:color w:val="auto"/>
              </w:rPr>
              <w:t>509,000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3 % $</w:t>
            </w:r>
          </w:p>
        </w:tc>
        <w:tc>
          <w:tcPr>
            <w:tcW w:w="900" w:type="dxa"/>
            <w:vAlign w:val="bottom"/>
          </w:tcPr>
          <w:p>
            <w:pPr>
              <w:jc w:val="right"/>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397,000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5 % $</w:t>
            </w:r>
          </w:p>
        </w:tc>
        <w:tc>
          <w:tcPr>
            <w:tcW w:w="880" w:type="dxa"/>
            <w:vAlign w:val="bottom"/>
          </w:tcPr>
          <w:p>
            <w:pPr>
              <w:jc w:val="right"/>
              <w:spacing w:after="0"/>
              <w:rPr>
                <w:sz w:val="20"/>
                <w:szCs w:val="20"/>
                <w:color w:val="auto"/>
              </w:rPr>
            </w:pPr>
            <w:r>
              <w:rPr>
                <w:rFonts w:ascii="Arial" w:cs="Arial" w:eastAsia="Arial" w:hAnsi="Arial"/>
                <w:sz w:val="16"/>
                <w:szCs w:val="16"/>
                <w:color w:val="auto"/>
              </w:rPr>
              <w:t>51.61</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906,000</w:t>
            </w:r>
          </w:p>
        </w:tc>
        <w:tc>
          <w:tcPr>
            <w:tcW w:w="920" w:type="dxa"/>
            <w:vAlign w:val="bottom"/>
          </w:tcPr>
          <w:p>
            <w:pPr>
              <w:jc w:val="right"/>
              <w:spacing w:after="0"/>
              <w:rPr>
                <w:sz w:val="20"/>
                <w:szCs w:val="20"/>
                <w:color w:val="auto"/>
              </w:rPr>
            </w:pPr>
            <w:r>
              <w:rPr>
                <w:rFonts w:ascii="Arial" w:cs="Arial" w:eastAsia="Arial" w:hAnsi="Arial"/>
                <w:sz w:val="16"/>
                <w:szCs w:val="16"/>
                <w:color w:val="auto"/>
              </w:rPr>
              <w:t>4 % $</w:t>
            </w:r>
          </w:p>
        </w:tc>
        <w:tc>
          <w:tcPr>
            <w:tcW w:w="1020" w:type="dxa"/>
            <w:vAlign w:val="bottom"/>
          </w:tcPr>
          <w:p>
            <w:pPr>
              <w:jc w:val="right"/>
              <w:spacing w:after="0"/>
              <w:rPr>
                <w:sz w:val="20"/>
                <w:szCs w:val="20"/>
                <w:color w:val="auto"/>
              </w:rPr>
            </w:pPr>
            <w:r>
              <w:rPr>
                <w:rFonts w:ascii="Arial" w:cs="Arial" w:eastAsia="Arial" w:hAnsi="Arial"/>
                <w:sz w:val="16"/>
                <w:szCs w:val="16"/>
                <w:color w:val="auto"/>
              </w:rPr>
              <w:t>33.98</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380,000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1,192,000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2029</w:t>
            </w:r>
          </w:p>
        </w:tc>
        <w:tc>
          <w:tcPr>
            <w:tcW w:w="1200" w:type="dxa"/>
            <w:vAlign w:val="bottom"/>
          </w:tcPr>
          <w:p>
            <w:pPr>
              <w:jc w:val="right"/>
              <w:spacing w:after="0"/>
              <w:rPr>
                <w:sz w:val="20"/>
                <w:szCs w:val="20"/>
                <w:color w:val="auto"/>
              </w:rPr>
            </w:pPr>
            <w:r>
              <w:rPr>
                <w:rFonts w:ascii="Arial" w:cs="Arial" w:eastAsia="Arial" w:hAnsi="Arial"/>
                <w:sz w:val="16"/>
                <w:szCs w:val="16"/>
                <w:color w:val="auto"/>
              </w:rPr>
              <w:t>775,000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5 % $</w:t>
            </w:r>
          </w:p>
        </w:tc>
        <w:tc>
          <w:tcPr>
            <w:tcW w:w="900" w:type="dxa"/>
            <w:vAlign w:val="bottom"/>
          </w:tcPr>
          <w:p>
            <w:pPr>
              <w:jc w:val="right"/>
              <w:spacing w:after="0"/>
              <w:rPr>
                <w:sz w:val="20"/>
                <w:szCs w:val="20"/>
                <w:color w:val="auto"/>
              </w:rPr>
            </w:pPr>
            <w:r>
              <w:rPr>
                <w:rFonts w:ascii="Arial" w:cs="Arial" w:eastAsia="Arial" w:hAnsi="Arial"/>
                <w:sz w:val="16"/>
                <w:szCs w:val="16"/>
                <w:color w:val="auto"/>
              </w:rPr>
              <w:t>24.30</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404,000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tcPr>
          <w:p>
            <w:pPr>
              <w:jc w:val="right"/>
              <w:spacing w:after="0"/>
              <w:rPr>
                <w:sz w:val="20"/>
                <w:szCs w:val="20"/>
                <w:color w:val="auto"/>
              </w:rPr>
            </w:pPr>
            <w:r>
              <w:rPr>
                <w:rFonts w:ascii="Arial" w:cs="Arial" w:eastAsia="Arial" w:hAnsi="Arial"/>
                <w:sz w:val="16"/>
                <w:szCs w:val="16"/>
                <w:color w:val="auto"/>
              </w:rPr>
              <w:t>44.38</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1,178,000</w:t>
            </w:r>
          </w:p>
        </w:tc>
        <w:tc>
          <w:tcPr>
            <w:tcW w:w="920" w:type="dxa"/>
            <w:vAlign w:val="bottom"/>
          </w:tcPr>
          <w:p>
            <w:pPr>
              <w:jc w:val="right"/>
              <w:spacing w:after="0"/>
              <w:rPr>
                <w:sz w:val="20"/>
                <w:szCs w:val="20"/>
                <w:color w:val="auto"/>
              </w:rPr>
            </w:pPr>
            <w:r>
              <w:rPr>
                <w:rFonts w:ascii="Arial" w:cs="Arial" w:eastAsia="Arial" w:hAnsi="Arial"/>
                <w:sz w:val="16"/>
                <w:szCs w:val="16"/>
                <w:color w:val="auto"/>
              </w:rPr>
              <w:t>5 % $</w:t>
            </w:r>
          </w:p>
        </w:tc>
        <w:tc>
          <w:tcPr>
            <w:tcW w:w="1020" w:type="dxa"/>
            <w:vAlign w:val="bottom"/>
          </w:tcPr>
          <w:p>
            <w:pPr>
              <w:jc w:val="right"/>
              <w:spacing w:after="0"/>
              <w:rPr>
                <w:sz w:val="20"/>
                <w:szCs w:val="20"/>
                <w:color w:val="auto"/>
              </w:rPr>
            </w:pPr>
            <w:r>
              <w:rPr>
                <w:rFonts w:ascii="Arial" w:cs="Arial" w:eastAsia="Arial" w:hAnsi="Arial"/>
                <w:sz w:val="16"/>
                <w:szCs w:val="16"/>
                <w:color w:val="auto"/>
              </w:rPr>
              <w:t>31.18</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350,000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931,000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2031</w:t>
            </w:r>
          </w:p>
        </w:tc>
        <w:tc>
          <w:tcPr>
            <w:tcW w:w="1200" w:type="dxa"/>
            <w:vAlign w:val="bottom"/>
          </w:tcPr>
          <w:p>
            <w:pPr>
              <w:jc w:val="right"/>
              <w:spacing w:after="0"/>
              <w:rPr>
                <w:sz w:val="20"/>
                <w:szCs w:val="20"/>
                <w:color w:val="auto"/>
              </w:rPr>
            </w:pPr>
            <w:r>
              <w:rPr>
                <w:rFonts w:ascii="Arial" w:cs="Arial" w:eastAsia="Arial" w:hAnsi="Arial"/>
                <w:sz w:val="16"/>
                <w:szCs w:val="16"/>
                <w:color w:val="auto"/>
              </w:rPr>
              <w:t>224,000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2 % $</w:t>
            </w:r>
          </w:p>
        </w:tc>
        <w:tc>
          <w:tcPr>
            <w:tcW w:w="900" w:type="dxa"/>
            <w:vAlign w:val="bottom"/>
          </w:tcPr>
          <w:p>
            <w:pPr>
              <w:jc w:val="right"/>
              <w:spacing w:after="0"/>
              <w:rPr>
                <w:sz w:val="20"/>
                <w:szCs w:val="20"/>
                <w:color w:val="auto"/>
              </w:rPr>
            </w:pPr>
            <w:r>
              <w:rPr>
                <w:rFonts w:ascii="Arial" w:cs="Arial" w:eastAsia="Arial" w:hAnsi="Arial"/>
                <w:sz w:val="16"/>
                <w:szCs w:val="16"/>
                <w:color w:val="auto"/>
              </w:rPr>
              <w:t>29.50</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366,000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5 % $</w:t>
            </w:r>
          </w:p>
        </w:tc>
        <w:tc>
          <w:tcPr>
            <w:tcW w:w="880" w:type="dxa"/>
            <w:vAlign w:val="bottom"/>
          </w:tcPr>
          <w:p>
            <w:pPr>
              <w:jc w:val="right"/>
              <w:spacing w:after="0"/>
              <w:rPr>
                <w:sz w:val="20"/>
                <w:szCs w:val="20"/>
                <w:color w:val="auto"/>
              </w:rPr>
            </w:pPr>
            <w:r>
              <w:rPr>
                <w:rFonts w:ascii="Arial" w:cs="Arial" w:eastAsia="Arial" w:hAnsi="Arial"/>
                <w:sz w:val="16"/>
                <w:szCs w:val="16"/>
                <w:color w:val="auto"/>
              </w:rPr>
              <w:t>46.48</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590,000</w:t>
            </w:r>
          </w:p>
        </w:tc>
        <w:tc>
          <w:tcPr>
            <w:tcW w:w="920" w:type="dxa"/>
            <w:vAlign w:val="bottom"/>
          </w:tcPr>
          <w:p>
            <w:pPr>
              <w:jc w:val="right"/>
              <w:spacing w:after="0"/>
              <w:rPr>
                <w:sz w:val="20"/>
                <w:szCs w:val="20"/>
                <w:color w:val="auto"/>
              </w:rPr>
            </w:pPr>
            <w:r>
              <w:rPr>
                <w:rFonts w:ascii="Arial" w:cs="Arial" w:eastAsia="Arial" w:hAnsi="Arial"/>
                <w:sz w:val="16"/>
                <w:szCs w:val="16"/>
                <w:color w:val="auto"/>
              </w:rPr>
              <w:t>3 % $</w:t>
            </w:r>
          </w:p>
        </w:tc>
        <w:tc>
          <w:tcPr>
            <w:tcW w:w="1020" w:type="dxa"/>
            <w:vAlign w:val="bottom"/>
          </w:tcPr>
          <w:p>
            <w:pPr>
              <w:jc w:val="right"/>
              <w:spacing w:after="0"/>
              <w:rPr>
                <w:sz w:val="20"/>
                <w:szCs w:val="20"/>
                <w:color w:val="auto"/>
              </w:rPr>
            </w:pPr>
            <w:r>
              <w:rPr>
                <w:rFonts w:ascii="Arial" w:cs="Arial" w:eastAsia="Arial" w:hAnsi="Arial"/>
                <w:sz w:val="16"/>
                <w:szCs w:val="16"/>
                <w:color w:val="auto"/>
              </w:rPr>
              <w:t>40.03</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10,224,000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65 %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23.43</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2,203,000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31 %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49.46</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12,428,000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212"/>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15,650,000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7,206,000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22,857,000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1000" w:hanging="994"/>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Anchor is defined as a commercial tenant leasing 10,000 square feet or more.</w:t>
      </w:r>
    </w:p>
    <w:p>
      <w:pPr>
        <w:spacing w:after="0" w:line="32" w:lineRule="exact"/>
        <w:rPr>
          <w:rFonts w:ascii="Arial" w:cs="Arial" w:eastAsia="Arial" w:hAnsi="Arial"/>
          <w:sz w:val="16"/>
          <w:szCs w:val="16"/>
          <w:color w:val="auto"/>
        </w:rPr>
      </w:pPr>
    </w:p>
    <w:p>
      <w:pPr>
        <w:ind w:left="1000" w:right="700" w:hanging="994"/>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rents on a cash basis without taking the impacts of rent abatements into account) rent as of December 31, 2021.</w:t>
      </w:r>
    </w:p>
    <w:p>
      <w:pPr>
        <w:spacing w:after="0" w:line="10" w:lineRule="exact"/>
        <w:rPr>
          <w:rFonts w:ascii="Arial" w:cs="Arial" w:eastAsia="Arial" w:hAnsi="Arial"/>
          <w:sz w:val="16"/>
          <w:szCs w:val="16"/>
          <w:color w:val="auto"/>
        </w:rPr>
      </w:pPr>
    </w:p>
    <w:p>
      <w:pPr>
        <w:ind w:left="1000" w:hanging="994"/>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occupied square footage of the commercial portion of our portfolio as of December 31, 2021.</w:t>
      </w:r>
    </w:p>
    <w:p>
      <w:pPr>
        <w:spacing w:after="0" w:line="32" w:lineRule="exact"/>
        <w:rPr>
          <w:rFonts w:ascii="Arial" w:cs="Arial" w:eastAsia="Arial" w:hAnsi="Arial"/>
          <w:sz w:val="16"/>
          <w:szCs w:val="16"/>
          <w:color w:val="auto"/>
        </w:rPr>
      </w:pPr>
    </w:p>
    <w:p>
      <w:pPr>
        <w:ind w:left="1000" w:hanging="994"/>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360" w:top="93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gridSpan w:val="4"/>
          </w:tcPr>
          <w:p>
            <w:pPr>
              <w:spacing w:after="0"/>
              <w:rPr>
                <w:sz w:val="20"/>
                <w:szCs w:val="20"/>
                <w:color w:val="auto"/>
              </w:rPr>
            </w:pPr>
            <w:r>
              <w:rPr>
                <w:rFonts w:ascii="Arial" w:cs="Arial" w:eastAsia="Arial" w:hAnsi="Arial"/>
                <w:sz w:val="16"/>
                <w:szCs w:val="16"/>
                <w:b w:val="1"/>
                <w:bCs w:val="1"/>
                <w:color w:val="auto"/>
              </w:rPr>
              <w:t>Overall Portfolio Statistics (1)</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2"/>
        </w:trPr>
        <w:tc>
          <w:tcPr>
            <w:tcW w:w="4320" w:type="dxa"/>
            <w:vAlign w:val="bottom"/>
            <w:gridSpan w:val="4"/>
          </w:tcPr>
          <w:p>
            <w:pPr>
              <w:spacing w:after="0"/>
              <w:rPr>
                <w:sz w:val="20"/>
                <w:szCs w:val="20"/>
                <w:color w:val="auto"/>
              </w:rPr>
            </w:pPr>
            <w:r>
              <w:rPr>
                <w:rFonts w:ascii="Arial" w:cs="Arial" w:eastAsia="Arial" w:hAnsi="Arial"/>
                <w:sz w:val="16"/>
                <w:szCs w:val="16"/>
                <w:color w:val="auto"/>
              </w:rPr>
              <w:t>Type</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Size</w:t>
            </w:r>
          </w:p>
        </w:tc>
        <w:tc>
          <w:tcPr>
            <w:tcW w:w="64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102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Leased %</w:t>
            </w:r>
          </w:p>
        </w:tc>
        <w:tc>
          <w:tcPr>
            <w:tcW w:w="1080" w:type="dxa"/>
            <w:vAlign w:val="bottom"/>
            <w:gridSpan w:val="3"/>
          </w:tcPr>
          <w:p>
            <w:pPr>
              <w:ind w:left="780"/>
              <w:spacing w:after="0"/>
              <w:rPr>
                <w:sz w:val="20"/>
                <w:szCs w:val="20"/>
                <w:color w:val="auto"/>
              </w:rPr>
            </w:pPr>
            <w:r>
              <w:rPr>
                <w:rFonts w:ascii="Arial" w:cs="Arial" w:eastAsia="Arial" w:hAnsi="Arial"/>
                <w:sz w:val="16"/>
                <w:szCs w:val="16"/>
                <w:color w:val="auto"/>
                <w:w w:val="89"/>
              </w:rPr>
              <w:t>Size</w:t>
            </w:r>
          </w:p>
        </w:tc>
        <w:tc>
          <w:tcPr>
            <w:tcW w:w="6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Leased</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w w:val="87"/>
              </w:rPr>
              <w:t>Leased %</w:t>
            </w:r>
          </w:p>
        </w:tc>
      </w:tr>
      <w:tr>
        <w:trPr>
          <w:trHeight w:val="237"/>
        </w:trPr>
        <w:tc>
          <w:tcPr>
            <w:tcW w:w="320" w:type="dxa"/>
            <w:vAlign w:val="bottom"/>
            <w:tcBorders>
              <w:top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3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Commercial Properties (2) (3) (4) (SF)</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25,102,000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23,494,000</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93.6 %</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23,378,000</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21,562,000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92.2 %</w:t>
            </w:r>
          </w:p>
        </w:tc>
      </w:tr>
      <w:tr>
        <w:trPr>
          <w:trHeight w:val="216"/>
        </w:trPr>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Residential Properties (5) (units)</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2,869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97.2 %</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2,869</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92.6 %</w:t>
            </w:r>
          </w:p>
        </w:tc>
      </w:tr>
      <w:tr>
        <w:trPr>
          <w:trHeight w:val="648"/>
        </w:trPr>
        <w:tc>
          <w:tcPr>
            <w:tcW w:w="4320" w:type="dxa"/>
            <w:vAlign w:val="bottom"/>
            <w:gridSpan w:val="4"/>
          </w:tcPr>
          <w:p>
            <w:pPr>
              <w:spacing w:after="0"/>
              <w:rPr>
                <w:sz w:val="20"/>
                <w:szCs w:val="20"/>
                <w:color w:val="auto"/>
              </w:rPr>
            </w:pPr>
            <w:r>
              <w:rPr>
                <w:rFonts w:ascii="Arial" w:cs="Arial" w:eastAsia="Arial" w:hAnsi="Arial"/>
                <w:sz w:val="16"/>
                <w:szCs w:val="16"/>
                <w:b w:val="1"/>
                <w:bCs w:val="1"/>
                <w:color w:val="auto"/>
              </w:rPr>
              <w:t>Comparable Property Statistics (1)</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32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1"/>
        </w:trPr>
        <w:tc>
          <w:tcPr>
            <w:tcW w:w="4320" w:type="dxa"/>
            <w:vAlign w:val="bottom"/>
            <w:gridSpan w:val="4"/>
          </w:tcPr>
          <w:p>
            <w:pPr>
              <w:spacing w:after="0"/>
              <w:rPr>
                <w:sz w:val="20"/>
                <w:szCs w:val="20"/>
                <w:color w:val="auto"/>
              </w:rPr>
            </w:pPr>
            <w:r>
              <w:rPr>
                <w:rFonts w:ascii="Arial" w:cs="Arial" w:eastAsia="Arial" w:hAnsi="Arial"/>
                <w:sz w:val="16"/>
                <w:szCs w:val="16"/>
                <w:color w:val="auto"/>
              </w:rPr>
              <w:t>Type</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Size</w:t>
            </w:r>
          </w:p>
        </w:tc>
        <w:tc>
          <w:tcPr>
            <w:tcW w:w="64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102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Leased %</w:t>
            </w:r>
          </w:p>
        </w:tc>
        <w:tc>
          <w:tcPr>
            <w:tcW w:w="1080" w:type="dxa"/>
            <w:vAlign w:val="bottom"/>
            <w:gridSpan w:val="3"/>
          </w:tcPr>
          <w:p>
            <w:pPr>
              <w:ind w:left="780"/>
              <w:spacing w:after="0"/>
              <w:rPr>
                <w:sz w:val="20"/>
                <w:szCs w:val="20"/>
                <w:color w:val="auto"/>
              </w:rPr>
            </w:pPr>
            <w:r>
              <w:rPr>
                <w:rFonts w:ascii="Arial" w:cs="Arial" w:eastAsia="Arial" w:hAnsi="Arial"/>
                <w:sz w:val="16"/>
                <w:szCs w:val="16"/>
                <w:color w:val="auto"/>
                <w:w w:val="89"/>
              </w:rPr>
              <w:t>Size</w:t>
            </w:r>
          </w:p>
        </w:tc>
        <w:tc>
          <w:tcPr>
            <w:tcW w:w="6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Leased</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w w:val="87"/>
              </w:rPr>
              <w:t>Leased %</w:t>
            </w:r>
          </w:p>
        </w:tc>
      </w:tr>
      <w:tr>
        <w:trPr>
          <w:trHeight w:val="237"/>
        </w:trPr>
        <w:tc>
          <w:tcPr>
            <w:tcW w:w="320" w:type="dxa"/>
            <w:vAlign w:val="bottom"/>
            <w:tcBorders>
              <w:top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3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Commercial Properties (2) (3) (SF)</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22,264,000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20,817,000</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93.5 %</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22,292,000</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20,577,000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92.3 %</w:t>
            </w:r>
          </w:p>
        </w:tc>
      </w:tr>
      <w:tr>
        <w:trPr>
          <w:trHeight w:val="216"/>
        </w:trPr>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Residential Properties (6) (units)</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97.2 %</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2,780</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2,636</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94.8 %</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660" w:hanging="654"/>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32" w:lineRule="exact"/>
        <w:rPr>
          <w:rFonts w:ascii="Arial" w:cs="Arial" w:eastAsia="Arial" w:hAnsi="Arial"/>
          <w:sz w:val="16"/>
          <w:szCs w:val="16"/>
          <w:color w:val="auto"/>
        </w:rPr>
      </w:pPr>
    </w:p>
    <w:p>
      <w:pPr>
        <w:ind w:left="660" w:right="160" w:hanging="654"/>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Occupied percentage was 91.1% and 90.2% at December 31, 2021 and 2020, respectively, and comparable property occupied percentage was 90.9% and 90.5% at December 31, 2021 and 2020, respectively.</w:t>
      </w:r>
    </w:p>
    <w:p>
      <w:pPr>
        <w:spacing w:after="0" w:line="10" w:lineRule="exact"/>
        <w:rPr>
          <w:rFonts w:ascii="Arial" w:cs="Arial" w:eastAsia="Arial" w:hAnsi="Arial"/>
          <w:sz w:val="16"/>
          <w:szCs w:val="16"/>
          <w:color w:val="auto"/>
        </w:rPr>
      </w:pPr>
    </w:p>
    <w:p>
      <w:pPr>
        <w:ind w:left="660" w:hanging="654"/>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32" w:lineRule="exact"/>
        <w:rPr>
          <w:rFonts w:ascii="Arial" w:cs="Arial" w:eastAsia="Arial" w:hAnsi="Arial"/>
          <w:sz w:val="16"/>
          <w:szCs w:val="16"/>
          <w:color w:val="auto"/>
        </w:rPr>
      </w:pPr>
    </w:p>
    <w:p>
      <w:pPr>
        <w:ind w:left="660" w:hanging="654"/>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 December 31, 2021, the leased percentage was 96.8% for anchor tenants and 87.4% for small shop tenants.</w:t>
      </w:r>
    </w:p>
    <w:p>
      <w:pPr>
        <w:spacing w:after="0" w:line="32" w:lineRule="exact"/>
        <w:rPr>
          <w:rFonts w:ascii="Arial" w:cs="Arial" w:eastAsia="Arial" w:hAnsi="Arial"/>
          <w:sz w:val="16"/>
          <w:szCs w:val="16"/>
          <w:color w:val="auto"/>
        </w:rPr>
      </w:pPr>
    </w:p>
    <w:p>
      <w:pPr>
        <w:ind w:left="660" w:right="100" w:hanging="654"/>
        <w:spacing w:after="0" w:line="230"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residential metrics exclude "Miscela," our new residential building that opened at Assembly Row in 3Q21, and is currently in the process of being leased-up for the first time. If these units were included, our total residential units would be 3,369 and our percentage leased would be 91.1%. At December 31, 2021, Miscela was 55.8% leased.</w:t>
      </w:r>
    </w:p>
    <w:p>
      <w:pPr>
        <w:spacing w:after="0" w:line="11" w:lineRule="exact"/>
        <w:rPr>
          <w:rFonts w:ascii="Arial" w:cs="Arial" w:eastAsia="Arial" w:hAnsi="Arial"/>
          <w:sz w:val="16"/>
          <w:szCs w:val="16"/>
          <w:color w:val="auto"/>
        </w:rPr>
      </w:pPr>
    </w:p>
    <w:p>
      <w:pPr>
        <w:ind w:left="660" w:right="620" w:hanging="654"/>
        <w:spacing w:after="0" w:line="258"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Excludes “The Delwyn,” our 87 unit residential building that opened at Bala Cynwyd in late 2020 and was leased-up for the first time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60" w:top="931" w:right="359" w:bottom="1440" w:gutter="0" w:footer="0" w:header="0"/>
        </w:sectPr>
      </w:pPr>
    </w:p>
    <w:bookmarkStart w:id="33" w:name="page34"/>
    <w:bookmarkEnd w:id="33"/>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of Top 25 Tenants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140" w:type="dxa"/>
            <w:vAlign w:val="bottom"/>
            <w:vMerge w:val="restart"/>
          </w:tcPr>
          <w:p>
            <w:pPr>
              <w:jc w:val="center"/>
              <w:ind w:left="200"/>
              <w:spacing w:after="0"/>
              <w:rPr>
                <w:sz w:val="20"/>
                <w:szCs w:val="20"/>
                <w:color w:val="auto"/>
              </w:rPr>
            </w:pPr>
            <w:r>
              <w:rPr>
                <w:rFonts w:ascii="Arial" w:cs="Arial" w:eastAsia="Arial" w:hAnsi="Arial"/>
                <w:sz w:val="14"/>
                <w:szCs w:val="14"/>
                <w:b w:val="1"/>
                <w:bCs w:val="1"/>
                <w:color w:val="auto"/>
                <w:w w:val="94"/>
              </w:rPr>
              <w:t>Credit Ratings</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80" w:type="dxa"/>
            <w:vAlign w:val="bottom"/>
          </w:tcPr>
          <w:p>
            <w:pPr>
              <w:jc w:val="right"/>
              <w:ind w:right="40"/>
              <w:spacing w:after="0"/>
              <w:rPr>
                <w:sz w:val="20"/>
                <w:szCs w:val="20"/>
                <w:color w:val="auto"/>
              </w:rPr>
            </w:pPr>
            <w:r>
              <w:rPr>
                <w:rFonts w:ascii="Arial" w:cs="Arial" w:eastAsia="Arial" w:hAnsi="Arial"/>
                <w:sz w:val="14"/>
                <w:szCs w:val="14"/>
                <w:b w:val="1"/>
                <w:bCs w:val="1"/>
                <w:color w:val="auto"/>
              </w:rPr>
              <w:t>Percentage of Total</w:t>
            </w:r>
          </w:p>
        </w:tc>
        <w:tc>
          <w:tcPr>
            <w:tcW w:w="9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Percentage of</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35"/>
        </w:trPr>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Rank</w:t>
            </w:r>
          </w:p>
        </w:tc>
        <w:tc>
          <w:tcPr>
            <w:tcW w:w="2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Tenant Name</w:t>
            </w:r>
          </w:p>
        </w:tc>
        <w:tc>
          <w:tcPr>
            <w:tcW w:w="2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580" w:type="dxa"/>
            <w:vAlign w:val="bottom"/>
          </w:tcPr>
          <w:p>
            <w:pPr>
              <w:jc w:val="right"/>
              <w:ind w:right="40"/>
              <w:spacing w:after="0" w:line="135" w:lineRule="exact"/>
              <w:rPr>
                <w:sz w:val="20"/>
                <w:szCs w:val="20"/>
                <w:color w:val="auto"/>
              </w:rPr>
            </w:pPr>
            <w:r>
              <w:rPr>
                <w:rFonts w:ascii="Arial" w:cs="Arial" w:eastAsia="Arial" w:hAnsi="Arial"/>
                <w:sz w:val="14"/>
                <w:szCs w:val="14"/>
                <w:b w:val="1"/>
                <w:bCs w:val="1"/>
                <w:color w:val="auto"/>
                <w:w w:val="97"/>
              </w:rPr>
              <w:t>Annualized Base Rent</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GLA</w:t>
            </w:r>
          </w:p>
        </w:tc>
        <w:tc>
          <w:tcPr>
            <w:tcW w:w="1160" w:type="dxa"/>
            <w:vAlign w:val="bottom"/>
            <w:vMerge w:val="continue"/>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88"/>
        </w:trPr>
        <w:tc>
          <w:tcPr>
            <w:tcW w:w="560" w:type="dxa"/>
            <w:vAlign w:val="bottom"/>
            <w:tcBorders>
              <w:bottom w:val="single" w:sz="8" w:color="auto"/>
            </w:tcBorders>
            <w:vMerge w:val="continue"/>
          </w:tcPr>
          <w:p>
            <w:pPr>
              <w:spacing w:after="0"/>
              <w:rPr>
                <w:sz w:val="16"/>
                <w:szCs w:val="16"/>
                <w:color w:val="auto"/>
              </w:rPr>
            </w:pPr>
          </w:p>
        </w:tc>
        <w:tc>
          <w:tcPr>
            <w:tcW w:w="284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tcPr>
          <w:p>
            <w:pPr>
              <w:jc w:val="center"/>
              <w:ind w:left="180"/>
              <w:spacing w:after="0"/>
              <w:rPr>
                <w:sz w:val="20"/>
                <w:szCs w:val="20"/>
                <w:color w:val="auto"/>
              </w:rPr>
            </w:pPr>
            <w:r>
              <w:rPr>
                <w:rFonts w:ascii="Arial" w:cs="Arial" w:eastAsia="Arial" w:hAnsi="Arial"/>
                <w:sz w:val="14"/>
                <w:szCs w:val="14"/>
                <w:b w:val="1"/>
                <w:bCs w:val="1"/>
                <w:color w:val="auto"/>
                <w:w w:val="97"/>
              </w:rPr>
              <w:t>(S&amp;P/Moody's/Fitch) (1)</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(3)</w:t>
            </w:r>
          </w:p>
        </w:tc>
        <w:tc>
          <w:tcPr>
            <w:tcW w:w="92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 GLA (3)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TJX Companies, The</w:t>
            </w:r>
          </w:p>
        </w:tc>
        <w:tc>
          <w:tcPr>
            <w:tcW w:w="2140" w:type="dxa"/>
            <w:vAlign w:val="bottom"/>
            <w:shd w:val="clear" w:color="auto" w:fill="CCEEFF"/>
          </w:tcPr>
          <w:p>
            <w:pPr>
              <w:jc w:val="center"/>
              <w:ind w:left="180"/>
              <w:spacing w:after="0"/>
              <w:rPr>
                <w:sz w:val="20"/>
                <w:szCs w:val="20"/>
                <w:color w:val="auto"/>
              </w:rPr>
            </w:pPr>
            <w:r>
              <w:rPr>
                <w:rFonts w:ascii="Arial" w:cs="Arial" w:eastAsia="Arial" w:hAnsi="Arial"/>
                <w:sz w:val="16"/>
                <w:szCs w:val="16"/>
                <w:color w:val="auto"/>
                <w:w w:val="99"/>
              </w:rPr>
              <w:t>A / A2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20,677,000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2.68 %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840" w:type="dxa"/>
            <w:vAlign w:val="bottom"/>
          </w:tcPr>
          <w:p>
            <w:pPr>
              <w:ind w:left="80"/>
              <w:spacing w:after="0"/>
              <w:rPr>
                <w:sz w:val="20"/>
                <w:szCs w:val="20"/>
                <w:color w:val="auto"/>
              </w:rPr>
            </w:pPr>
            <w:r>
              <w:rPr>
                <w:rFonts w:ascii="Arial" w:cs="Arial" w:eastAsia="Arial" w:hAnsi="Arial"/>
                <w:sz w:val="16"/>
                <w:szCs w:val="16"/>
                <w:color w:val="auto"/>
              </w:rPr>
              <w:t>NetApp, Inc.</w:t>
            </w:r>
          </w:p>
        </w:tc>
        <w:tc>
          <w:tcPr>
            <w:tcW w:w="2140" w:type="dxa"/>
            <w:vAlign w:val="bottom"/>
          </w:tcPr>
          <w:p>
            <w:pPr>
              <w:jc w:val="center"/>
              <w:ind w:left="200"/>
              <w:spacing w:after="0"/>
              <w:rPr>
                <w:sz w:val="20"/>
                <w:szCs w:val="20"/>
                <w:color w:val="auto"/>
              </w:rPr>
            </w:pPr>
            <w:r>
              <w:rPr>
                <w:rFonts w:ascii="Arial" w:cs="Arial" w:eastAsia="Arial" w:hAnsi="Arial"/>
                <w:sz w:val="16"/>
                <w:szCs w:val="16"/>
                <w:color w:val="auto"/>
                <w:w w:val="94"/>
              </w:rPr>
              <w:t>BBB+ / Baa2 / 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13,927,000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1.80 %</w:t>
            </w:r>
          </w:p>
        </w:tc>
        <w:tc>
          <w:tcPr>
            <w:tcW w:w="920" w:type="dxa"/>
            <w:vAlign w:val="bottom"/>
          </w:tcPr>
          <w:p>
            <w:pPr>
              <w:jc w:val="right"/>
              <w:spacing w:after="0"/>
              <w:rPr>
                <w:sz w:val="20"/>
                <w:szCs w:val="20"/>
                <w:color w:val="auto"/>
              </w:rPr>
            </w:pPr>
            <w:r>
              <w:rPr>
                <w:rFonts w:ascii="Arial" w:cs="Arial" w:eastAsia="Arial" w:hAnsi="Arial"/>
                <w:sz w:val="16"/>
                <w:szCs w:val="16"/>
                <w:color w:val="auto"/>
              </w:rPr>
              <w:t>304,000</w:t>
            </w:r>
          </w:p>
        </w:tc>
        <w:tc>
          <w:tcPr>
            <w:tcW w:w="1160" w:type="dxa"/>
            <w:vAlign w:val="bottom"/>
          </w:tcPr>
          <w:p>
            <w:pPr>
              <w:jc w:val="right"/>
              <w:spacing w:after="0"/>
              <w:rPr>
                <w:sz w:val="20"/>
                <w:szCs w:val="20"/>
                <w:color w:val="auto"/>
              </w:rPr>
            </w:pPr>
            <w:r>
              <w:rPr>
                <w:rFonts w:ascii="Arial" w:cs="Arial" w:eastAsia="Arial" w:hAnsi="Arial"/>
                <w:sz w:val="16"/>
                <w:szCs w:val="16"/>
                <w:color w:val="auto"/>
              </w:rPr>
              <w:t>1.08 %</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Ahold Delhaize</w:t>
            </w:r>
          </w:p>
        </w:tc>
        <w:tc>
          <w:tcPr>
            <w:tcW w:w="214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5"/>
              </w:rPr>
              <w:t>BBB / Baa1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13,864,000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1.80 %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840" w:type="dxa"/>
            <w:vAlign w:val="bottom"/>
          </w:tcPr>
          <w:p>
            <w:pPr>
              <w:ind w:left="80"/>
              <w:spacing w:after="0"/>
              <w:rPr>
                <w:sz w:val="20"/>
                <w:szCs w:val="20"/>
                <w:color w:val="auto"/>
              </w:rPr>
            </w:pPr>
            <w:r>
              <w:rPr>
                <w:rFonts w:ascii="Arial" w:cs="Arial" w:eastAsia="Arial" w:hAnsi="Arial"/>
                <w:sz w:val="16"/>
                <w:szCs w:val="16"/>
                <w:color w:val="auto"/>
              </w:rPr>
              <w:t>Splunk, Inc.</w:t>
            </w:r>
          </w:p>
        </w:tc>
        <w:tc>
          <w:tcPr>
            <w:tcW w:w="2140" w:type="dxa"/>
            <w:vAlign w:val="bottom"/>
          </w:tcPr>
          <w:p>
            <w:pPr>
              <w:jc w:val="center"/>
              <w:ind w:left="180"/>
              <w:spacing w:after="0"/>
              <w:rPr>
                <w:sz w:val="20"/>
                <w:szCs w:val="20"/>
                <w:color w:val="auto"/>
              </w:rPr>
            </w:pPr>
            <w:r>
              <w:rPr>
                <w:rFonts w:ascii="Arial" w:cs="Arial" w:eastAsia="Arial" w:hAnsi="Arial"/>
                <w:sz w:val="16"/>
                <w:szCs w:val="16"/>
                <w:color w:val="auto"/>
                <w:w w:val="95"/>
              </w:rPr>
              <w:t>NR / NR / 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11,913,000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1.54 %</w:t>
            </w:r>
          </w:p>
        </w:tc>
        <w:tc>
          <w:tcPr>
            <w:tcW w:w="920" w:type="dxa"/>
            <w:vAlign w:val="bottom"/>
          </w:tcPr>
          <w:p>
            <w:pPr>
              <w:jc w:val="right"/>
              <w:spacing w:after="0"/>
              <w:rPr>
                <w:sz w:val="20"/>
                <w:szCs w:val="20"/>
                <w:color w:val="auto"/>
              </w:rPr>
            </w:pPr>
            <w:r>
              <w:rPr>
                <w:rFonts w:ascii="Arial" w:cs="Arial" w:eastAsia="Arial" w:hAnsi="Arial"/>
                <w:sz w:val="16"/>
                <w:szCs w:val="16"/>
                <w:color w:val="auto"/>
              </w:rPr>
              <w:t>235,000</w:t>
            </w:r>
          </w:p>
        </w:tc>
        <w:tc>
          <w:tcPr>
            <w:tcW w:w="1160" w:type="dxa"/>
            <w:vAlign w:val="bottom"/>
          </w:tcPr>
          <w:p>
            <w:pPr>
              <w:jc w:val="right"/>
              <w:spacing w:after="0"/>
              <w:rPr>
                <w:sz w:val="20"/>
                <w:szCs w:val="20"/>
                <w:color w:val="auto"/>
              </w:rPr>
            </w:pPr>
            <w:r>
              <w:rPr>
                <w:rFonts w:ascii="Arial" w:cs="Arial" w:eastAsia="Arial" w:hAnsi="Arial"/>
                <w:sz w:val="16"/>
                <w:szCs w:val="16"/>
                <w:color w:val="auto"/>
              </w:rPr>
              <w:t>0.83 %</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2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Gap, Inc., The</w:t>
            </w:r>
          </w:p>
        </w:tc>
        <w:tc>
          <w:tcPr>
            <w:tcW w:w="2140" w:type="dxa"/>
            <w:vAlign w:val="bottom"/>
            <w:shd w:val="clear" w:color="auto" w:fill="CCEEFF"/>
          </w:tcPr>
          <w:p>
            <w:pPr>
              <w:jc w:val="center"/>
              <w:ind w:left="180"/>
              <w:spacing w:after="0"/>
              <w:rPr>
                <w:sz w:val="20"/>
                <w:szCs w:val="20"/>
                <w:color w:val="auto"/>
              </w:rPr>
            </w:pPr>
            <w:r>
              <w:rPr>
                <w:rFonts w:ascii="Arial" w:cs="Arial" w:eastAsia="Arial" w:hAnsi="Arial"/>
                <w:sz w:val="16"/>
                <w:szCs w:val="16"/>
                <w:color w:val="auto"/>
                <w:w w:val="96"/>
              </w:rPr>
              <w:t>BB / Ba2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10,854,000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1.41 %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840" w:type="dxa"/>
            <w:vAlign w:val="bottom"/>
          </w:tcPr>
          <w:p>
            <w:pPr>
              <w:ind w:left="80"/>
              <w:spacing w:after="0"/>
              <w:rPr>
                <w:sz w:val="20"/>
                <w:szCs w:val="20"/>
                <w:color w:val="auto"/>
              </w:rPr>
            </w:pPr>
            <w:r>
              <w:rPr>
                <w:rFonts w:ascii="Arial" w:cs="Arial" w:eastAsia="Arial" w:hAnsi="Arial"/>
                <w:sz w:val="16"/>
                <w:szCs w:val="16"/>
                <w:color w:val="auto"/>
              </w:rPr>
              <w:t>CVS Corporation</w:t>
            </w:r>
          </w:p>
        </w:tc>
        <w:tc>
          <w:tcPr>
            <w:tcW w:w="2140" w:type="dxa"/>
            <w:vAlign w:val="bottom"/>
          </w:tcPr>
          <w:p>
            <w:pPr>
              <w:jc w:val="center"/>
              <w:ind w:left="200"/>
              <w:spacing w:after="0"/>
              <w:rPr>
                <w:sz w:val="20"/>
                <w:szCs w:val="20"/>
                <w:color w:val="auto"/>
              </w:rPr>
            </w:pPr>
            <w:r>
              <w:rPr>
                <w:rFonts w:ascii="Arial" w:cs="Arial" w:eastAsia="Arial" w:hAnsi="Arial"/>
                <w:sz w:val="16"/>
                <w:szCs w:val="16"/>
                <w:color w:val="auto"/>
                <w:w w:val="95"/>
              </w:rPr>
              <w:t>BBB / Baa2 / 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10,845,000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1.41 %</w:t>
            </w:r>
          </w:p>
        </w:tc>
        <w:tc>
          <w:tcPr>
            <w:tcW w:w="920" w:type="dxa"/>
            <w:vAlign w:val="bottom"/>
          </w:tcPr>
          <w:p>
            <w:pPr>
              <w:jc w:val="right"/>
              <w:spacing w:after="0"/>
              <w:rPr>
                <w:sz w:val="20"/>
                <w:szCs w:val="20"/>
                <w:color w:val="auto"/>
              </w:rPr>
            </w:pPr>
            <w:r>
              <w:rPr>
                <w:rFonts w:ascii="Arial" w:cs="Arial" w:eastAsia="Arial" w:hAnsi="Arial"/>
                <w:sz w:val="16"/>
                <w:szCs w:val="16"/>
                <w:color w:val="auto"/>
              </w:rPr>
              <w:t>300,000</w:t>
            </w:r>
          </w:p>
        </w:tc>
        <w:tc>
          <w:tcPr>
            <w:tcW w:w="1160" w:type="dxa"/>
            <w:vAlign w:val="bottom"/>
          </w:tcPr>
          <w:p>
            <w:pPr>
              <w:jc w:val="right"/>
              <w:spacing w:after="0"/>
              <w:rPr>
                <w:sz w:val="20"/>
                <w:szCs w:val="20"/>
                <w:color w:val="auto"/>
              </w:rPr>
            </w:pPr>
            <w:r>
              <w:rPr>
                <w:rFonts w:ascii="Arial" w:cs="Arial" w:eastAsia="Arial" w:hAnsi="Arial"/>
                <w:sz w:val="16"/>
                <w:szCs w:val="16"/>
                <w:color w:val="auto"/>
              </w:rPr>
              <w:t>1.06 %</w:t>
            </w: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2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 Fitness International LLC</w:t>
            </w:r>
          </w:p>
        </w:tc>
        <w:tc>
          <w:tcPr>
            <w:tcW w:w="214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2"/>
              </w:rPr>
              <w:t>CCC+ / Caa1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10,490,000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1.36 %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840" w:type="dxa"/>
            <w:vAlign w:val="bottom"/>
          </w:tcPr>
          <w:p>
            <w:pPr>
              <w:ind w:left="80"/>
              <w:spacing w:after="0"/>
              <w:rPr>
                <w:sz w:val="20"/>
                <w:szCs w:val="20"/>
                <w:color w:val="auto"/>
              </w:rPr>
            </w:pPr>
            <w:r>
              <w:rPr>
                <w:rFonts w:ascii="Arial" w:cs="Arial" w:eastAsia="Arial" w:hAnsi="Arial"/>
                <w:sz w:val="16"/>
                <w:szCs w:val="16"/>
                <w:color w:val="auto"/>
              </w:rPr>
              <w:t>Home Depot, Inc.</w:t>
            </w:r>
          </w:p>
        </w:tc>
        <w:tc>
          <w:tcPr>
            <w:tcW w:w="2140" w:type="dxa"/>
            <w:vAlign w:val="bottom"/>
          </w:tcPr>
          <w:p>
            <w:pPr>
              <w:jc w:val="center"/>
              <w:ind w:left="180"/>
              <w:spacing w:after="0"/>
              <w:rPr>
                <w:sz w:val="20"/>
                <w:szCs w:val="20"/>
                <w:color w:val="auto"/>
              </w:rPr>
            </w:pPr>
            <w:r>
              <w:rPr>
                <w:rFonts w:ascii="Arial" w:cs="Arial" w:eastAsia="Arial" w:hAnsi="Arial"/>
                <w:sz w:val="16"/>
                <w:szCs w:val="16"/>
                <w:color w:val="auto"/>
              </w:rPr>
              <w:t>A / A2 / 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7,285,000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0.94 %</w:t>
            </w:r>
          </w:p>
        </w:tc>
        <w:tc>
          <w:tcPr>
            <w:tcW w:w="920" w:type="dxa"/>
            <w:vAlign w:val="bottom"/>
          </w:tcPr>
          <w:p>
            <w:pPr>
              <w:jc w:val="right"/>
              <w:spacing w:after="0"/>
              <w:rPr>
                <w:sz w:val="20"/>
                <w:szCs w:val="20"/>
                <w:color w:val="auto"/>
              </w:rPr>
            </w:pPr>
            <w:r>
              <w:rPr>
                <w:rFonts w:ascii="Arial" w:cs="Arial" w:eastAsia="Arial" w:hAnsi="Arial"/>
                <w:sz w:val="16"/>
                <w:szCs w:val="16"/>
                <w:color w:val="auto"/>
              </w:rPr>
              <w:t>478,000</w:t>
            </w:r>
          </w:p>
        </w:tc>
        <w:tc>
          <w:tcPr>
            <w:tcW w:w="1160" w:type="dxa"/>
            <w:vAlign w:val="bottom"/>
          </w:tcPr>
          <w:p>
            <w:pPr>
              <w:jc w:val="right"/>
              <w:spacing w:after="0"/>
              <w:rPr>
                <w:sz w:val="20"/>
                <w:szCs w:val="20"/>
                <w:color w:val="auto"/>
              </w:rPr>
            </w:pPr>
            <w:r>
              <w:rPr>
                <w:rFonts w:ascii="Arial" w:cs="Arial" w:eastAsia="Arial" w:hAnsi="Arial"/>
                <w:sz w:val="16"/>
                <w:szCs w:val="16"/>
                <w:color w:val="auto"/>
              </w:rPr>
              <w:t>1.69 %</w:t>
            </w: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2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Bed, Bath &amp; Beyond, Inc.</w:t>
            </w:r>
          </w:p>
        </w:tc>
        <w:tc>
          <w:tcPr>
            <w:tcW w:w="214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5"/>
              </w:rPr>
              <w:t>B+ / Ba3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7,037,000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0.91 %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840" w:type="dxa"/>
            <w:vAlign w:val="bottom"/>
          </w:tcPr>
          <w:p>
            <w:pPr>
              <w:ind w:left="80"/>
              <w:spacing w:after="0"/>
              <w:rPr>
                <w:sz w:val="20"/>
                <w:szCs w:val="20"/>
                <w:color w:val="auto"/>
              </w:rPr>
            </w:pPr>
            <w:r>
              <w:rPr>
                <w:rFonts w:ascii="Arial" w:cs="Arial" w:eastAsia="Arial" w:hAnsi="Arial"/>
                <w:sz w:val="16"/>
                <w:szCs w:val="16"/>
                <w:color w:val="auto"/>
              </w:rPr>
              <w:t>Kroger Co., The</w:t>
            </w:r>
          </w:p>
        </w:tc>
        <w:tc>
          <w:tcPr>
            <w:tcW w:w="2140" w:type="dxa"/>
            <w:vAlign w:val="bottom"/>
          </w:tcPr>
          <w:p>
            <w:pPr>
              <w:jc w:val="center"/>
              <w:ind w:left="200"/>
              <w:spacing w:after="0"/>
              <w:rPr>
                <w:sz w:val="20"/>
                <w:szCs w:val="20"/>
                <w:color w:val="auto"/>
              </w:rPr>
            </w:pPr>
            <w:r>
              <w:rPr>
                <w:rFonts w:ascii="Arial" w:cs="Arial" w:eastAsia="Arial" w:hAnsi="Arial"/>
                <w:sz w:val="16"/>
                <w:szCs w:val="16"/>
                <w:color w:val="auto"/>
                <w:w w:val="95"/>
              </w:rPr>
              <w:t>BBB / Baa1 / 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7,036,000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0.91 %</w:t>
            </w:r>
          </w:p>
        </w:tc>
        <w:tc>
          <w:tcPr>
            <w:tcW w:w="920" w:type="dxa"/>
            <w:vAlign w:val="bottom"/>
          </w:tcPr>
          <w:p>
            <w:pPr>
              <w:jc w:val="right"/>
              <w:spacing w:after="0"/>
              <w:rPr>
                <w:sz w:val="20"/>
                <w:szCs w:val="20"/>
                <w:color w:val="auto"/>
              </w:rPr>
            </w:pPr>
            <w:r>
              <w:rPr>
                <w:rFonts w:ascii="Arial" w:cs="Arial" w:eastAsia="Arial" w:hAnsi="Arial"/>
                <w:sz w:val="16"/>
                <w:szCs w:val="16"/>
                <w:color w:val="auto"/>
              </w:rPr>
              <w:t>611,000</w:t>
            </w:r>
          </w:p>
        </w:tc>
        <w:tc>
          <w:tcPr>
            <w:tcW w:w="1160" w:type="dxa"/>
            <w:vAlign w:val="bottom"/>
          </w:tcPr>
          <w:p>
            <w:pPr>
              <w:jc w:val="right"/>
              <w:spacing w:after="0"/>
              <w:rPr>
                <w:sz w:val="20"/>
                <w:szCs w:val="20"/>
                <w:color w:val="auto"/>
              </w:rPr>
            </w:pPr>
            <w:r>
              <w:rPr>
                <w:rFonts w:ascii="Arial" w:cs="Arial" w:eastAsia="Arial" w:hAnsi="Arial"/>
                <w:sz w:val="16"/>
                <w:szCs w:val="16"/>
                <w:color w:val="auto"/>
              </w:rPr>
              <w:t>2.17 %</w:t>
            </w: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2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Michaels Stores, Inc.</w:t>
            </w:r>
          </w:p>
        </w:tc>
        <w:tc>
          <w:tcPr>
            <w:tcW w:w="214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7"/>
              </w:rPr>
              <w:t>B / B1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6,876,000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0.89 %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840" w:type="dxa"/>
            <w:vAlign w:val="bottom"/>
          </w:tcPr>
          <w:p>
            <w:pPr>
              <w:ind w:left="80"/>
              <w:spacing w:after="0"/>
              <w:rPr>
                <w:sz w:val="20"/>
                <w:szCs w:val="20"/>
                <w:color w:val="auto"/>
              </w:rPr>
            </w:pPr>
            <w:r>
              <w:rPr>
                <w:rFonts w:ascii="Arial" w:cs="Arial" w:eastAsia="Arial" w:hAnsi="Arial"/>
                <w:sz w:val="16"/>
                <w:szCs w:val="16"/>
                <w:color w:val="auto"/>
              </w:rPr>
              <w:t>Bank of America, N.A.</w:t>
            </w:r>
          </w:p>
        </w:tc>
        <w:tc>
          <w:tcPr>
            <w:tcW w:w="2140" w:type="dxa"/>
            <w:vAlign w:val="bottom"/>
          </w:tcPr>
          <w:p>
            <w:pPr>
              <w:jc w:val="center"/>
              <w:ind w:left="200"/>
              <w:spacing w:after="0"/>
              <w:rPr>
                <w:sz w:val="20"/>
                <w:szCs w:val="20"/>
                <w:color w:val="auto"/>
              </w:rPr>
            </w:pPr>
            <w:r>
              <w:rPr>
                <w:rFonts w:ascii="Arial" w:cs="Arial" w:eastAsia="Arial" w:hAnsi="Arial"/>
                <w:sz w:val="16"/>
                <w:szCs w:val="16"/>
                <w:color w:val="auto"/>
              </w:rPr>
              <w:t>A- / A2 / AA-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6,814,000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0.88 %</w:t>
            </w:r>
          </w:p>
        </w:tc>
        <w:tc>
          <w:tcPr>
            <w:tcW w:w="920" w:type="dxa"/>
            <w:vAlign w:val="bottom"/>
          </w:tcPr>
          <w:p>
            <w:pPr>
              <w:jc w:val="right"/>
              <w:spacing w:after="0"/>
              <w:rPr>
                <w:sz w:val="20"/>
                <w:szCs w:val="20"/>
                <w:color w:val="auto"/>
              </w:rPr>
            </w:pPr>
            <w:r>
              <w:rPr>
                <w:rFonts w:ascii="Arial" w:cs="Arial" w:eastAsia="Arial" w:hAnsi="Arial"/>
                <w:sz w:val="16"/>
                <w:szCs w:val="16"/>
                <w:color w:val="auto"/>
              </w:rPr>
              <w:t>118,000</w:t>
            </w:r>
          </w:p>
        </w:tc>
        <w:tc>
          <w:tcPr>
            <w:tcW w:w="1160" w:type="dxa"/>
            <w:vAlign w:val="bottom"/>
          </w:tcPr>
          <w:p>
            <w:pPr>
              <w:jc w:val="right"/>
              <w:spacing w:after="0"/>
              <w:rPr>
                <w:sz w:val="20"/>
                <w:szCs w:val="20"/>
                <w:color w:val="auto"/>
              </w:rPr>
            </w:pPr>
            <w:r>
              <w:rPr>
                <w:rFonts w:ascii="Arial" w:cs="Arial" w:eastAsia="Arial" w:hAnsi="Arial"/>
                <w:sz w:val="16"/>
                <w:szCs w:val="16"/>
                <w:color w:val="auto"/>
              </w:rPr>
              <w:t>0.42 %</w:t>
            </w: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2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PUMA North America, Inc.</w:t>
            </w:r>
          </w:p>
        </w:tc>
        <w:tc>
          <w:tcPr>
            <w:tcW w:w="2140" w:type="dxa"/>
            <w:vAlign w:val="bottom"/>
            <w:shd w:val="clear" w:color="auto" w:fill="CCEEFF"/>
          </w:tcPr>
          <w:p>
            <w:pPr>
              <w:jc w:val="center"/>
              <w:ind w:left="180"/>
              <w:spacing w:after="0"/>
              <w:rPr>
                <w:sz w:val="20"/>
                <w:szCs w:val="20"/>
                <w:color w:val="auto"/>
              </w:rPr>
            </w:pPr>
            <w:r>
              <w:rPr>
                <w:rFonts w:ascii="Arial" w:cs="Arial" w:eastAsia="Arial" w:hAnsi="Arial"/>
                <w:sz w:val="16"/>
                <w:szCs w:val="16"/>
                <w:color w:val="auto"/>
                <w:w w:val="95"/>
              </w:rPr>
              <w:t>NR / NR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6,801,000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0.88 %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840" w:type="dxa"/>
            <w:vAlign w:val="bottom"/>
          </w:tcPr>
          <w:p>
            <w:pPr>
              <w:ind w:left="80"/>
              <w:spacing w:after="0"/>
              <w:rPr>
                <w:sz w:val="20"/>
                <w:szCs w:val="20"/>
                <w:color w:val="auto"/>
              </w:rPr>
            </w:pPr>
            <w:r>
              <w:rPr>
                <w:rFonts w:ascii="Arial" w:cs="Arial" w:eastAsia="Arial" w:hAnsi="Arial"/>
                <w:sz w:val="16"/>
                <w:szCs w:val="16"/>
                <w:color w:val="auto"/>
              </w:rPr>
              <w:t>Ross Stores, Inc.</w:t>
            </w:r>
          </w:p>
        </w:tc>
        <w:tc>
          <w:tcPr>
            <w:tcW w:w="2140" w:type="dxa"/>
            <w:vAlign w:val="bottom"/>
          </w:tcPr>
          <w:p>
            <w:pPr>
              <w:jc w:val="center"/>
              <w:ind w:left="200"/>
              <w:spacing w:after="0"/>
              <w:rPr>
                <w:sz w:val="20"/>
                <w:szCs w:val="20"/>
                <w:color w:val="auto"/>
              </w:rPr>
            </w:pPr>
            <w:r>
              <w:rPr>
                <w:rFonts w:ascii="Arial" w:cs="Arial" w:eastAsia="Arial" w:hAnsi="Arial"/>
                <w:sz w:val="16"/>
                <w:szCs w:val="16"/>
                <w:color w:val="auto"/>
                <w:w w:val="99"/>
              </w:rPr>
              <w:t>BBB+ / A2 / 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6,591,000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0.85 %</w:t>
            </w:r>
          </w:p>
        </w:tc>
        <w:tc>
          <w:tcPr>
            <w:tcW w:w="920" w:type="dxa"/>
            <w:vAlign w:val="bottom"/>
          </w:tcPr>
          <w:p>
            <w:pPr>
              <w:jc w:val="right"/>
              <w:spacing w:after="0"/>
              <w:rPr>
                <w:sz w:val="20"/>
                <w:szCs w:val="20"/>
                <w:color w:val="auto"/>
              </w:rPr>
            </w:pPr>
            <w:r>
              <w:rPr>
                <w:rFonts w:ascii="Arial" w:cs="Arial" w:eastAsia="Arial" w:hAnsi="Arial"/>
                <w:sz w:val="16"/>
                <w:szCs w:val="16"/>
                <w:color w:val="auto"/>
              </w:rPr>
              <w:t>315,000</w:t>
            </w:r>
          </w:p>
        </w:tc>
        <w:tc>
          <w:tcPr>
            <w:tcW w:w="1160" w:type="dxa"/>
            <w:vAlign w:val="bottom"/>
          </w:tcPr>
          <w:p>
            <w:pPr>
              <w:jc w:val="right"/>
              <w:spacing w:after="0"/>
              <w:rPr>
                <w:sz w:val="20"/>
                <w:szCs w:val="20"/>
                <w:color w:val="auto"/>
              </w:rPr>
            </w:pPr>
            <w:r>
              <w:rPr>
                <w:rFonts w:ascii="Arial" w:cs="Arial" w:eastAsia="Arial" w:hAnsi="Arial"/>
                <w:sz w:val="16"/>
                <w:szCs w:val="16"/>
                <w:color w:val="auto"/>
              </w:rPr>
              <w:t>1.12 %</w:t>
            </w: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Best Buy Co., Inc.</w:t>
            </w:r>
          </w:p>
        </w:tc>
        <w:tc>
          <w:tcPr>
            <w:tcW w:w="214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9"/>
              </w:rPr>
              <w:t>BBB+ / A3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6,496,000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0.84 %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6"/>
        </w:trPr>
        <w:tc>
          <w:tcPr>
            <w:tcW w:w="560" w:type="dxa"/>
            <w:vAlign w:val="bottom"/>
          </w:tcPr>
          <w:p>
            <w:pPr>
              <w:jc w:val="right"/>
              <w:ind w:right="39"/>
              <w:spacing w:after="0" w:line="166" w:lineRule="exact"/>
              <w:rPr>
                <w:sz w:val="20"/>
                <w:szCs w:val="20"/>
                <w:color w:val="auto"/>
              </w:rPr>
            </w:pPr>
            <w:r>
              <w:rPr>
                <w:rFonts w:ascii="Arial" w:cs="Arial" w:eastAsia="Arial" w:hAnsi="Arial"/>
                <w:sz w:val="16"/>
                <w:szCs w:val="16"/>
                <w:color w:val="auto"/>
              </w:rPr>
              <w:t>16</w:t>
            </w:r>
          </w:p>
        </w:tc>
        <w:tc>
          <w:tcPr>
            <w:tcW w:w="2840" w:type="dxa"/>
            <w:vAlign w:val="bottom"/>
          </w:tcPr>
          <w:p>
            <w:pPr>
              <w:ind w:left="80"/>
              <w:spacing w:after="0" w:line="166" w:lineRule="exact"/>
              <w:rPr>
                <w:sz w:val="20"/>
                <w:szCs w:val="20"/>
                <w:color w:val="auto"/>
              </w:rPr>
            </w:pPr>
            <w:r>
              <w:rPr>
                <w:rFonts w:ascii="Arial" w:cs="Arial" w:eastAsia="Arial" w:hAnsi="Arial"/>
                <w:sz w:val="16"/>
                <w:szCs w:val="16"/>
                <w:color w:val="auto"/>
              </w:rPr>
              <w:t>Albertsons Companies, Inc. (Acme,</w:t>
            </w:r>
          </w:p>
        </w:tc>
        <w:tc>
          <w:tcPr>
            <w:tcW w:w="2140" w:type="dxa"/>
            <w:vAlign w:val="bottom"/>
          </w:tcPr>
          <w:p>
            <w:pPr>
              <w:jc w:val="center"/>
              <w:ind w:left="180"/>
              <w:spacing w:after="0" w:line="166" w:lineRule="exact"/>
              <w:rPr>
                <w:sz w:val="20"/>
                <w:szCs w:val="20"/>
                <w:color w:val="auto"/>
              </w:rPr>
            </w:pPr>
            <w:r>
              <w:rPr>
                <w:rFonts w:ascii="Arial" w:cs="Arial" w:eastAsia="Arial" w:hAnsi="Arial"/>
                <w:sz w:val="16"/>
                <w:szCs w:val="16"/>
                <w:color w:val="auto"/>
                <w:w w:val="96"/>
              </w:rPr>
              <w:t>BB / Ba2 / NR</w:t>
            </w:r>
          </w:p>
        </w:tc>
        <w:tc>
          <w:tcPr>
            <w:tcW w:w="14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66" w:lineRule="exact"/>
              <w:rPr>
                <w:sz w:val="20"/>
                <w:szCs w:val="20"/>
                <w:color w:val="auto"/>
              </w:rPr>
            </w:pPr>
            <w:r>
              <w:rPr>
                <w:rFonts w:ascii="Arial" w:cs="Arial" w:eastAsia="Arial" w:hAnsi="Arial"/>
                <w:sz w:val="16"/>
                <w:szCs w:val="16"/>
                <w:color w:val="auto"/>
              </w:rPr>
              <w:t>6,486,000</w:t>
            </w:r>
          </w:p>
        </w:tc>
        <w:tc>
          <w:tcPr>
            <w:tcW w:w="1580" w:type="dxa"/>
            <w:vAlign w:val="bottom"/>
          </w:tcPr>
          <w:p>
            <w:pPr>
              <w:jc w:val="right"/>
              <w:ind w:right="40"/>
              <w:spacing w:after="0" w:line="166" w:lineRule="exact"/>
              <w:rPr>
                <w:sz w:val="20"/>
                <w:szCs w:val="20"/>
                <w:color w:val="auto"/>
              </w:rPr>
            </w:pPr>
            <w:r>
              <w:rPr>
                <w:rFonts w:ascii="Arial" w:cs="Arial" w:eastAsia="Arial" w:hAnsi="Arial"/>
                <w:sz w:val="16"/>
                <w:szCs w:val="16"/>
                <w:color w:val="auto"/>
              </w:rPr>
              <w:t>0.84 %</w:t>
            </w:r>
          </w:p>
        </w:tc>
        <w:tc>
          <w:tcPr>
            <w:tcW w:w="920" w:type="dxa"/>
            <w:vAlign w:val="bottom"/>
          </w:tcPr>
          <w:p>
            <w:pPr>
              <w:jc w:val="right"/>
              <w:spacing w:after="0" w:line="166" w:lineRule="exact"/>
              <w:rPr>
                <w:sz w:val="20"/>
                <w:szCs w:val="20"/>
                <w:color w:val="auto"/>
              </w:rPr>
            </w:pPr>
            <w:r>
              <w:rPr>
                <w:rFonts w:ascii="Arial" w:cs="Arial" w:eastAsia="Arial" w:hAnsi="Arial"/>
                <w:sz w:val="16"/>
                <w:szCs w:val="16"/>
                <w:color w:val="auto"/>
              </w:rPr>
              <w:t>502,000</w:t>
            </w:r>
          </w:p>
        </w:tc>
        <w:tc>
          <w:tcPr>
            <w:tcW w:w="1160" w:type="dxa"/>
            <w:vAlign w:val="bottom"/>
          </w:tcPr>
          <w:p>
            <w:pPr>
              <w:jc w:val="right"/>
              <w:spacing w:after="0" w:line="166" w:lineRule="exact"/>
              <w:rPr>
                <w:sz w:val="20"/>
                <w:szCs w:val="20"/>
                <w:color w:val="auto"/>
              </w:rPr>
            </w:pPr>
            <w:r>
              <w:rPr>
                <w:rFonts w:ascii="Arial" w:cs="Arial" w:eastAsia="Arial" w:hAnsi="Arial"/>
                <w:sz w:val="16"/>
                <w:szCs w:val="16"/>
                <w:color w:val="auto"/>
              </w:rPr>
              <w:t>1.78 %</w:t>
            </w:r>
          </w:p>
        </w:tc>
        <w:tc>
          <w:tcPr>
            <w:tcW w:w="760" w:type="dxa"/>
            <w:vAlign w:val="bottom"/>
          </w:tcPr>
          <w:p>
            <w:pPr>
              <w:jc w:val="right"/>
              <w:spacing w:after="0" w:line="16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2840" w:type="dxa"/>
            <w:vAlign w:val="bottom"/>
          </w:tcPr>
          <w:p>
            <w:pPr>
              <w:ind w:left="80"/>
              <w:spacing w:after="0"/>
              <w:rPr>
                <w:sz w:val="20"/>
                <w:szCs w:val="20"/>
                <w:color w:val="auto"/>
              </w:rPr>
            </w:pPr>
            <w:r>
              <w:rPr>
                <w:rFonts w:ascii="Arial" w:cs="Arial" w:eastAsia="Arial" w:hAnsi="Arial"/>
                <w:sz w:val="16"/>
                <w:szCs w:val="16"/>
                <w:color w:val="auto"/>
              </w:rPr>
              <w:t>Balducci's, Safeway)</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2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Dick's Sporting Goods, Inc.</w:t>
            </w:r>
          </w:p>
        </w:tc>
        <w:tc>
          <w:tcPr>
            <w:tcW w:w="2140" w:type="dxa"/>
            <w:vAlign w:val="bottom"/>
            <w:shd w:val="clear" w:color="auto" w:fill="CCEEFF"/>
          </w:tcPr>
          <w:p>
            <w:pPr>
              <w:jc w:val="center"/>
              <w:ind w:left="180"/>
              <w:spacing w:after="0"/>
              <w:rPr>
                <w:sz w:val="20"/>
                <w:szCs w:val="20"/>
                <w:color w:val="auto"/>
              </w:rPr>
            </w:pPr>
            <w:r>
              <w:rPr>
                <w:rFonts w:ascii="Arial" w:cs="Arial" w:eastAsia="Arial" w:hAnsi="Arial"/>
                <w:sz w:val="16"/>
                <w:szCs w:val="16"/>
                <w:color w:val="auto"/>
                <w:w w:val="95"/>
              </w:rPr>
              <w:t>NR / NR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6,318,000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0.82 %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2840" w:type="dxa"/>
            <w:vAlign w:val="bottom"/>
          </w:tcPr>
          <w:p>
            <w:pPr>
              <w:ind w:left="80"/>
              <w:spacing w:after="0"/>
              <w:rPr>
                <w:sz w:val="20"/>
                <w:szCs w:val="20"/>
                <w:color w:val="auto"/>
              </w:rPr>
            </w:pPr>
            <w:r>
              <w:rPr>
                <w:rFonts w:ascii="Arial" w:cs="Arial" w:eastAsia="Arial" w:hAnsi="Arial"/>
                <w:sz w:val="16"/>
                <w:szCs w:val="16"/>
                <w:color w:val="auto"/>
              </w:rPr>
              <w:t>Target Corporation</w:t>
            </w:r>
          </w:p>
        </w:tc>
        <w:tc>
          <w:tcPr>
            <w:tcW w:w="2140" w:type="dxa"/>
            <w:vAlign w:val="bottom"/>
          </w:tcPr>
          <w:p>
            <w:pPr>
              <w:jc w:val="center"/>
              <w:ind w:left="180"/>
              <w:spacing w:after="0"/>
              <w:rPr>
                <w:sz w:val="20"/>
                <w:szCs w:val="20"/>
                <w:color w:val="auto"/>
              </w:rPr>
            </w:pPr>
            <w:r>
              <w:rPr>
                <w:rFonts w:ascii="Arial" w:cs="Arial" w:eastAsia="Arial" w:hAnsi="Arial"/>
                <w:sz w:val="16"/>
                <w:szCs w:val="16"/>
                <w:color w:val="auto"/>
              </w:rPr>
              <w:t>A / A2 / 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6,239,000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0.81 %</w:t>
            </w:r>
          </w:p>
        </w:tc>
        <w:tc>
          <w:tcPr>
            <w:tcW w:w="920" w:type="dxa"/>
            <w:vAlign w:val="bottom"/>
          </w:tcPr>
          <w:p>
            <w:pPr>
              <w:jc w:val="right"/>
              <w:spacing w:after="0"/>
              <w:rPr>
                <w:sz w:val="20"/>
                <w:szCs w:val="20"/>
                <w:color w:val="auto"/>
              </w:rPr>
            </w:pPr>
            <w:r>
              <w:rPr>
                <w:rFonts w:ascii="Arial" w:cs="Arial" w:eastAsia="Arial" w:hAnsi="Arial"/>
                <w:sz w:val="16"/>
                <w:szCs w:val="16"/>
                <w:color w:val="auto"/>
              </w:rPr>
              <w:t>627,000</w:t>
            </w:r>
          </w:p>
        </w:tc>
        <w:tc>
          <w:tcPr>
            <w:tcW w:w="1160" w:type="dxa"/>
            <w:vAlign w:val="bottom"/>
          </w:tcPr>
          <w:p>
            <w:pPr>
              <w:jc w:val="right"/>
              <w:spacing w:after="0"/>
              <w:rPr>
                <w:sz w:val="20"/>
                <w:szCs w:val="20"/>
                <w:color w:val="auto"/>
              </w:rPr>
            </w:pPr>
            <w:r>
              <w:rPr>
                <w:rFonts w:ascii="Arial" w:cs="Arial" w:eastAsia="Arial" w:hAnsi="Arial"/>
                <w:sz w:val="16"/>
                <w:szCs w:val="16"/>
                <w:color w:val="auto"/>
              </w:rPr>
              <w:t>2.22 %</w:t>
            </w: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2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DSW, Inc</w:t>
            </w:r>
          </w:p>
        </w:tc>
        <w:tc>
          <w:tcPr>
            <w:tcW w:w="2140" w:type="dxa"/>
            <w:vAlign w:val="bottom"/>
            <w:shd w:val="clear" w:color="auto" w:fill="CCEEFF"/>
          </w:tcPr>
          <w:p>
            <w:pPr>
              <w:jc w:val="center"/>
              <w:ind w:left="180"/>
              <w:spacing w:after="0"/>
              <w:rPr>
                <w:sz w:val="20"/>
                <w:szCs w:val="20"/>
                <w:color w:val="auto"/>
              </w:rPr>
            </w:pPr>
            <w:r>
              <w:rPr>
                <w:rFonts w:ascii="Arial" w:cs="Arial" w:eastAsia="Arial" w:hAnsi="Arial"/>
                <w:sz w:val="16"/>
                <w:szCs w:val="16"/>
                <w:color w:val="auto"/>
                <w:w w:val="95"/>
              </w:rPr>
              <w:t>NR / NR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5,720,000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0.74 %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0.79 %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840" w:type="dxa"/>
            <w:vAlign w:val="bottom"/>
          </w:tcPr>
          <w:p>
            <w:pPr>
              <w:ind w:left="80"/>
              <w:spacing w:after="0"/>
              <w:rPr>
                <w:sz w:val="20"/>
                <w:szCs w:val="20"/>
                <w:color w:val="auto"/>
              </w:rPr>
            </w:pPr>
            <w:r>
              <w:rPr>
                <w:rFonts w:ascii="Arial" w:cs="Arial" w:eastAsia="Arial" w:hAnsi="Arial"/>
                <w:sz w:val="16"/>
                <w:szCs w:val="16"/>
                <w:color w:val="auto"/>
              </w:rPr>
              <w:t>Ulta Beauty, Inc.</w:t>
            </w:r>
          </w:p>
        </w:tc>
        <w:tc>
          <w:tcPr>
            <w:tcW w:w="2140" w:type="dxa"/>
            <w:vAlign w:val="bottom"/>
          </w:tcPr>
          <w:p>
            <w:pPr>
              <w:jc w:val="center"/>
              <w:ind w:left="180"/>
              <w:spacing w:after="0"/>
              <w:rPr>
                <w:sz w:val="20"/>
                <w:szCs w:val="20"/>
                <w:color w:val="auto"/>
              </w:rPr>
            </w:pPr>
            <w:r>
              <w:rPr>
                <w:rFonts w:ascii="Arial" w:cs="Arial" w:eastAsia="Arial" w:hAnsi="Arial"/>
                <w:sz w:val="16"/>
                <w:szCs w:val="16"/>
                <w:color w:val="auto"/>
                <w:w w:val="95"/>
              </w:rPr>
              <w:t>NR / NR / 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5,670,000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0.73 %</w:t>
            </w:r>
          </w:p>
        </w:tc>
        <w:tc>
          <w:tcPr>
            <w:tcW w:w="920" w:type="dxa"/>
            <w:vAlign w:val="bottom"/>
          </w:tcPr>
          <w:p>
            <w:pPr>
              <w:jc w:val="right"/>
              <w:spacing w:after="0"/>
              <w:rPr>
                <w:sz w:val="20"/>
                <w:szCs w:val="20"/>
                <w:color w:val="auto"/>
              </w:rPr>
            </w:pPr>
            <w:r>
              <w:rPr>
                <w:rFonts w:ascii="Arial" w:cs="Arial" w:eastAsia="Arial" w:hAnsi="Arial"/>
                <w:sz w:val="16"/>
                <w:szCs w:val="16"/>
                <w:color w:val="auto"/>
              </w:rPr>
              <w:t>161,000</w:t>
            </w:r>
          </w:p>
        </w:tc>
        <w:tc>
          <w:tcPr>
            <w:tcW w:w="1160" w:type="dxa"/>
            <w:vAlign w:val="bottom"/>
          </w:tcPr>
          <w:p>
            <w:pPr>
              <w:jc w:val="right"/>
              <w:spacing w:after="0"/>
              <w:rPr>
                <w:sz w:val="20"/>
                <w:szCs w:val="20"/>
                <w:color w:val="auto"/>
              </w:rPr>
            </w:pPr>
            <w:r>
              <w:rPr>
                <w:rFonts w:ascii="Arial" w:cs="Arial" w:eastAsia="Arial" w:hAnsi="Arial"/>
                <w:sz w:val="16"/>
                <w:szCs w:val="16"/>
                <w:color w:val="auto"/>
              </w:rPr>
              <w:t>0.57 %</w:t>
            </w: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2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AMC Entertainment Inc.</w:t>
            </w:r>
          </w:p>
        </w:tc>
        <w:tc>
          <w:tcPr>
            <w:tcW w:w="2140" w:type="dxa"/>
            <w:vAlign w:val="bottom"/>
            <w:shd w:val="clear" w:color="auto" w:fill="CCEEFF"/>
          </w:tcPr>
          <w:p>
            <w:pPr>
              <w:jc w:val="center"/>
              <w:ind w:left="200"/>
              <w:spacing w:after="0"/>
              <w:rPr>
                <w:sz w:val="20"/>
                <w:szCs w:val="20"/>
                <w:color w:val="auto"/>
              </w:rPr>
            </w:pPr>
            <w:r>
              <w:rPr>
                <w:rFonts w:ascii="Arial" w:cs="Arial" w:eastAsia="Arial" w:hAnsi="Arial"/>
                <w:sz w:val="16"/>
                <w:szCs w:val="16"/>
                <w:color w:val="auto"/>
                <w:w w:val="92"/>
              </w:rPr>
              <w:t>CCC+ / Caa3 / NR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5,424,000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0.70 %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840" w:type="dxa"/>
            <w:vAlign w:val="bottom"/>
          </w:tcPr>
          <w:p>
            <w:pPr>
              <w:ind w:left="80"/>
              <w:spacing w:after="0"/>
              <w:rPr>
                <w:sz w:val="20"/>
                <w:szCs w:val="20"/>
                <w:color w:val="auto"/>
              </w:rPr>
            </w:pPr>
            <w:r>
              <w:rPr>
                <w:rFonts w:ascii="Arial" w:cs="Arial" w:eastAsia="Arial" w:hAnsi="Arial"/>
                <w:sz w:val="16"/>
                <w:szCs w:val="16"/>
                <w:color w:val="auto"/>
              </w:rPr>
              <w:t>Hudson's Bay Company (Saks)</w:t>
            </w:r>
          </w:p>
        </w:tc>
        <w:tc>
          <w:tcPr>
            <w:tcW w:w="2140" w:type="dxa"/>
            <w:vAlign w:val="bottom"/>
          </w:tcPr>
          <w:p>
            <w:pPr>
              <w:jc w:val="center"/>
              <w:ind w:left="180"/>
              <w:spacing w:after="0"/>
              <w:rPr>
                <w:sz w:val="20"/>
                <w:szCs w:val="20"/>
                <w:color w:val="auto"/>
              </w:rPr>
            </w:pPr>
            <w:r>
              <w:rPr>
                <w:rFonts w:ascii="Arial" w:cs="Arial" w:eastAsia="Arial" w:hAnsi="Arial"/>
                <w:sz w:val="16"/>
                <w:szCs w:val="16"/>
                <w:color w:val="auto"/>
                <w:w w:val="95"/>
              </w:rPr>
              <w:t>NR / NR / NR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5,155,000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0.67 %</w:t>
            </w:r>
          </w:p>
        </w:tc>
        <w:tc>
          <w:tcPr>
            <w:tcW w:w="920" w:type="dxa"/>
            <w:vAlign w:val="bottom"/>
          </w:tcPr>
          <w:p>
            <w:pPr>
              <w:jc w:val="right"/>
              <w:spacing w:after="0"/>
              <w:rPr>
                <w:sz w:val="20"/>
                <w:szCs w:val="20"/>
                <w:color w:val="auto"/>
              </w:rPr>
            </w:pPr>
            <w:r>
              <w:rPr>
                <w:rFonts w:ascii="Arial" w:cs="Arial" w:eastAsia="Arial" w:hAnsi="Arial"/>
                <w:sz w:val="16"/>
                <w:szCs w:val="16"/>
                <w:color w:val="auto"/>
              </w:rPr>
              <w:t>100,000</w:t>
            </w:r>
          </w:p>
        </w:tc>
        <w:tc>
          <w:tcPr>
            <w:tcW w:w="1160" w:type="dxa"/>
            <w:vAlign w:val="bottom"/>
          </w:tcPr>
          <w:p>
            <w:pPr>
              <w:jc w:val="right"/>
              <w:spacing w:after="0"/>
              <w:rPr>
                <w:sz w:val="20"/>
                <w:szCs w:val="20"/>
                <w:color w:val="auto"/>
              </w:rPr>
            </w:pPr>
            <w:r>
              <w:rPr>
                <w:rFonts w:ascii="Arial" w:cs="Arial" w:eastAsia="Arial" w:hAnsi="Arial"/>
                <w:sz w:val="16"/>
                <w:szCs w:val="16"/>
                <w:color w:val="auto"/>
              </w:rPr>
              <w:t>0.35 %</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2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Wells Fargo Bank, N.A.</w:t>
            </w:r>
          </w:p>
        </w:tc>
        <w:tc>
          <w:tcPr>
            <w:tcW w:w="2140" w:type="dxa"/>
            <w:vAlign w:val="bottom"/>
            <w:shd w:val="clear" w:color="auto" w:fill="CCEEFF"/>
          </w:tcPr>
          <w:p>
            <w:pPr>
              <w:jc w:val="center"/>
              <w:ind w:left="180"/>
              <w:spacing w:after="0"/>
              <w:rPr>
                <w:sz w:val="20"/>
                <w:szCs w:val="20"/>
                <w:color w:val="auto"/>
              </w:rPr>
            </w:pPr>
            <w:r>
              <w:rPr>
                <w:rFonts w:ascii="Arial" w:cs="Arial" w:eastAsia="Arial" w:hAnsi="Arial"/>
                <w:sz w:val="16"/>
                <w:szCs w:val="16"/>
                <w:color w:val="auto"/>
              </w:rPr>
              <w:t>BBB+ / A1 / 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5,062,000</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0.66 %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66,000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2840" w:type="dxa"/>
            <w:vAlign w:val="bottom"/>
          </w:tcPr>
          <w:p>
            <w:pPr>
              <w:ind w:left="80"/>
              <w:spacing w:after="0"/>
              <w:rPr>
                <w:sz w:val="20"/>
                <w:szCs w:val="20"/>
                <w:color w:val="auto"/>
              </w:rPr>
            </w:pPr>
            <w:r>
              <w:rPr>
                <w:rFonts w:ascii="Arial" w:cs="Arial" w:eastAsia="Arial" w:hAnsi="Arial"/>
                <w:sz w:val="16"/>
                <w:szCs w:val="16"/>
                <w:color w:val="auto"/>
              </w:rPr>
              <w:t>JPMorgan Chase Bank</w:t>
            </w:r>
          </w:p>
        </w:tc>
        <w:tc>
          <w:tcPr>
            <w:tcW w:w="2140" w:type="dxa"/>
            <w:vAlign w:val="bottom"/>
          </w:tcPr>
          <w:p>
            <w:pPr>
              <w:jc w:val="center"/>
              <w:ind w:left="200"/>
              <w:spacing w:after="0"/>
              <w:rPr>
                <w:sz w:val="20"/>
                <w:szCs w:val="20"/>
                <w:color w:val="auto"/>
              </w:rPr>
            </w:pPr>
            <w:r>
              <w:rPr>
                <w:rFonts w:ascii="Arial" w:cs="Arial" w:eastAsia="Arial" w:hAnsi="Arial"/>
                <w:sz w:val="16"/>
                <w:szCs w:val="16"/>
                <w:color w:val="auto"/>
              </w:rPr>
              <w:t>A- / A2 / AA-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5,060,000</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0.66 %</w:t>
            </w:r>
          </w:p>
        </w:tc>
        <w:tc>
          <w:tcPr>
            <w:tcW w:w="920" w:type="dxa"/>
            <w:vAlign w:val="bottom"/>
          </w:tcPr>
          <w:p>
            <w:pPr>
              <w:jc w:val="right"/>
              <w:spacing w:after="0"/>
              <w:rPr>
                <w:sz w:val="20"/>
                <w:szCs w:val="20"/>
                <w:color w:val="auto"/>
              </w:rPr>
            </w:pPr>
            <w:r>
              <w:rPr>
                <w:rFonts w:ascii="Arial" w:cs="Arial" w:eastAsia="Arial" w:hAnsi="Arial"/>
                <w:sz w:val="16"/>
                <w:szCs w:val="16"/>
                <w:color w:val="auto"/>
              </w:rPr>
              <w:t>86,000</w:t>
            </w:r>
          </w:p>
        </w:tc>
        <w:tc>
          <w:tcPr>
            <w:tcW w:w="1160" w:type="dxa"/>
            <w:vAlign w:val="bottom"/>
          </w:tcPr>
          <w:p>
            <w:pPr>
              <w:jc w:val="right"/>
              <w:spacing w:after="0"/>
              <w:rPr>
                <w:sz w:val="20"/>
                <w:szCs w:val="20"/>
                <w:color w:val="auto"/>
              </w:rPr>
            </w:pPr>
            <w:r>
              <w:rPr>
                <w:rFonts w:ascii="Arial" w:cs="Arial" w:eastAsia="Arial" w:hAnsi="Arial"/>
                <w:sz w:val="16"/>
                <w:szCs w:val="16"/>
                <w:color w:val="auto"/>
              </w:rPr>
              <w:t>0.30 %</w:t>
            </w: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28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Whole Foods Market, Inc.</w:t>
            </w:r>
          </w:p>
        </w:tc>
        <w:tc>
          <w:tcPr>
            <w:tcW w:w="2140" w:type="dxa"/>
            <w:vAlign w:val="bottom"/>
            <w:shd w:val="clear" w:color="auto" w:fill="CCEEFF"/>
          </w:tcPr>
          <w:p>
            <w:pPr>
              <w:jc w:val="center"/>
              <w:ind w:left="180"/>
              <w:spacing w:after="0"/>
              <w:rPr>
                <w:sz w:val="20"/>
                <w:szCs w:val="20"/>
                <w:color w:val="auto"/>
              </w:rPr>
            </w:pPr>
            <w:r>
              <w:rPr>
                <w:rFonts w:ascii="Arial" w:cs="Arial" w:eastAsia="Arial" w:hAnsi="Arial"/>
                <w:sz w:val="16"/>
                <w:szCs w:val="16"/>
                <w:color w:val="auto"/>
                <w:w w:val="99"/>
              </w:rPr>
              <w:t>AA- / A1 / NR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4,772,000</w:t>
            </w: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0.62 %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167,000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0.59 %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2840" w:type="dxa"/>
            <w:vAlign w:val="bottom"/>
          </w:tcPr>
          <w:p>
            <w:pPr>
              <w:ind w:left="80"/>
              <w:spacing w:after="0"/>
              <w:rPr>
                <w:sz w:val="20"/>
                <w:szCs w:val="20"/>
                <w:color w:val="auto"/>
              </w:rPr>
            </w:pPr>
            <w:r>
              <w:rPr>
                <w:rFonts w:ascii="Arial" w:cs="Arial" w:eastAsia="Arial" w:hAnsi="Arial"/>
                <w:sz w:val="16"/>
                <w:szCs w:val="16"/>
                <w:color w:val="auto"/>
              </w:rPr>
              <w:t>Totals - Top 25 Tenants</w:t>
            </w:r>
          </w:p>
        </w:tc>
        <w:tc>
          <w:tcPr>
            <w:tcW w:w="2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203,412,000</w:t>
            </w: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26.35 %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8,532,000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30.25 %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840" w:type="dxa"/>
            <w:vAlign w:val="bottom"/>
          </w:tcPr>
          <w:p>
            <w:pPr>
              <w:ind w:left="80"/>
              <w:spacing w:after="0"/>
              <w:rPr>
                <w:sz w:val="20"/>
                <w:szCs w:val="20"/>
                <w:color w:val="auto"/>
              </w:rPr>
            </w:pPr>
            <w:r>
              <w:rPr>
                <w:rFonts w:ascii="Arial" w:cs="Arial" w:eastAsia="Arial" w:hAnsi="Arial"/>
                <w:sz w:val="16"/>
                <w:szCs w:val="16"/>
                <w:color w:val="auto"/>
              </w:rPr>
              <w:t>Total (5):</w:t>
            </w:r>
          </w:p>
        </w:tc>
        <w:tc>
          <w:tcPr>
            <w:tcW w:w="2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771,865,000</w:t>
            </w:r>
          </w:p>
        </w:tc>
        <w:tc>
          <w:tcPr>
            <w:tcW w:w="1580" w:type="dxa"/>
            <w:vAlign w:val="bottom"/>
          </w:tcPr>
          <w:p>
            <w:pPr>
              <w:jc w:val="right"/>
              <w:ind w:right="1300"/>
              <w:spacing w:after="0"/>
              <w:rPr>
                <w:sz w:val="20"/>
                <w:szCs w:val="20"/>
                <w:color w:val="auto"/>
              </w:rPr>
            </w:pPr>
            <w:r>
              <w:rPr>
                <w:rFonts w:ascii="Arial" w:cs="Arial" w:eastAsia="Arial" w:hAnsi="Arial"/>
                <w:sz w:val="16"/>
                <w:szCs w:val="16"/>
                <w:color w:val="auto"/>
                <w:w w:val="91"/>
              </w:rPr>
              <w:t>(2)</w:t>
            </w:r>
          </w:p>
        </w:tc>
        <w:tc>
          <w:tcPr>
            <w:tcW w:w="920" w:type="dxa"/>
            <w:vAlign w:val="bottom"/>
          </w:tcPr>
          <w:p>
            <w:pPr>
              <w:jc w:val="right"/>
              <w:spacing w:after="0"/>
              <w:rPr>
                <w:sz w:val="20"/>
                <w:szCs w:val="20"/>
                <w:color w:val="auto"/>
              </w:rPr>
            </w:pPr>
            <w:r>
              <w:rPr>
                <w:rFonts w:ascii="Arial" w:cs="Arial" w:eastAsia="Arial" w:hAnsi="Arial"/>
                <w:sz w:val="16"/>
                <w:szCs w:val="16"/>
                <w:color w:val="auto"/>
              </w:rPr>
              <w:t>28,203,000</w:t>
            </w:r>
          </w:p>
        </w:tc>
        <w:tc>
          <w:tcPr>
            <w:tcW w:w="1160" w:type="dxa"/>
            <w:vAlign w:val="bottom"/>
          </w:tcPr>
          <w:p>
            <w:pPr>
              <w:jc w:val="right"/>
              <w:ind w:right="860"/>
              <w:spacing w:after="0"/>
              <w:rPr>
                <w:sz w:val="20"/>
                <w:szCs w:val="20"/>
                <w:color w:val="auto"/>
              </w:rPr>
            </w:pPr>
            <w:r>
              <w:rPr>
                <w:rFonts w:ascii="Arial" w:cs="Arial" w:eastAsia="Arial" w:hAnsi="Arial"/>
                <w:sz w:val="16"/>
                <w:szCs w:val="16"/>
                <w:color w:val="auto"/>
              </w:rPr>
              <w:t>(4)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640" w:hanging="621"/>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Credit Ratings are as of December 31, 2021. Subsequent rating changes have not been reflected.</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40" w:top="931" w:right="359" w:bottom="1440" w:gutter="0" w:footer="0" w:header="0"/>
        </w:sectPr>
      </w:pPr>
    </w:p>
    <w:bookmarkStart w:id="34" w:name="page35"/>
    <w:bookmarkEnd w:id="34"/>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Tenant Diversification by Category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2021</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The below reflects the breakout of our Annualized Base Rent</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as of December 31, 2021 by type of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4512945</wp:posOffset>
            </wp:positionV>
            <wp:extent cx="7140575"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24% of Annualized Base Rent comes from Essential Retail</w:t>
      </w:r>
    </w:p>
    <w:p>
      <w:pPr>
        <w:spacing w:after="0" w:line="7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22% of Annualized Base Rent comes from Office and Residential</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w:t>
      </w:r>
    </w:p>
    <w:p>
      <w:pPr>
        <w:spacing w:after="0" w:line="131" w:lineRule="exact"/>
        <w:rPr>
          <w:sz w:val="20"/>
          <w:szCs w:val="20"/>
          <w:color w:val="auto"/>
        </w:rPr>
      </w:pPr>
    </w:p>
    <w:p>
      <w:pPr>
        <w:ind w:left="560" w:hanging="534"/>
        <w:spacing w:after="0"/>
        <w:tabs>
          <w:tab w:leader="none" w:pos="5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See Glossary of Terms. Excludes redevelopment square footage not yet placed in service.</w:t>
      </w:r>
    </w:p>
    <w:p>
      <w:pPr>
        <w:spacing w:after="0" w:line="34" w:lineRule="exact"/>
        <w:rPr>
          <w:rFonts w:ascii="Arial" w:cs="Arial" w:eastAsia="Arial" w:hAnsi="Arial"/>
          <w:sz w:val="17"/>
          <w:szCs w:val="17"/>
          <w:color w:val="auto"/>
        </w:rPr>
      </w:pPr>
    </w:p>
    <w:p>
      <w:pPr>
        <w:ind w:left="560" w:hanging="534"/>
        <w:spacing w:after="0"/>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Communications &amp; Home Office includes: Telecommunications, Electronics, and Office Supply.</w:t>
      </w:r>
    </w:p>
    <w:p>
      <w:pPr>
        <w:spacing w:after="0" w:line="45" w:lineRule="exact"/>
        <w:rPr>
          <w:rFonts w:ascii="Arial" w:cs="Arial" w:eastAsia="Arial" w:hAnsi="Arial"/>
          <w:sz w:val="16"/>
          <w:szCs w:val="16"/>
          <w:color w:val="auto"/>
        </w:rPr>
      </w:pPr>
    </w:p>
    <w:p>
      <w:pPr>
        <w:ind w:left="560" w:hanging="534"/>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Essential includes: Auto, Liquor, Home Improvement, Pets, and Medical.</w:t>
      </w:r>
    </w:p>
    <w:p>
      <w:pPr>
        <w:spacing w:after="0" w:line="22" w:lineRule="exact"/>
        <w:rPr>
          <w:rFonts w:ascii="Arial" w:cs="Arial" w:eastAsia="Arial" w:hAnsi="Arial"/>
          <w:sz w:val="18"/>
          <w:szCs w:val="18"/>
          <w:color w:val="auto"/>
        </w:rPr>
      </w:pPr>
    </w:p>
    <w:p>
      <w:pPr>
        <w:ind w:left="560" w:hanging="534"/>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Restaurants comprise full service (less than 8%) and quick service (8%).</w:t>
      </w:r>
    </w:p>
    <w:p>
      <w:pPr>
        <w:spacing w:after="0" w:line="22" w:lineRule="exact"/>
        <w:rPr>
          <w:rFonts w:ascii="Arial" w:cs="Arial" w:eastAsia="Arial" w:hAnsi="Arial"/>
          <w:sz w:val="18"/>
          <w:szCs w:val="18"/>
          <w:color w:val="auto"/>
        </w:rPr>
      </w:pPr>
    </w:p>
    <w:p>
      <w:pPr>
        <w:ind w:left="560" w:hanging="534"/>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Experiential includes: Activity, Cinema, and Entertainment.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139"/>
          </w:cols>
          <w:pgMar w:left="320" w:top="931" w:right="1440" w:bottom="1440" w:gutter="0" w:footer="0" w:header="0"/>
        </w:sectPr>
      </w:pPr>
    </w:p>
    <w:bookmarkStart w:id="35" w:name="page36"/>
    <w:bookmarkEnd w:id="35"/>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FFO Guidance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of the range of estimated earnings per diluted share to estimated FFO per diluted share for the full year 2022.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Estimates do not include the impact from potential acquisitions or dispositions which have not closed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133350</wp:posOffset>
            </wp:positionV>
            <wp:extent cx="17399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199" w:lineRule="exact"/>
        <w:rPr>
          <w:sz w:val="20"/>
          <w:szCs w:val="20"/>
          <w:color w:val="auto"/>
        </w:rPr>
      </w:pPr>
    </w:p>
    <w:p>
      <w:pPr>
        <w:jc w:val="center"/>
        <w:ind w:left="8440"/>
        <w:spacing w:after="0"/>
        <w:rPr>
          <w:sz w:val="20"/>
          <w:szCs w:val="20"/>
          <w:color w:val="auto"/>
        </w:rPr>
      </w:pPr>
      <w:r>
        <w:rPr>
          <w:rFonts w:ascii="Arial" w:cs="Arial" w:eastAsia="Arial" w:hAnsi="Arial"/>
          <w:sz w:val="17"/>
          <w:szCs w:val="17"/>
          <w:b w:val="1"/>
          <w:bCs w:val="1"/>
          <w:color w:val="auto"/>
        </w:rPr>
        <w:t>Full Year 2022 Guidance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24765</wp:posOffset>
            </wp:positionV>
            <wp:extent cx="17399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34" w:lineRule="exact"/>
        <w:rPr>
          <w:sz w:val="20"/>
          <w:szCs w:val="20"/>
          <w:color w:val="auto"/>
        </w:rPr>
      </w:pPr>
    </w:p>
    <w:p>
      <w:pPr>
        <w:ind w:left="8940"/>
        <w:spacing w:after="0"/>
        <w:tabs>
          <w:tab w:leader="none" w:pos="10380" w:val="left"/>
        </w:tabs>
        <w:rPr>
          <w:sz w:val="20"/>
          <w:szCs w:val="20"/>
          <w:color w:val="auto"/>
        </w:rPr>
      </w:pPr>
      <w:r>
        <w:rPr>
          <w:rFonts w:ascii="Arial" w:cs="Arial" w:eastAsia="Arial" w:hAnsi="Arial"/>
          <w:sz w:val="18"/>
          <w:szCs w:val="18"/>
          <w:color w:val="auto"/>
        </w:rPr>
        <w:t>Low</w:t>
      </w:r>
      <w:r>
        <w:rPr>
          <w:sz w:val="20"/>
          <w:szCs w:val="20"/>
          <w:color w:val="auto"/>
        </w:rPr>
        <w:tab/>
      </w:r>
      <w:r>
        <w:rPr>
          <w:rFonts w:ascii="Arial" w:cs="Arial" w:eastAsia="Arial" w:hAnsi="Arial"/>
          <w:sz w:val="18"/>
          <w:szCs w:val="18"/>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40"/>
        <w:spacing w:after="0"/>
        <w:tabs>
          <w:tab w:leader="none" w:pos="8480" w:val="left"/>
          <w:tab w:leader="none" w:pos="9320" w:val="left"/>
          <w:tab w:leader="none" w:pos="9940" w:val="left"/>
          <w:tab w:leader="none" w:pos="10820" w:val="left"/>
        </w:tabs>
        <w:rPr>
          <w:sz w:val="20"/>
          <w:szCs w:val="20"/>
          <w:color w:val="auto"/>
        </w:rPr>
      </w:pPr>
      <w:r>
        <w:rPr>
          <w:rFonts w:ascii="Arial" w:cs="Arial" w:eastAsia="Arial" w:hAnsi="Arial"/>
          <w:sz w:val="18"/>
          <w:szCs w:val="18"/>
          <w:color w:val="auto"/>
        </w:rPr>
        <w:t>Estimated net income available to common shareholders, per diluted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Adjustments:</w:t>
      </w:r>
    </w:p>
    <w:p>
      <w:pPr>
        <w:sectPr>
          <w:pgSz w:w="11900" w:h="16838" w:orient="portrait"/>
          <w:cols w:equalWidth="0" w:num="1">
            <w:col w:w="11240"/>
          </w:cols>
          <w:pgMar w:left="320" w:top="931" w:right="339" w:bottom="1440" w:gutter="0" w:footer="0" w:header="0"/>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Estimated FFO per diluted share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See Glossary of Terms. Individual items may not add up to total due to rounding.</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right"/>
        <w:ind w:right="100"/>
        <w:spacing w:after="0"/>
        <w:tabs>
          <w:tab w:leader="none" w:pos="28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5"/>
          <w:szCs w:val="15"/>
          <w:color w:val="auto"/>
        </w:rPr>
        <w:t>3.45</w:t>
      </w:r>
    </w:p>
    <w:p>
      <w:pPr>
        <w:spacing w:after="0" w:line="35" w:lineRule="exact"/>
        <w:rPr>
          <w:sz w:val="20"/>
          <w:szCs w:val="20"/>
          <w:color w:val="auto"/>
        </w:rPr>
      </w:pPr>
    </w:p>
    <w:p>
      <w:pPr>
        <w:spacing w:after="0"/>
        <w:tabs>
          <w:tab w:leader="none" w:pos="820" w:val="left"/>
          <w:tab w:leader="none" w:pos="1440" w:val="left"/>
          <w:tab w:leader="none" w:pos="2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40640</wp:posOffset>
            </wp:positionV>
            <wp:extent cx="17399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7780" w:space="720"/>
            <w:col w:w="2740"/>
          </w:cols>
          <w:pgMar w:left="320" w:top="931" w:right="339" w:bottom="1440" w:gutter="0" w:footer="0" w:header="0"/>
          <w:type w:val="continuous"/>
        </w:sect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Guidance Assumptions:</w:t>
            </w:r>
          </w:p>
        </w:tc>
        <w:tc>
          <w:tcPr>
            <w:tcW w:w="744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1940" w:type="dxa"/>
            <w:vAlign w:val="bottom"/>
          </w:tcPr>
          <w:p>
            <w:pPr>
              <w:spacing w:after="0"/>
              <w:rPr>
                <w:sz w:val="15"/>
                <w:szCs w:val="15"/>
                <w:color w:val="auto"/>
              </w:rPr>
            </w:pPr>
          </w:p>
        </w:tc>
        <w:tc>
          <w:tcPr>
            <w:tcW w:w="7440" w:type="dxa"/>
            <w:vAlign w:val="bottom"/>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Comparable properties growth</w:t>
            </w:r>
          </w:p>
        </w:tc>
        <w:tc>
          <w:tcPr>
            <w:tcW w:w="74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3% - 5%</w:t>
            </w:r>
          </w:p>
        </w:tc>
      </w:tr>
      <w:tr>
        <w:trPr>
          <w:trHeight w:val="229"/>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7440" w:type="dxa"/>
            <w:vAlign w:val="bottom"/>
          </w:tcPr>
          <w:p>
            <w:pPr>
              <w:ind w:left="1120"/>
              <w:spacing w:after="0"/>
              <w:rPr>
                <w:sz w:val="20"/>
                <w:szCs w:val="20"/>
                <w:color w:val="auto"/>
              </w:rPr>
            </w:pPr>
            <w:r>
              <w:rPr>
                <w:rFonts w:ascii="Arial" w:cs="Arial" w:eastAsia="Arial" w:hAnsi="Arial"/>
                <w:sz w:val="18"/>
                <w:szCs w:val="18"/>
                <w:color w:val="auto"/>
              </w:rPr>
              <w:t>$50 - $54 million (annual)</w:t>
            </w:r>
          </w:p>
        </w:tc>
      </w:tr>
      <w:tr>
        <w:trPr>
          <w:trHeight w:val="230"/>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74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$1 million (annual)</w:t>
            </w:r>
          </w:p>
        </w:tc>
      </w:tr>
      <w:tr>
        <w:trPr>
          <w:trHeight w:val="229"/>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2021 Dispositions POI</w:t>
            </w:r>
          </w:p>
        </w:tc>
        <w:tc>
          <w:tcPr>
            <w:tcW w:w="7440" w:type="dxa"/>
            <w:vAlign w:val="bottom"/>
          </w:tcPr>
          <w:p>
            <w:pPr>
              <w:ind w:left="1120"/>
              <w:spacing w:after="0"/>
              <w:rPr>
                <w:sz w:val="20"/>
                <w:szCs w:val="20"/>
                <w:color w:val="auto"/>
              </w:rPr>
            </w:pPr>
            <w:r>
              <w:rPr>
                <w:rFonts w:ascii="Arial" w:cs="Arial" w:eastAsia="Arial" w:hAnsi="Arial"/>
                <w:sz w:val="18"/>
                <w:szCs w:val="18"/>
                <w:color w:val="auto"/>
              </w:rPr>
              <w:t>$8 million</w:t>
            </w:r>
          </w:p>
        </w:tc>
      </w:tr>
      <w:tr>
        <w:trPr>
          <w:trHeight w:val="230"/>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Development/redevelopment capital</w:t>
            </w:r>
          </w:p>
        </w:tc>
        <w:tc>
          <w:tcPr>
            <w:tcW w:w="74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$300 - $400 million (annual)</w:t>
            </w:r>
          </w:p>
        </w:tc>
      </w:tr>
      <w:tr>
        <w:trPr>
          <w:trHeight w:val="230"/>
        </w:trPr>
        <w:tc>
          <w:tcPr>
            <w:tcW w:w="2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Equity to be issued</w:t>
            </w:r>
          </w:p>
        </w:tc>
        <w:tc>
          <w:tcPr>
            <w:tcW w:w="7440" w:type="dxa"/>
            <w:vAlign w:val="bottom"/>
          </w:tcPr>
          <w:p>
            <w:pPr>
              <w:ind w:left="1120"/>
              <w:spacing w:after="0"/>
              <w:rPr>
                <w:sz w:val="20"/>
                <w:szCs w:val="20"/>
                <w:color w:val="auto"/>
              </w:rPr>
            </w:pPr>
            <w:r>
              <w:rPr>
                <w:rFonts w:ascii="Arial" w:cs="Arial" w:eastAsia="Arial" w:hAnsi="Arial"/>
                <w:sz w:val="18"/>
                <w:szCs w:val="18"/>
                <w:color w:val="auto"/>
              </w:rPr>
              <w:t>$300 - $400 million (annual)</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Does not assume any changes of tenants moving to or from a cash basis of accounting.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931" w:right="3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t>Glossary of Terms</w:t>
      </w:r>
    </w:p>
    <w:p>
      <w:pPr>
        <w:spacing w:after="0" w:line="86" w:lineRule="exact"/>
        <w:rPr>
          <w:sz w:val="20"/>
          <w:szCs w:val="20"/>
          <w:color w:val="auto"/>
        </w:rPr>
      </w:pPr>
    </w:p>
    <w:p>
      <w:pPr>
        <w:ind w:right="20"/>
        <w:spacing w:after="0" w:line="292" w:lineRule="auto"/>
        <w:rPr>
          <w:sz w:val="20"/>
          <w:szCs w:val="20"/>
          <w:color w:val="auto"/>
        </w:rPr>
      </w:pPr>
      <w:r>
        <w:rPr>
          <w:rFonts w:ascii="Arial" w:cs="Arial" w:eastAsia="Arial" w:hAnsi="Arial"/>
          <w:sz w:val="14"/>
          <w:szCs w:val="14"/>
          <w:b w:val="1"/>
          <w:bCs w:val="1"/>
          <w:color w:val="auto"/>
        </w:rPr>
        <w:t xml:space="preserve">EBITDA for Real Estate ("EBITDAre"): </w:t>
      </w:r>
      <w:r>
        <w:rPr>
          <w:rFonts w:ascii="Arial" w:cs="Arial" w:eastAsia="Arial" w:hAnsi="Arial"/>
          <w:sz w:val="14"/>
          <w:szCs w:val="14"/>
          <w:color w:val="auto"/>
        </w:rPr>
        <w:t>EBITDAre is a non-GAAP measure that the National Association of Real Estate Investment Trusts ("NAREIT") defines as: net</w:t>
      </w:r>
      <w:r>
        <w:rPr>
          <w:rFonts w:ascii="Arial" w:cs="Arial" w:eastAsia="Arial" w:hAnsi="Arial"/>
          <w:sz w:val="14"/>
          <w:szCs w:val="14"/>
          <w:b w:val="1"/>
          <w:bCs w:val="1"/>
          <w:color w:val="auto"/>
        </w:rPr>
        <w:t xml:space="preserve"> </w:t>
      </w:r>
      <w:r>
        <w:rPr>
          <w:rFonts w:ascii="Arial" w:cs="Arial" w:eastAsia="Arial" w:hAnsi="Arial"/>
          <w:sz w:val="14"/>
          <w:szCs w:val="14"/>
          <w:color w:val="auto"/>
        </w:rPr>
        <w:t>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months and year ended December 31, 2021 and 2020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4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6"/>
                <w:szCs w:val="16"/>
                <w:color w:val="auto"/>
              </w:rPr>
            </w:pPr>
          </w:p>
        </w:tc>
      </w:tr>
      <w:tr>
        <w:trPr>
          <w:trHeight w:val="195"/>
        </w:trPr>
        <w:tc>
          <w:tcPr>
            <w:tcW w:w="5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7"/>
        </w:trPr>
        <w:tc>
          <w:tcPr>
            <w:tcW w:w="5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3"/>
        </w:trPr>
        <w:tc>
          <w:tcPr>
            <w:tcW w:w="5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0"/>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116,742</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102,211</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269,081</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135,888</w:t>
            </w: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32,187</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37,543</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127,698</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136,289</w:t>
            </w: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interest income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(1,894)</w:t>
            </w: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Early extinguishment of debt</w:t>
            </w:r>
          </w:p>
        </w:tc>
        <w:tc>
          <w:tcPr>
            <w:tcW w:w="3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11,179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11,179</w:t>
            </w: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(benefit) for income tax</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77,816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64,424</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279,976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255,027</w:t>
            </w: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real estate and change in control of interest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(72,522)</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(86,435)</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(89,950)</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(98,117)</w:t>
            </w:r>
          </w:p>
        </w:tc>
      </w:tr>
      <w:tr>
        <w:trPr>
          <w:trHeight w:val="186"/>
        </w:trPr>
        <w:tc>
          <w:tcPr>
            <w:tcW w:w="5560" w:type="dxa"/>
            <w:vAlign w:val="bottom"/>
          </w:tcPr>
          <w:p>
            <w:pPr>
              <w:ind w:left="20"/>
              <w:spacing w:after="0"/>
              <w:rPr>
                <w:sz w:val="20"/>
                <w:szCs w:val="20"/>
                <w:color w:val="auto"/>
              </w:rPr>
            </w:pPr>
            <w:r>
              <w:rPr>
                <w:rFonts w:ascii="Arial" w:cs="Arial" w:eastAsia="Arial" w:hAnsi="Arial"/>
                <w:sz w:val="14"/>
                <w:szCs w:val="14"/>
                <w:color w:val="auto"/>
              </w:rPr>
              <w:t>Impairment charge</w:t>
            </w:r>
          </w:p>
        </w:tc>
        <w:tc>
          <w:tcPr>
            <w:tcW w:w="3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57,218</w:t>
            </w:r>
          </w:p>
        </w:tc>
      </w:tr>
      <w:tr>
        <w:trPr>
          <w:trHeight w:val="192"/>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of EBITDAre of unconsolidated affiliates</w:t>
            </w: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1,517</w:t>
            </w:r>
          </w:p>
        </w:tc>
        <w:tc>
          <w:tcPr>
            <w:tcW w:w="1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3,678</w:t>
            </w:r>
          </w:p>
        </w:tc>
        <w:tc>
          <w:tcPr>
            <w:tcW w:w="14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6,417</w:t>
            </w:r>
          </w:p>
        </w:tc>
      </w:tr>
      <w:tr>
        <w:trPr>
          <w:trHeight w:val="183"/>
        </w:trPr>
        <w:tc>
          <w:tcPr>
            <w:tcW w:w="5560" w:type="dxa"/>
            <w:vAlign w:val="bottom"/>
          </w:tcPr>
          <w:p>
            <w:pPr>
              <w:ind w:left="360"/>
              <w:spacing w:after="0"/>
              <w:rPr>
                <w:sz w:val="20"/>
                <w:szCs w:val="20"/>
                <w:color w:val="auto"/>
              </w:rPr>
            </w:pPr>
            <w:r>
              <w:rPr>
                <w:rFonts w:ascii="Arial" w:cs="Arial" w:eastAsia="Arial" w:hAnsi="Arial"/>
                <w:sz w:val="14"/>
                <w:szCs w:val="14"/>
                <w:color w:val="auto"/>
              </w:rPr>
              <w:t>EBITDAre</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155,135</w:t>
            </w:r>
          </w:p>
        </w:tc>
        <w:tc>
          <w:tcPr>
            <w:tcW w:w="14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130,024</w:t>
            </w:r>
          </w:p>
        </w:tc>
        <w:tc>
          <w:tcPr>
            <w:tcW w:w="140" w:type="dxa"/>
            <w:vAlign w:val="bottom"/>
          </w:tcPr>
          <w:p>
            <w:pPr>
              <w:spacing w:after="0"/>
              <w:rPr>
                <w:sz w:val="15"/>
                <w:szCs w:val="15"/>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589,792</w:t>
            </w:r>
          </w:p>
        </w:tc>
        <w:tc>
          <w:tcPr>
            <w:tcW w:w="140" w:type="dxa"/>
            <w:vAlign w:val="bottom"/>
          </w:tcPr>
          <w:p>
            <w:pPr>
              <w:spacing w:after="0"/>
              <w:rPr>
                <w:sz w:val="15"/>
                <w:szCs w:val="15"/>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501,813</w:t>
            </w: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b w:val="1"/>
          <w:bCs w:val="1"/>
          <w:color w:val="auto"/>
        </w:rPr>
        <w:t xml:space="preserve">Funds From Operations (FFO): </w:t>
      </w:r>
      <w:r>
        <w:rPr>
          <w:rFonts w:ascii="Arial" w:cs="Arial" w:eastAsia="Arial" w:hAnsi="Arial"/>
          <w:sz w:val="15"/>
          <w:szCs w:val="15"/>
          <w:color w:val="auto"/>
        </w:rPr>
        <w:t>FFO is a supplemental measure of real estate companies' operating performances. NAREIT defines FFO as follows: net income, computed in</w:t>
      </w:r>
      <w:r>
        <w:rPr>
          <w:rFonts w:ascii="Arial" w:cs="Arial" w:eastAsia="Arial" w:hAnsi="Arial"/>
          <w:sz w:val="15"/>
          <w:szCs w:val="15"/>
          <w:b w:val="1"/>
          <w:bCs w:val="1"/>
          <w:color w:val="auto"/>
        </w:rPr>
        <w:t xml:space="preserve"> </w:t>
      </w:r>
      <w:r>
        <w:rPr>
          <w:rFonts w:ascii="Arial" w:cs="Arial" w:eastAsia="Arial" w:hAnsi="Arial"/>
          <w:sz w:val="15"/>
          <w:szCs w:val="15"/>
          <w:color w:val="auto"/>
        </w:rPr>
        <w:t>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Property Operating Income: </w:t>
      </w:r>
      <w:r>
        <w:rPr>
          <w:rFonts w:ascii="Arial" w:cs="Arial" w:eastAsia="Arial" w:hAnsi="Arial"/>
          <w:sz w:val="16"/>
          <w:szCs w:val="16"/>
          <w:color w:val="auto"/>
        </w:rPr>
        <w:t>Rental income and mortgage interest income, less rental expenses and real estate taxes.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Overall Portfolio: </w:t>
      </w:r>
      <w:r>
        <w:rPr>
          <w:rFonts w:ascii="Arial" w:cs="Arial" w:eastAsia="Arial" w:hAnsi="Arial"/>
          <w:sz w:val="16"/>
          <w:szCs w:val="16"/>
          <w:color w:val="auto"/>
        </w:rPr>
        <w:t>Includes all operating properties owned in reporting period.</w:t>
      </w:r>
    </w:p>
    <w:p>
      <w:pPr>
        <w:spacing w:after="0" w:line="86"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b w:val="1"/>
          <w:bCs w:val="1"/>
          <w:color w:val="auto"/>
        </w:rPr>
        <w:t xml:space="preserve">Comparable Properties: </w:t>
      </w:r>
      <w:r>
        <w:rPr>
          <w:rFonts w:ascii="Arial" w:cs="Arial" w:eastAsia="Arial" w:hAnsi="Arial"/>
          <w:sz w:val="16"/>
          <w:szCs w:val="16"/>
          <w:color w:val="auto"/>
        </w:rPr>
        <w:t>Represents our consolidated property portfolio other than those properties that distort comparability between periods in two primary categories: (1)</w:t>
      </w:r>
      <w:r>
        <w:rPr>
          <w:rFonts w:ascii="Arial" w:cs="Arial" w:eastAsia="Arial" w:hAnsi="Arial"/>
          <w:sz w:val="16"/>
          <w:szCs w:val="16"/>
          <w:b w:val="1"/>
          <w:bCs w:val="1"/>
          <w:color w:val="auto"/>
        </w:rPr>
        <w:t xml:space="preserve"> </w:t>
      </w:r>
      <w:r>
        <w:rPr>
          <w:rFonts w:ascii="Arial" w:cs="Arial" w:eastAsia="Arial" w:hAnsi="Arial"/>
          <w:sz w:val="16"/>
          <w:szCs w:val="16"/>
          <w:color w:val="auto"/>
        </w:rPr>
        <w:t>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64"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b w:val="1"/>
          <w:bCs w:val="1"/>
          <w:color w:val="auto"/>
        </w:rPr>
        <w:t xml:space="preserve">Annualized Base Rent (ABR): </w:t>
      </w:r>
      <w:r>
        <w:rPr>
          <w:rFonts w:ascii="Arial" w:cs="Arial" w:eastAsia="Arial" w:hAnsi="Arial"/>
          <w:sz w:val="16"/>
          <w:szCs w:val="16"/>
          <w:color w:val="auto"/>
        </w:rPr>
        <w:t>Represents aggregate, annualized in-place contractual (defined as rents billed on a cash basis without taking the impact of rent abatements into</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minimum rent for all occupied spaces as of the reporting period.</w:t>
      </w:r>
    </w:p>
    <w:p>
      <w:pPr>
        <w:spacing w:after="0" w:line="52"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b w:val="1"/>
          <w:bCs w:val="1"/>
          <w:color w:val="auto"/>
        </w:rPr>
        <w:t xml:space="preserve">Retail Leasing Summary - Lease Rollover Calculation: </w:t>
      </w:r>
      <w:r>
        <w:rPr>
          <w:rFonts w:ascii="Arial" w:cs="Arial" w:eastAsia="Arial" w:hAnsi="Arial"/>
          <w:sz w:val="15"/>
          <w:szCs w:val="15"/>
          <w:color w:val="auto"/>
        </w:rPr>
        <w:t>The rental increases associated with comparable spaces generally include all leases signed for retail space in arms-length transactions reflecting market leverage between landlords and tenants during the period.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judgment as to how to most effectively reflect the comparability of rents reported in this calculation. As a result of accommodations made to certain tenants to help them to stay open during and after the COVID-19 pandemic, we have found it necessary to exercise more judgement in 2020 and 2021 than in prior years in order to appropriately reflect the comparability of rents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w:t>
      </w:r>
    </w:p>
    <w:p>
      <w:pPr>
        <w:spacing w:after="0" w:line="49" w:lineRule="exact"/>
        <w:rPr>
          <w:sz w:val="20"/>
          <w:szCs w:val="20"/>
          <w:color w:val="auto"/>
        </w:rPr>
      </w:pPr>
    </w:p>
    <w:p>
      <w:pPr>
        <w:ind w:right="500"/>
        <w:spacing w:after="0" w:line="274" w:lineRule="auto"/>
        <w:rPr>
          <w:sz w:val="20"/>
          <w:szCs w:val="20"/>
          <w:color w:val="auto"/>
        </w:rPr>
      </w:pPr>
      <w:r>
        <w:rPr>
          <w:rFonts w:ascii="Arial" w:cs="Arial" w:eastAsia="Arial" w:hAnsi="Arial"/>
          <w:sz w:val="16"/>
          <w:szCs w:val="16"/>
          <w:b w:val="1"/>
          <w:bCs w:val="1"/>
          <w:color w:val="auto"/>
        </w:rPr>
        <w:t xml:space="preserve">Tenant Improvements and Incentives: </w:t>
      </w:r>
      <w:r>
        <w:rPr>
          <w:rFonts w:ascii="Arial" w:cs="Arial" w:eastAsia="Arial" w:hAnsi="Arial"/>
          <w:sz w:val="16"/>
          <w:szCs w:val="16"/>
          <w:color w:val="auto"/>
        </w:rPr>
        <w:t>Represents the total dollars committed for the improvement (fit-out) of a space as it relates to a specific lease. Incentives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paid to tenants as an inducement to sign a lease that do not represent building improvements.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sectPr>
      <w:pgSz w:w="11900" w:h="16838" w:orient="portrait"/>
      <w:cols w:equalWidth="0" w:num="1">
        <w:col w:w="11240"/>
      </w:cols>
      <w:pgMar w:left="320" w:top="9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3"/>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2"/>
    </w:lvl>
  </w:abstractNum>
  <w:abstractNum w:abstractNumId="9">
    <w:nsid w:val="3F2DBA31"/>
    <w:multiLevelType w:val="hybridMultilevel"/>
    <w:lvl w:ilvl="0">
      <w:lvlJc w:val="left"/>
      <w:lvlText w:val="%1)"/>
      <w:numFmt w:val="decimal"/>
      <w:start w:val="6"/>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3"/>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4"/>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2022-02-11T23:00:19Z</dcterms:created>
  <dcterms:modified xsi:type="dcterms:W3CDTF">2022-02-11T23:00:19Z</dcterms:modified>
</cp:coreProperties>
</file>