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pPr>
      <w:r>
        <w:rPr>
          <w:rFonts w:ascii="Times New Roman;sans-serif" w:hAnsi="Times New Roman;sans-serif"/>
          <w:b/>
          <w:color w:val="000000"/>
          <w:sz w:val="28"/>
        </w:rPr>
        <w:t>WASHINGTON, D.C. 20549</w:t>
      </w:r>
      <w:r>
        <w:rPr>
          <w:color w:val="000000"/>
        </w:rPr>
        <w:t> </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1"/>
        <w:gridCol w:w="2661"/>
        <w:gridCol w:w="37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QUARTERLY REPORT PURSUANT TO THE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For the quarterly period ended September 30, 2023 </w:t>
      </w:r>
    </w:p>
    <w:p>
      <w:pPr>
        <w:pStyle w:val="TextBody"/>
        <w:bidi w:val="0"/>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7"/>
        </w:rPr>
      </w:pPr>
      <w:r>
        <w:rPr>
          <w:rFonts w:ascii="Times New Roman;sans-serif" w:hAnsi="Times New Roman;sans-serif"/>
          <w:b/>
          <w:color w:val="000000"/>
          <w:sz w:val="17"/>
        </w:rPr>
        <w:t>For the transition period from              to             </w:t>
      </w:r>
    </w:p>
    <w:p>
      <w:pPr>
        <w:pStyle w:val="TextBody"/>
        <w:bidi w:val="0"/>
        <w:spacing w:lineRule="auto" w:line="288" w:before="80" w:after="283"/>
        <w:jc w:val="center"/>
        <w:rPr/>
      </w:pPr>
      <w:r>
        <w:rPr>
          <w:rFonts w:ascii="Times New Roman;sans-serif" w:hAnsi="Times New Roman;sans-serif"/>
          <w:b/>
          <w:color w:val="000000"/>
          <w:sz w:val="17"/>
        </w:rPr>
        <w:t>Commission file number: 1-07533</w:t>
      </w:r>
      <w:r>
        <w:rPr>
          <w:color w:val="000000"/>
        </w:rPr>
        <w:t> </w:t>
      </w:r>
      <w:r>
        <w:rPr>
          <w:rFonts w:ascii="Times New Roman;sans-serif" w:hAnsi="Times New Roman;sans-serif"/>
          <w:b/>
          <w:color w:val="000000"/>
          <w:sz w:val="17"/>
        </w:rPr>
        <w:t>(Federal Realty Investment Trust)</w:t>
      </w:r>
    </w:p>
    <w:p>
      <w:pPr>
        <w:pStyle w:val="TextBody"/>
        <w:bidi w:val="0"/>
        <w:spacing w:lineRule="auto" w:line="288" w:before="20" w:after="283"/>
        <w:jc w:val="center"/>
        <w:rPr/>
      </w:pPr>
      <w:r>
        <w:rPr>
          <w:rFonts w:ascii="Times New Roman;sans-serif" w:hAnsi="Times New Roman;sans-serif"/>
          <w:b/>
          <w:color w:val="000000"/>
          <w:sz w:val="17"/>
        </w:rPr>
        <w:t>Commission file number: 333-262016-01</w:t>
      </w:r>
      <w:r>
        <w:rPr>
          <w:color w:val="000000"/>
        </w:rPr>
        <w:t> </w:t>
      </w:r>
      <w:r>
        <w:rPr>
          <w:rFonts w:ascii="Times New Roman;sans-serif" w:hAnsi="Times New Roman;sans-serif"/>
          <w:b/>
          <w:color w:val="000000"/>
          <w:sz w:val="17"/>
        </w:rPr>
        <w:t>(Federal Realty OP LP)</w:t>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 xml:space="preserve">FEDERAL REALTY INVESTMENT TRUST </w:t>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FEDERAL REALTY OP LP</w:t>
      </w:r>
    </w:p>
    <w:p>
      <w:pPr>
        <w:pStyle w:val="TextBody"/>
        <w:bidi w:val="0"/>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(Exact Name of Registrant as Specified in its Charter)</w:t>
      </w:r>
    </w:p>
    <w:tbl>
      <w:tblPr>
        <w:tblW w:w="6290" w:type="dxa"/>
        <w:jc w:val="center"/>
        <w:tblInd w:w="0" w:type="dxa"/>
        <w:tblLayout w:type="fixed"/>
        <w:tblCellMar>
          <w:top w:w="28" w:type="dxa"/>
          <w:left w:w="28" w:type="dxa"/>
          <w:bottom w:w="28" w:type="dxa"/>
          <w:right w:w="28" w:type="dxa"/>
        </w:tblCellMar>
      </w:tblPr>
      <w:tblGrid>
        <w:gridCol w:w="418"/>
        <w:gridCol w:w="367"/>
        <w:gridCol w:w="367"/>
        <w:gridCol w:w="367"/>
        <w:gridCol w:w="367"/>
        <w:gridCol w:w="367"/>
        <w:gridCol w:w="367"/>
        <w:gridCol w:w="367"/>
        <w:gridCol w:w="367"/>
        <w:gridCol w:w="109"/>
        <w:gridCol w:w="109"/>
        <w:gridCol w:w="109"/>
        <w:gridCol w:w="760"/>
        <w:gridCol w:w="760"/>
        <w:gridCol w:w="108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87-3916363</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52-0782497</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(State of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(IRS Employer Identification No.)</w:t>
            </w:r>
          </w:p>
        </w:tc>
      </w:tr>
    </w:tbl>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909 Rose Avenue, Suite 200, North Bethesda, Maryland 20852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(301) 998-8100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Investment Trust</w:t>
      </w:r>
    </w:p>
    <w:tbl>
      <w:tblPr>
        <w:tblW w:w="10205" w:type="dxa"/>
        <w:jc w:val="center"/>
        <w:tblInd w:w="0" w:type="dxa"/>
        <w:tblLayout w:type="fixed"/>
        <w:tblCellMar>
          <w:top w:w="28" w:type="dxa"/>
          <w:left w:w="28" w:type="dxa"/>
          <w:bottom w:w="28" w:type="dxa"/>
          <w:right w:w="28" w:type="dxa"/>
        </w:tblCellMar>
      </w:tblPr>
      <w:tblGrid>
        <w:gridCol w:w="2022"/>
        <w:gridCol w:w="1766"/>
        <w:gridCol w:w="1778"/>
        <w:gridCol w:w="415"/>
        <w:gridCol w:w="415"/>
        <w:gridCol w:w="416"/>
        <w:gridCol w:w="991"/>
        <w:gridCol w:w="991"/>
        <w:gridCol w:w="1411"/>
      </w:tblGrid>
      <w:tr>
        <w:trPr/>
        <w:tc>
          <w:tcPr>
            <w:tcW w:w="202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Shares of Beneficial Interest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 par value per share, with associated Common Share Purchase Rights</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Depositary Shares, each representing 1/1000 of a share of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FRT-C</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5.00% Series C Cumulative Redeemable Preferred Stock, $.01 par value per share</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OP LP</w:t>
      </w:r>
    </w:p>
    <w:tbl>
      <w:tblPr>
        <w:tblW w:w="6253" w:type="dxa"/>
        <w:jc w:val="center"/>
        <w:tblInd w:w="0" w:type="dxa"/>
        <w:tblLayout w:type="fixed"/>
        <w:tblCellMar>
          <w:top w:w="28" w:type="dxa"/>
          <w:left w:w="28" w:type="dxa"/>
          <w:bottom w:w="28" w:type="dxa"/>
          <w:right w:w="28" w:type="dxa"/>
        </w:tblCellMar>
      </w:tblPr>
      <w:tblGrid>
        <w:gridCol w:w="530"/>
        <w:gridCol w:w="468"/>
        <w:gridCol w:w="471"/>
        <w:gridCol w:w="424"/>
        <w:gridCol w:w="424"/>
        <w:gridCol w:w="426"/>
        <w:gridCol w:w="1027"/>
        <w:gridCol w:w="1027"/>
        <w:gridCol w:w="1456"/>
      </w:tblGrid>
      <w:tr>
        <w:trPr/>
        <w:tc>
          <w:tcPr>
            <w:tcW w:w="53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None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826" w:type="dxa"/>
        <w:jc w:val="left"/>
        <w:tblInd w:w="0" w:type="dxa"/>
        <w:tblLayout w:type="fixed"/>
        <w:tblCellMar>
          <w:top w:w="28" w:type="dxa"/>
          <w:left w:w="28" w:type="dxa"/>
          <w:bottom w:w="28" w:type="dxa"/>
          <w:right w:w="28" w:type="dxa"/>
        </w:tblCellMar>
      </w:tblPr>
      <w:tblGrid>
        <w:gridCol w:w="630"/>
        <w:gridCol w:w="553"/>
        <w:gridCol w:w="557"/>
        <w:gridCol w:w="191"/>
        <w:gridCol w:w="191"/>
        <w:gridCol w:w="191"/>
        <w:gridCol w:w="673"/>
        <w:gridCol w:w="673"/>
        <w:gridCol w:w="678"/>
        <w:gridCol w:w="191"/>
        <w:gridCol w:w="191"/>
        <w:gridCol w:w="191"/>
        <w:gridCol w:w="109"/>
        <w:gridCol w:w="109"/>
        <w:gridCol w:w="109"/>
        <w:gridCol w:w="574"/>
        <w:gridCol w:w="574"/>
        <w:gridCol w:w="576"/>
        <w:gridCol w:w="131"/>
        <w:gridCol w:w="131"/>
        <w:gridCol w:w="131"/>
        <w:gridCol w:w="673"/>
        <w:gridCol w:w="673"/>
        <w:gridCol w:w="678"/>
        <w:gridCol w:w="131"/>
        <w:gridCol w:w="131"/>
        <w:gridCol w:w="18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OP LP</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center"/>
        <w:rPr/>
      </w:pPr>
      <w:r>
        <w:rPr>
          <w:rFonts w:ascii="Times New Roman;sans-serif" w:hAnsi="Times New Roman;sans-serif"/>
          <w:b w:val="false"/>
          <w:color w:val="000000"/>
          <w:sz w:val="16"/>
        </w:rPr>
        <w:t>Federal Realty Investment Trust </w:t>
      </w:r>
      <w:r>
        <w:rPr>
          <w:color w:val="000000"/>
        </w:rPr>
        <w:t xml:space="preserve">☐  </w:t>
      </w:r>
      <w:r>
        <w:rPr>
          <w:rFonts w:ascii="Times New Roman;sans-serif" w:hAnsi="Times New Roman;sans-serif"/>
          <w:b w:val="false"/>
          <w:color w:val="000000"/>
          <w:sz w:val="16"/>
        </w:rPr>
        <w:t>Federal Realty OP LP </w:t>
      </w:r>
      <w:r>
        <w:rPr>
          <w:color w:val="000000"/>
        </w:rPr>
        <w:t>☐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w:t>
      </w:r>
    </w:p>
    <w:p>
      <w:pPr>
        <w:pStyle w:val="TextBody"/>
        <w:bidi w:val="0"/>
        <w:spacing w:lineRule="auto" w:line="288" w:before="0" w:after="0"/>
        <w:jc w:val="center"/>
        <w:rPr/>
      </w:pPr>
      <w:r>
        <w:rPr>
          <w:rFonts w:ascii="Times New Roman;sans-serif" w:hAnsi="Times New Roman;sans-serif"/>
          <w:b w:val="false"/>
          <w:color w:val="000000"/>
          <w:sz w:val="16"/>
        </w:rPr>
        <w:t xml:space="preserve">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w:t>
      </w:r>
    </w:p>
    <w:p>
      <w:pPr>
        <w:pStyle w:val="TextBody"/>
        <w:bidi w:val="0"/>
        <w:spacing w:lineRule="auto" w:line="288" w:before="10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number of Federal Realty Investment Trust's common shares outstanding on October 30, 2023 was 81,623,163.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EXPLANATORY NOTE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quarter ended September 30, 2023,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September 30, 2023, the Parent Company owned 100% of the outstanding partnership units (the "OP Units") in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combining the quarterly reports on Form 10-Q of the Parent Company and the Operating Partnership into this single report provides the following benefits: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Eliminates duplicate disclosure and provides a more streamlined and readable presentation;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partner capital, and non-controlling interests are the primary areas of difference between the unaudited Condensed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Parent Company consolidates the Operating Partnership for financial reporting purposes, and the Parent Company does not have assets other than its investment in the Operating Partnership. Therefore, while stockholders’ equity and partners' capital differ as discussed above, the assets and liabilities of the Parent Company and the Operating Partnership are the same on their respective financial statements.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SEPTEMBER 30, 2023 </w:t>
      </w:r>
    </w:p>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547"/>
        <w:gridCol w:w="475"/>
        <w:gridCol w:w="475"/>
        <w:gridCol w:w="2826"/>
        <w:gridCol w:w="2747"/>
        <w:gridCol w:w="2761"/>
        <w:gridCol w:w="109"/>
        <w:gridCol w:w="109"/>
        <w:gridCol w:w="156"/>
      </w:tblGrid>
      <w:tr>
        <w:trPr/>
        <w:tc>
          <w:tcPr>
            <w:tcW w:w="54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3">
              <w:r>
                <w:rPr>
                  <w:rStyle w:val="InternetLink"/>
                  <w:rFonts w:ascii="Times New Roman;sans-serif" w:hAnsi="Times New Roman;sans-serif"/>
                  <w:b w:val="false"/>
                  <w:color w:val="0000FF"/>
                  <w:sz w:val="20"/>
                  <w:u w:val="single"/>
                </w:rPr>
                <w:t>3</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September 30, 2023 (unaudited) and December 31,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9">
              <w:r>
                <w:rPr>
                  <w:rStyle w:val="InternetLink"/>
                  <w:rFonts w:ascii="Times New Roman;sans-serif" w:hAnsi="Times New Roman;sans-serif"/>
                  <w:b w:val="false"/>
                  <w:color w:val="0000FF"/>
                  <w:sz w:val="20"/>
                  <w:u w:val="single"/>
                </w:rPr>
                <w:t>3</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and nine months ended September 30, 2023 and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25">
              <w:r>
                <w:rPr>
                  <w:rStyle w:val="InternetLink"/>
                  <w:rFonts w:ascii="Times New Roman;sans-serif" w:hAnsi="Times New Roman;sans-serif"/>
                  <w:b w:val="false"/>
                  <w:color w:val="0000FF"/>
                  <w:sz w:val="20"/>
                  <w:u w:val="single"/>
                </w:rPr>
                <w:t>4</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(unaudited) for the three and nine months ended September 30, 2023 and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28">
              <w:r>
                <w:rPr>
                  <w:rStyle w:val="InternetLink"/>
                  <w:rFonts w:ascii="Times New Roman;sans-serif" w:hAnsi="Times New Roman;sans-serif"/>
                  <w:b w:val="false"/>
                  <w:color w:val="0000FF"/>
                  <w:sz w:val="20"/>
                  <w:u w:val="single"/>
                </w:rPr>
                <w:t>5</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nine months ended September 30, 2023 and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31">
              <w:r>
                <w:rPr>
                  <w:rStyle w:val="InternetLink"/>
                  <w:rFonts w:ascii="Times New Roman;sans-serif" w:hAnsi="Times New Roman;sans-serif"/>
                  <w:b w:val="false"/>
                  <w:color w:val="0000FF"/>
                  <w:sz w:val="20"/>
                  <w:u w:val="single"/>
                </w:rPr>
                <w:t>7</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September 30, 2023 (unaudited) and December 31,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37">
              <w:r>
                <w:rPr>
                  <w:rStyle w:val="InternetLink"/>
                  <w:rFonts w:ascii="Times New Roman;sans-serif" w:hAnsi="Times New Roman;sans-serif"/>
                  <w:b w:val="false"/>
                  <w:color w:val="0000FF"/>
                  <w:sz w:val="20"/>
                  <w:u w:val="single"/>
                </w:rPr>
                <w:t>8</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and nine months ended September 30, 2023 and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40">
              <w:r>
                <w:rPr>
                  <w:rStyle w:val="InternetLink"/>
                  <w:rFonts w:ascii="Times New Roman;sans-serif" w:hAnsi="Times New Roman;sans-serif"/>
                  <w:b w:val="false"/>
                  <w:color w:val="0000FF"/>
                  <w:sz w:val="20"/>
                  <w:u w:val="single"/>
                </w:rPr>
                <w:t>9</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Capital (unaudited) for the three and nine months ended September 30, 2023 and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43">
              <w:r>
                <w:rPr>
                  <w:rStyle w:val="InternetLink"/>
                  <w:rFonts w:ascii="Times New Roman;sans-serif" w:hAnsi="Times New Roman;sans-serif"/>
                  <w:b w:val="false"/>
                  <w:color w:val="0000FF"/>
                  <w:sz w:val="20"/>
                  <w:u w:val="single"/>
                </w:rPr>
                <w:t>10</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nine months ended September 30, 2023 and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46">
              <w:r>
                <w:rPr>
                  <w:rStyle w:val="InternetLink"/>
                  <w:rFonts w:ascii="Times New Roman;sans-serif" w:hAnsi="Times New Roman;sans-serif"/>
                  <w:b w:val="false"/>
                  <w:color w:val="0000FF"/>
                  <w:sz w:val="20"/>
                  <w:u w:val="single"/>
                </w:rPr>
                <w:t>12</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49">
              <w:r>
                <w:rPr>
                  <w:rStyle w:val="InternetLink"/>
                  <w:rFonts w:ascii="Times New Roman;sans-serif" w:hAnsi="Times New Roman;sans-serif"/>
                  <w:b w:val="false"/>
                  <w:color w:val="0000FF"/>
                  <w:sz w:val="20"/>
                  <w:u w:val="single"/>
                </w:rPr>
                <w:t>13</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82">
              <w:r>
                <w:rPr>
                  <w:rStyle w:val="InternetLink"/>
                  <w:rFonts w:ascii="Times New Roman;sans-serif" w:hAnsi="Times New Roman;sans-serif"/>
                  <w:b w:val="false"/>
                  <w:color w:val="0000FF"/>
                  <w:sz w:val="20"/>
                  <w:u w:val="single"/>
                </w:rPr>
                <w:t>19</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94">
              <w:r>
                <w:rPr>
                  <w:rStyle w:val="InternetLink"/>
                  <w:rFonts w:ascii="Times New Roman;sans-serif" w:hAnsi="Times New Roman;sans-serif"/>
                  <w:b w:val="false"/>
                  <w:color w:val="0000FF"/>
                  <w:sz w:val="20"/>
                  <w:u w:val="single"/>
                </w:rPr>
                <w:t>35</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97">
              <w:r>
                <w:rPr>
                  <w:rStyle w:val="InternetLink"/>
                  <w:rFonts w:ascii="Times New Roman;sans-serif" w:hAnsi="Times New Roman;sans-serif"/>
                  <w:b w:val="false"/>
                  <w:color w:val="0000FF"/>
                  <w:sz w:val="20"/>
                  <w:u w:val="single"/>
                </w:rPr>
                <w:t>36</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00">
              <w:r>
                <w:rPr>
                  <w:rStyle w:val="InternetLink"/>
                  <w:rFonts w:ascii="Times New Roman;sans-serif" w:hAnsi="Times New Roman;sans-serif"/>
                  <w:b w:val="false"/>
                  <w:color w:val="0000FF"/>
                  <w:sz w:val="20"/>
                  <w:u w:val="single"/>
                </w:rPr>
                <w:t>37</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03">
              <w:r>
                <w:rPr>
                  <w:rStyle w:val="InternetLink"/>
                  <w:rFonts w:ascii="Times New Roman;sans-serif" w:hAnsi="Times New Roman;sans-serif"/>
                  <w:b w:val="false"/>
                  <w:color w:val="0000FF"/>
                  <w:sz w:val="20"/>
                  <w:u w:val="single"/>
                </w:rPr>
                <w:t>37</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06">
              <w:r>
                <w:rPr>
                  <w:rStyle w:val="InternetLink"/>
                  <w:rFonts w:ascii="Times New Roman;sans-serif" w:hAnsi="Times New Roman;sans-serif"/>
                  <w:b w:val="false"/>
                  <w:color w:val="0000FF"/>
                  <w:sz w:val="20"/>
                  <w:u w:val="single"/>
                </w:rPr>
                <w:t>37</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09">
              <w:r>
                <w:rPr>
                  <w:rStyle w:val="InternetLink"/>
                  <w:rFonts w:ascii="Times New Roman;sans-serif" w:hAnsi="Times New Roman;sans-serif"/>
                  <w:b w:val="false"/>
                  <w:color w:val="0000FF"/>
                  <w:sz w:val="20"/>
                  <w:u w:val="single"/>
                </w:rPr>
                <w:t>37</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Defaults Upon Senior Securities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12">
              <w:r>
                <w:rPr>
                  <w:rStyle w:val="InternetLink"/>
                  <w:rFonts w:ascii="Times New Roman;sans-serif" w:hAnsi="Times New Roman;sans-serif"/>
                  <w:b w:val="false"/>
                  <w:color w:val="0000FF"/>
                  <w:sz w:val="20"/>
                  <w:u w:val="single"/>
                </w:rPr>
                <w:t>37</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15">
              <w:r>
                <w:rPr>
                  <w:rStyle w:val="InternetLink"/>
                  <w:rFonts w:ascii="Times New Roman;sans-serif" w:hAnsi="Times New Roman;sans-serif"/>
                  <w:b w:val="false"/>
                  <w:color w:val="0000FF"/>
                  <w:sz w:val="20"/>
                  <w:u w:val="single"/>
                </w:rPr>
                <w:t>37</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18">
              <w:r>
                <w:rPr>
                  <w:rStyle w:val="InternetLink"/>
                  <w:rFonts w:ascii="Times New Roman;sans-serif" w:hAnsi="Times New Roman;sans-serif"/>
                  <w:b w:val="false"/>
                  <w:color w:val="0000FF"/>
                  <w:sz w:val="20"/>
                  <w:u w:val="single"/>
                </w:rPr>
                <w:t>37</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21">
              <w:r>
                <w:rPr>
                  <w:rStyle w:val="InternetLink"/>
                  <w:rFonts w:ascii="Times New Roman;sans-serif" w:hAnsi="Times New Roman;sans-serif"/>
                  <w:b w:val="false"/>
                  <w:color w:val="0000FF"/>
                  <w:sz w:val="20"/>
                  <w:u w:val="single"/>
                </w:rPr>
                <w:t>37</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d6a74b69204d7fa2614a82d75d68b2_127">
              <w:r>
                <w:rPr>
                  <w:rStyle w:val="InternetLink"/>
                  <w:rFonts w:ascii="Times New Roman;sans-serif" w:hAnsi="Times New Roman;sans-serif"/>
                  <w:b w:val="false"/>
                  <w:color w:val="0000FF"/>
                  <w:sz w:val="20"/>
                  <w:u w:val="single"/>
                </w:rPr>
                <w:t>41</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023"/>
        <w:gridCol w:w="2007"/>
        <w:gridCol w:w="1974"/>
        <w:gridCol w:w="227"/>
        <w:gridCol w:w="1054"/>
        <w:gridCol w:w="117"/>
        <w:gridCol w:w="117"/>
        <w:gridCol w:w="117"/>
        <w:gridCol w:w="117"/>
        <w:gridCol w:w="227"/>
        <w:gridCol w:w="1054"/>
        <w:gridCol w:w="171"/>
      </w:tblGrid>
      <w:tr>
        <w:trPr/>
        <w:tc>
          <w:tcPr>
            <w:tcW w:w="3023"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$2,013,166 and $1,997,583 of consolidated variable interest entities, respectively)</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9,848,565 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$11,030 and $8,477 of consolidated variable interest entities, respectively)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10,468,529 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$402,929 and $362,921 of consolidated variable interest entities, respectively)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7,566,650 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8,293,693 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$189,928 and $191,827 of consolidated variable interest entities, respectively)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3,479,821 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5,156,105 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$.01 par:</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200,000,000 and 100,000,000 shares authorized, respectively, 81,618,162 and 81,342,959 shares issued and outstanding, respectively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3,846,845 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3,821,801 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2,881,911 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2,961,049 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8,293,693 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62"/>
        <w:gridCol w:w="1392"/>
        <w:gridCol w:w="1393"/>
        <w:gridCol w:w="214"/>
        <w:gridCol w:w="841"/>
        <w:gridCol w:w="110"/>
        <w:gridCol w:w="110"/>
        <w:gridCol w:w="110"/>
        <w:gridCol w:w="110"/>
        <w:gridCol w:w="214"/>
        <w:gridCol w:w="841"/>
        <w:gridCol w:w="110"/>
        <w:gridCol w:w="109"/>
        <w:gridCol w:w="109"/>
        <w:gridCol w:w="109"/>
        <w:gridCol w:w="211"/>
        <w:gridCol w:w="826"/>
        <w:gridCol w:w="109"/>
        <w:gridCol w:w="109"/>
        <w:gridCol w:w="109"/>
        <w:gridCol w:w="109"/>
        <w:gridCol w:w="211"/>
        <w:gridCol w:w="826"/>
        <w:gridCol w:w="161"/>
      </w:tblGrid>
      <w:tr>
        <w:trPr/>
        <w:tc>
          <w:tcPr>
            <w:tcW w:w="176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273,451 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181,821 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523,107 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on sale of real estate</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shareholders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80,765 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79,480 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shareholders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80,137 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TRUST</w:t>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58,325 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158,672 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173,898 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277,929 </w:t>
            </w:r>
          </w:p>
        </w:tc>
        <w:tc>
          <w:tcPr>
            <w:tcW w:w="1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Shareholders’ Equity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2023</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648" w:type="dxa"/>
        <w:jc w:val="center"/>
        <w:tblInd w:w="0" w:type="dxa"/>
        <w:tblLayout w:type="fixed"/>
        <w:tblCellMar>
          <w:top w:w="28" w:type="dxa"/>
          <w:left w:w="28" w:type="dxa"/>
          <w:bottom w:w="28" w:type="dxa"/>
          <w:right w:w="28" w:type="dxa"/>
        </w:tblCellMar>
      </w:tblPr>
      <w:tblGrid>
        <w:gridCol w:w="596"/>
        <w:gridCol w:w="287"/>
        <w:gridCol w:w="288"/>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81,515,511 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$1,817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$118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($1.09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$3,545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81,618,162 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3,846,845 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79,138 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81,342,959 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$5,036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$105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($3.25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$6,972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81,618,162 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3,846,845 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(1,132,350)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79,138 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2,961,049 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before="40" w:after="283"/>
        <w:jc w:val="center"/>
        <w:rPr/>
      </w:pPr>
      <w:r>
        <w:rPr/>
      </w:r>
    </w:p>
    <w:p>
      <w:pPr>
        <w:pStyle w:val="TextBody"/>
        <w:bidi w:val="0"/>
        <w:spacing w:before="40" w:after="283"/>
        <w:jc w:val="center"/>
        <w:rPr/>
      </w:pPr>
      <w:r>
        <w:rPr/>
      </w:r>
    </w:p>
    <w:p>
      <w:pPr>
        <w:pStyle w:val="TextBody"/>
        <w:bidi w:val="0"/>
        <w:spacing w:before="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Shareholders’ Equity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2022</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723" w:type="dxa"/>
        <w:jc w:val="center"/>
        <w:tblInd w:w="0" w:type="dxa"/>
        <w:tblLayout w:type="fixed"/>
        <w:tblCellMar>
          <w:top w:w="28" w:type="dxa"/>
          <w:left w:w="28" w:type="dxa"/>
          <w:bottom w:w="28" w:type="dxa"/>
          <w:right w:w="28" w:type="dxa"/>
        </w:tblCellMar>
      </w:tblPr>
      <w:tblGrid>
        <w:gridCol w:w="671"/>
        <w:gridCol w:w="287"/>
        <w:gridCol w:w="288"/>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2"/>
        <w:gridCol w:w="792"/>
        <w:gridCol w:w="152"/>
        <w:gridCol w:w="109"/>
        <w:gridCol w:w="109"/>
        <w:gridCol w:w="109"/>
        <w:gridCol w:w="247"/>
        <w:gridCol w:w="815"/>
        <w:gridCol w:w="139"/>
        <w:gridCol w:w="109"/>
        <w:gridCol w:w="109"/>
        <w:gridCol w:w="109"/>
        <w:gridCol w:w="196"/>
        <w:gridCol w:w="871"/>
        <w:gridCol w:w="154"/>
      </w:tblGrid>
      <w:tr>
        <w:trPr/>
        <w:tc>
          <w:tcPr>
            <w:tcW w:w="6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80,896,804 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$1,774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$261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($1.08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$1,974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VIE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81,204,286 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3,794,247 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80,937 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2,981,880 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405,896 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78,603,305 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$5,301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$802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($3.22 per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$6,112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2,500,569 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preferred shares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VIE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81,204,286 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3,794,247 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80,937 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2,981,880 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40" w:after="283"/>
        <w:jc w:val="center"/>
        <w:rPr/>
      </w:pPr>
      <w:r>
        <w:rPr>
          <w:color w:val="000000"/>
        </w:rPr>
        <w:t> </w:t>
      </w:r>
      <w:r>
        <w:rPr>
          <w:rFonts w:ascii="Times New Roman;sans-serif" w:hAnsi="Times New Roman;sans-serif"/>
          <w:b/>
          <w:color w:val="000000"/>
          <w:sz w:val="20"/>
        </w:rPr>
        <w:t>(Unaudited)</w:t>
      </w:r>
    </w:p>
    <w:tbl>
      <w:tblPr>
        <w:tblW w:w="9492" w:type="dxa"/>
        <w:jc w:val="left"/>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security deposits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property sold under threat of condemnation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mortgage and other notes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and preferred shareholders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redeemable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77"/>
        <w:gridCol w:w="2142"/>
        <w:gridCol w:w="2121"/>
        <w:gridCol w:w="211"/>
        <w:gridCol w:w="976"/>
        <w:gridCol w:w="109"/>
        <w:gridCol w:w="109"/>
        <w:gridCol w:w="109"/>
        <w:gridCol w:w="109"/>
        <w:gridCol w:w="211"/>
        <w:gridCol w:w="976"/>
        <w:gridCol w:w="155"/>
      </w:tblGrid>
      <w:tr>
        <w:trPr/>
        <w:tc>
          <w:tcPr>
            <w:tcW w:w="2977"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$2,013,166 and $1,997,583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$11,030 and $8,477 of consolidated variable interest entities,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$402,929 and $362,921 of consolidated variable interest entities,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CAPITAL</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$189,928 and $191,827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units, 398,878 units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81,618,162 and 81,342,959 units issued and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2,793,467 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 capital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consolidated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17"/>
        <w:gridCol w:w="1367"/>
        <w:gridCol w:w="1369"/>
        <w:gridCol w:w="214"/>
        <w:gridCol w:w="839"/>
        <w:gridCol w:w="110"/>
        <w:gridCol w:w="110"/>
        <w:gridCol w:w="110"/>
        <w:gridCol w:w="110"/>
        <w:gridCol w:w="214"/>
        <w:gridCol w:w="839"/>
        <w:gridCol w:w="110"/>
        <w:gridCol w:w="109"/>
        <w:gridCol w:w="109"/>
        <w:gridCol w:w="109"/>
        <w:gridCol w:w="211"/>
        <w:gridCol w:w="826"/>
        <w:gridCol w:w="109"/>
        <w:gridCol w:w="109"/>
        <w:gridCol w:w="109"/>
        <w:gridCol w:w="109"/>
        <w:gridCol w:w="211"/>
        <w:gridCol w:w="826"/>
        <w:gridCol w:w="159"/>
      </w:tblGrid>
      <w:tr>
        <w:trPr/>
        <w:tc>
          <w:tcPr>
            <w:tcW w:w="181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273,451 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794,321 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181,821 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Gain on sale of real estate </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PARTNERSHIP</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preferred units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unit holders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0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80,765 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79,480 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DILUTED:</w:t>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unit holders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0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80,137 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PARTNERSHIP</w:t>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58,325 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158,672 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173,898 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277,929 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Capital</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2023</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2" w:type="dxa"/>
        <w:jc w:val="left"/>
        <w:tblInd w:w="0" w:type="dxa"/>
        <w:tblLayout w:type="fixed"/>
        <w:tblCellMar>
          <w:top w:w="28" w:type="dxa"/>
          <w:left w:w="28" w:type="dxa"/>
          <w:bottom w:w="28" w:type="dxa"/>
          <w:right w:w="28" w:type="dxa"/>
        </w:tblCellMar>
      </w:tblPr>
      <w:tblGrid>
        <w:gridCol w:w="596"/>
        <w:gridCol w:w="287"/>
        <w:gridCol w:w="288"/>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$1,817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$118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$3,545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and 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79,138 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$5,036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$105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$6,972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79,138 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2,961,049 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Capital</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2022</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457" w:type="dxa"/>
        <w:jc w:val="center"/>
        <w:tblInd w:w="0" w:type="dxa"/>
        <w:tblLayout w:type="fixed"/>
        <w:tblCellMar>
          <w:top w:w="28" w:type="dxa"/>
          <w:left w:w="28" w:type="dxa"/>
          <w:bottom w:w="28" w:type="dxa"/>
          <w:right w:w="28" w:type="dxa"/>
        </w:tblCellMar>
      </w:tblPr>
      <w:tblGrid>
        <w:gridCol w:w="671"/>
        <w:gridCol w:w="287"/>
        <w:gridCol w:w="288"/>
        <w:gridCol w:w="109"/>
        <w:gridCol w:w="109"/>
        <w:gridCol w:w="109"/>
        <w:gridCol w:w="196"/>
        <w:gridCol w:w="736"/>
        <w:gridCol w:w="109"/>
        <w:gridCol w:w="109"/>
        <w:gridCol w:w="109"/>
        <w:gridCol w:w="109"/>
        <w:gridCol w:w="196"/>
        <w:gridCol w:w="871"/>
        <w:gridCol w:w="109"/>
        <w:gridCol w:w="109"/>
        <w:gridCol w:w="109"/>
        <w:gridCol w:w="109"/>
        <w:gridCol w:w="109"/>
        <w:gridCol w:w="109"/>
        <w:gridCol w:w="272"/>
        <w:gridCol w:w="792"/>
        <w:gridCol w:w="152"/>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6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Capital</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$1,774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$261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$1,974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VIE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80,937 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2,981,880 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$5,301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$802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$6,112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80,937 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2,981,880 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pPr>
      <w:r>
        <w:rPr>
          <w:rFonts w:ascii="Times New Roman;sans-serif" w:hAnsi="Times New Roman;sans-serif"/>
          <w:b/>
          <w:color w:val="000000"/>
          <w:sz w:val="20"/>
        </w:rPr>
        <w:t>Consolidated Statements of Cash Flows</w:t>
      </w:r>
      <w:r>
        <w:rPr>
          <w:color w:val="000000"/>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492" w:type="dxa"/>
        <w:jc w:val="center"/>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security deposits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property sold under threat of condemnation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mortgage and other notes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units,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common and preferred unit 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redeemable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September 30, 2023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1—BUSINESS AND ORGANIZATION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primarily in communities where we believe retail demand exceeds supply, in strategically selected metropolitan markets in the Mid-Atlantic and Northeast regions of the United States, California, and South Florida. As of September 30, 2023, we owned or had a majority interest in community and neighborhood shopping centers and mixed-use properties which are operated as 102 predominantly retail real estate projects.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nine months ended September 30, 2023 are not necessarily indicative of the results that may be expected for the full year.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00" w:after="283"/>
        <w:jc w:val="left"/>
        <w:rPr/>
      </w:pPr>
      <w:r>
        <w:rPr>
          <w:rFonts w:ascii="Times New Roman;sans-serif" w:hAnsi="Times New Roman;sans-serif"/>
          <w:b w:val="false"/>
          <w:color w:val="000000"/>
          <w:sz w:val="20"/>
        </w:rPr>
        <w:t xml:space="preserve">As discussed in the </w:t>
      </w:r>
      <w:hyperlink w:anchor="iedd6a74b69204d7fa2614a82d75d68b2_7">
        <w:r>
          <w:rPr>
            <w:rStyle w:val="InternetLink"/>
            <w:rFonts w:ascii="Times New Roman;sans-serif" w:hAnsi="Times New Roman;sans-serif"/>
            <w:b w:val="false"/>
            <w:color w:val="0000FF"/>
            <w:sz w:val="20"/>
            <w:u w:val="single"/>
          </w:rPr>
          <w:t>Explanatory Note</w:t>
        </w:r>
      </w:hyperlink>
      <w:r>
        <w:rPr>
          <w:rFonts w:ascii="Times New Roman;sans-serif" w:hAnsi="Times New Roman;sans-serif"/>
          <w:b w:val="false"/>
          <w:color w:val="000000"/>
          <w:sz w:val="20"/>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tbl>
      <w:tblPr>
        <w:tblW w:w="10205" w:type="dxa"/>
        <w:jc w:val="left"/>
        <w:tblInd w:w="0" w:type="dxa"/>
        <w:tblLayout w:type="fixed"/>
        <w:tblCellMar>
          <w:top w:w="28" w:type="dxa"/>
          <w:left w:w="28" w:type="dxa"/>
          <w:bottom w:w="28" w:type="dxa"/>
          <w:right w:w="28" w:type="dxa"/>
        </w:tblCellMar>
      </w:tblPr>
      <w:tblGrid>
        <w:gridCol w:w="659"/>
        <w:gridCol w:w="581"/>
        <w:gridCol w:w="583"/>
        <w:gridCol w:w="109"/>
        <w:gridCol w:w="109"/>
        <w:gridCol w:w="109"/>
        <w:gridCol w:w="1328"/>
        <w:gridCol w:w="1199"/>
        <w:gridCol w:w="1210"/>
        <w:gridCol w:w="109"/>
        <w:gridCol w:w="109"/>
        <w:gridCol w:w="109"/>
        <w:gridCol w:w="1419"/>
        <w:gridCol w:w="1061"/>
        <w:gridCol w:w="1511"/>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on the financial statements or significant matters</w:t>
            </w:r>
          </w:p>
        </w:tc>
      </w:tr>
      <w:tr>
        <w:trPr/>
        <w:tc>
          <w:tcPr>
            <w:tcW w:w="1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2023-06, October 2023, </w:t>
            </w:r>
            <w:r>
              <w:rPr>
                <w:rFonts w:ascii="Times New Roman;sans-serif" w:hAnsi="Times New Roman;sans-serif"/>
                <w:b w:val="false"/>
                <w:i/>
                <w:color w:val="000000"/>
                <w:sz w:val="19"/>
              </w:rPr>
              <w:t>Disclosure Improvements: Codification Amendments in Response to the SEC's Disclosure Update and Simplification Initiative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amends the disclosure or presentation requirements related to various subtopics in the FASB Accounting Standard Codification (the "Codification"). The new guidance is intended to align U.S. GAAP requirements with those of the SEC and to facilitate the application of U.S. GAAP for all entities. These disclosure requirements are currently included in either SEC Regulation S-X or SEC Regulation S-K.</w:t>
              <w:br/>
            </w:r>
            <w:r>
              <w:rPr>
                <w:rFonts w:ascii="Times New Roman;sans-serif" w:hAnsi="Times New Roman;sans-serif"/>
                <w:b w:val="false"/>
                <w:sz w:val="19"/>
              </w:rPr>
              <w:br/>
            </w:r>
            <w:r>
              <w:rPr>
                <w:rFonts w:ascii="Times New Roman;sans-serif" w:hAnsi="Times New Roman;sans-serif"/>
                <w:b w:val="false"/>
                <w:color w:val="000000"/>
                <w:sz w:val="19"/>
              </w:rPr>
              <w:t>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Codification and will not be 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do not expect this ASU to have an impact on our consolidated financial statements.</w:t>
            </w:r>
          </w:p>
        </w:tc>
      </w:tr>
      <w:tr>
        <w:trPr/>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2023-01, March 2023, </w:t>
            </w:r>
            <w:r>
              <w:rPr>
                <w:rFonts w:ascii="Times New Roman;sans-serif" w:hAnsi="Times New Roman;sans-serif"/>
                <w:b w:val="false"/>
                <w:i/>
                <w:color w:val="000000"/>
                <w:sz w:val="19"/>
              </w:rPr>
              <w:t>Leases (Topic 842) Common Control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requires all lessees in a lease with a lessor under common control to (1) amortize leasehold improvements over their useful life to the common control group, as long as the lessee controls the use of the underlying asset through a lease and (2) account for the leasehold improvements as a transfer of assets between entities under common control through an adjustment to equity when the lessee no longer controls the use of the underlying asset.</w:t>
              <w:br/>
            </w:r>
            <w:r>
              <w:rPr>
                <w:rFonts w:ascii="Times New Roman;sans-serif" w:hAnsi="Times New Roman;sans-serif"/>
                <w:b w:val="false"/>
                <w:sz w:val="19"/>
              </w:rPr>
              <w:br/>
            </w:r>
            <w:r>
              <w:rPr>
                <w:rFonts w:ascii="Times New Roman;sans-serif" w:hAnsi="Times New Roman;sans-serif"/>
                <w:b w:val="false"/>
                <w:color w:val="000000"/>
                <w:sz w:val="19"/>
              </w:rPr>
              <w:t xml:space="preserve">The guidance may be applied prospectively to new and existing leasehold improvements, with the remaining balance of existing leasehold improvements amortized over their remaining useful life to the common control group or retrospectively, through a cumulative-effect adjustment to opening retained earnings. </w:t>
              <w:br/>
            </w:r>
            <w:r>
              <w:rPr>
                <w:rFonts w:ascii="Times New Roman;sans-serif" w:hAnsi="Times New Roman;sans-serif"/>
                <w:b w:val="false"/>
                <w:sz w:val="19"/>
              </w:rPr>
              <w:br/>
            </w:r>
            <w:r>
              <w:rPr>
                <w:rFonts w:ascii="Times New Roman;sans-serif" w:hAnsi="Times New Roman;sans-serif"/>
                <w:b w:val="false"/>
                <w:color w:val="000000"/>
                <w:sz w:val="19"/>
              </w:rPr>
              <w:t>The guidance is effective in fiscal years beginning after December 15, 2023, and interim periods withing those fiscal years.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do not expect this ASU to have an impact on our consolidated financial statements.</w:t>
            </w:r>
          </w:p>
        </w:tc>
      </w:tr>
      <w:tr>
        <w:trPr/>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2020-04, March 2020, </w:t>
            </w:r>
            <w:r>
              <w:rPr>
                <w:rFonts w:ascii="Times New Roman;sans-serif" w:hAnsi="Times New Roman;sans-serif"/>
                <w:b w:val="false"/>
                <w:i/>
                <w:color w:val="000000"/>
                <w:sz w:val="19"/>
              </w:rPr>
              <w:t>Reference Rate Reform (Topic 848)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 xml:space="preserve">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 </w:t>
              <w:br/>
            </w:r>
            <w:r>
              <w:rPr>
                <w:rFonts w:ascii="Times New Roman;sans-serif" w:hAnsi="Times New Roman;sans-serif"/>
                <w:b w:val="false"/>
                <w:sz w:val="19"/>
              </w:rPr>
              <w:br/>
            </w:r>
            <w:r>
              <w:rPr>
                <w:rFonts w:ascii="Times New Roman;sans-serif" w:hAnsi="Times New Roman;sans-serif"/>
                <w:b w:val="false"/>
                <w:color w:val="000000"/>
                <w:sz w:val="19"/>
              </w:rPr>
              <w:t>ASU 2022-06 extended the period for which this guidance can be immediately applied through December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During the second quarter of 2023, the LIBOR based mortgage loan related to our unconsolidated Assembly Row hotel investment was refinanced. The resulting new mortgage loan and related swaps are SOFR based. The mortgage loan at Hoboken and related interest rate swaps were transitioned from LIBOR to SOFR effective July 1, 2023. Consequently, we applied the related practical expedients to the hedging relationship for the Hoboken loan and continue to apply hedge accounting. The critical terms of the loan and interest rate swaps continue to match subsequent to the transition from LIBOR to SOFR and the transition did not have a significant impact to our financial results, financial position, or cash flows.</w:t>
            </w:r>
          </w:p>
        </w:tc>
      </w:tr>
      <w:tr>
        <w:trPr/>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Flows—Supplemental Disclosures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supplemental disclosures related to the Consolidated Statements of Cash Flows:</w:t>
      </w:r>
    </w:p>
    <w:tbl>
      <w:tblPr>
        <w:tblW w:w="10052" w:type="dxa"/>
        <w:jc w:val="left"/>
        <w:tblInd w:w="0" w:type="dxa"/>
        <w:tblLayout w:type="fixed"/>
        <w:tblCellMar>
          <w:top w:w="28" w:type="dxa"/>
          <w:left w:w="28" w:type="dxa"/>
          <w:bottom w:w="28" w:type="dxa"/>
          <w:right w:w="28" w:type="dxa"/>
        </w:tblCellMar>
      </w:tblPr>
      <w:tblGrid>
        <w:gridCol w:w="2597"/>
        <w:gridCol w:w="2283"/>
        <w:gridCol w:w="2290"/>
        <w:gridCol w:w="211"/>
        <w:gridCol w:w="826"/>
        <w:gridCol w:w="109"/>
        <w:gridCol w:w="109"/>
        <w:gridCol w:w="109"/>
        <w:gridCol w:w="109"/>
        <w:gridCol w:w="211"/>
        <w:gridCol w:w="826"/>
        <w:gridCol w:w="109"/>
        <w:gridCol w:w="109"/>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TRANSACTIONS: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dividend reinvestment plan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redeemed for common shares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716" w:type="dxa"/>
        <w:jc w:val="center"/>
        <w:tblInd w:w="0" w:type="dxa"/>
        <w:tblLayout w:type="fixed"/>
        <w:tblCellMar>
          <w:top w:w="28" w:type="dxa"/>
          <w:left w:w="28" w:type="dxa"/>
          <w:bottom w:w="28" w:type="dxa"/>
          <w:right w:w="28" w:type="dxa"/>
        </w:tblCellMar>
      </w:tblPr>
      <w:tblGrid>
        <w:gridCol w:w="2495"/>
        <w:gridCol w:w="2191"/>
        <w:gridCol w:w="2199"/>
        <w:gridCol w:w="211"/>
        <w:gridCol w:w="826"/>
        <w:gridCol w:w="109"/>
        <w:gridCol w:w="109"/>
        <w:gridCol w:w="109"/>
        <w:gridCol w:w="109"/>
        <w:gridCol w:w="222"/>
        <w:gridCol w:w="759"/>
        <w:gridCol w:w="114"/>
        <w:gridCol w:w="109"/>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(1)Restricted cash balances are included in "prepaid expenses and other assets"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243,000 square foot property and the "operating lease right of use assets, net" on our consolidated balance sheet decreased by $5.3 million. Approximately $4.1 million and $1.3 million of net assets acquired were allocated to other assets for "acquired lease costs" and "above market leases,"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26, 2023, we exercised our option and acquired the 22.3% tenancy in common ("TIC") interest from our co-owner at Escondido Promenade for $30.5 million, bringing our ownership interest to 100%. As a result of the transaction, we gained control of this property, and effective May 26, 2023, we have consolidated this property. Approximately $1.8 million and $0.2 million of net assets associated with the 22.3% interest acquired were allocated to other assets for "acquired lease costs" and "above market leases," respectively, and $1.1 million of net assets associated with the 22.3% interest acquired were allocated to other liabilities for "below market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we sold one retail property for $13.2 million, resulting in a gain on sale of $1.6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we issued $350.0 million of fixed rate senior unsecured notes that mature on May 1, 2028 and bear interest at 5.375%. The notes were offered at 99.590% of the principal amount with a yield to maturity of 5.468%. The net proceeds, after issuance discount, underwriting fees, and other costs were $345.7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 2023, we repaid our $275.0 million 2.75% senior unsecured notes at maturity.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the maximum amount of borrowings outstanding under our $1.25 billion revolving credit facility was $63.5 million and $80.5 million, respectively. The weighted average amount of borrowings outstanding was $37.3 million and $34.9 million, respectively, and the weighted average interest rate, before amortization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fees, was 6.1% and 5.7%, respectively, for the three and nine months ended September 30, 2023. At September 30, 2023, our revolving credit facility had $50.5 million outstanding.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September 30, 2023, we were in compliance with all default related debt covenants.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5—FAIR VALUE OF FINANCIAL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pStyle w:val="TextBody"/>
        <w:bidi w:val="0"/>
        <w:spacing w:before="0" w:after="0"/>
        <w:jc w:val="left"/>
        <w:rPr/>
      </w:pPr>
      <w:r>
        <w:rPr/>
      </w:r>
    </w:p>
    <w:tbl>
      <w:tblPr>
        <w:tblW w:w="9059" w:type="dxa"/>
        <w:jc w:val="left"/>
        <w:tblInd w:w="0" w:type="dxa"/>
        <w:tblLayout w:type="fixed"/>
        <w:tblCellMar>
          <w:top w:w="28" w:type="dxa"/>
          <w:left w:w="28" w:type="dxa"/>
          <w:bottom w:w="28" w:type="dxa"/>
          <w:right w:w="28" w:type="dxa"/>
        </w:tblCellMar>
      </w:tblPr>
      <w:tblGrid>
        <w:gridCol w:w="1032"/>
        <w:gridCol w:w="906"/>
        <w:gridCol w:w="91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621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Mortgages and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have two interest rate swap agreements with notional amounts of $54.0 million that are measured at fair value on a recurring basis. The interest rate swap agreements fix the interest rate on $54.0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2023 was an asset of $7.2 million and is included in "prepaid expenses and other assets" on our consolidated balance sheets. For the three and nine months ended September 30, 2023, the value of our interest rate swaps increased $1.2 million and $1.0 million, respectively (including $0.5 million and $1.3 million, respectively, reclassified from other comprehensive income as a decrease to interest expense). A summary of our financial assets that are measured at fair value on a recurring basis, by level within the fair value hierarchy is as follows:</w:t>
      </w:r>
    </w:p>
    <w:tbl>
      <w:tblPr>
        <w:tblW w:w="10205" w:type="dxa"/>
        <w:jc w:val="left"/>
        <w:tblInd w:w="0" w:type="dxa"/>
        <w:tblLayout w:type="fixed"/>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equity method investees has two interest rate swaps which qualify for cash flow hedge accounting. For the three and nine months ended September 30, 2023, our share of the change in fair value of the related swaps included in "accumulated other comprehensive income" was an increase of $0.2 million and $0.1 million, respectively.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6—COMMITMENTS AND CONTINGENCIES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and (2) where appropriate, due to certain matters relating to the ownership of the properties prior to their acquisition by us.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certain partnership agreements, the partners have the right to exchange their operating partnership units for cash or common shares, at our option. A total of 635,431 downREIT operating partnership units are outstanding which have a total fair value of approximately $57.6 million, which is calculated by multiplying the outstanding number of downREIT partnership units by our closing stock price on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7—SHAREHOLDERS’ EQUITY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dividends declared and paid per share:</w:t>
      </w:r>
    </w:p>
    <w:p>
      <w:pPr>
        <w:pStyle w:val="TextBody"/>
        <w:bidi w:val="0"/>
        <w:spacing w:before="0" w:after="0"/>
        <w:jc w:val="left"/>
        <w:rPr/>
      </w:pPr>
      <w:r>
        <w:rPr/>
      </w:r>
    </w:p>
    <w:tbl>
      <w:tblPr>
        <w:tblW w:w="10080" w:type="dxa"/>
        <w:jc w:val="left"/>
        <w:tblInd w:w="0" w:type="dxa"/>
        <w:tblLayout w:type="fixed"/>
        <w:tblCellMar>
          <w:top w:w="28" w:type="dxa"/>
          <w:left w:w="28" w:type="dxa"/>
          <w:bottom w:w="28" w:type="dxa"/>
          <w:right w:w="28" w:type="dxa"/>
        </w:tblCellMar>
      </w:tblPr>
      <w:tblGrid>
        <w:gridCol w:w="1764"/>
        <w:gridCol w:w="1550"/>
        <w:gridCol w:w="156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(1)Amount represents dividends per depository share, each representing 1/1000th of a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at-the-market ("ATM") equity program under which we may from time to time offer and sell common shares having an aggregate offering price of up to $500.0 million. The ATM equity program also allows shares to be sold through forward sales contracts. We intend to use the net proceeds to fund 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we issued 95,013 common shares at a weighted average price per share of $103.69 for net cash proceeds of $9.7 million including paying $0.1 million in commissions and $0.1 million in additional offering expenses related to the sales of these common shares. For the nine months ended September 30, 2023, we issued 152,047 common shares at a weighted average price per share of $106.67 for net cash proceeds of $15.9 million including paying $0.2 million in commissions and $0.2 million in additional offering expenses related to the sales of these common shares. We have the remaining capacity to issue up to $435.8 million in common shares under our ATM equity program as of September 30,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4, 2023, our Declaration of Trust was amended to increase the number of authorized common shares of beneficial interest to 200,000,000.</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NOTE 8—SHARE-BASED COMPENSATION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share-based compensation expense included in net income is as follows:</w:t>
      </w:r>
    </w:p>
    <w:tbl>
      <w:tblPr>
        <w:tblW w:w="10205" w:type="dxa"/>
        <w:jc w:val="center"/>
        <w:tblInd w:w="0" w:type="dxa"/>
        <w:tblLayout w:type="fixed"/>
        <w:tblCellMar>
          <w:top w:w="28" w:type="dxa"/>
          <w:left w:w="28" w:type="dxa"/>
          <w:bottom w:w="28" w:type="dxa"/>
          <w:right w:w="28" w:type="dxa"/>
        </w:tblCellMar>
      </w:tblPr>
      <w:tblGrid>
        <w:gridCol w:w="1746"/>
        <w:gridCol w:w="1518"/>
        <w:gridCol w:w="152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155"/>
      </w:tblGrid>
      <w:tr>
        <w:trPr/>
        <w:tc>
          <w:tcPr>
            <w:tcW w:w="1746"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 of common shares, restricted stock units, and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9—EARNINGS PER SHARE AND UNIT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both the three and nine months ended September 30, 2023 and 2022,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issuable shares were excluded from the diluted EPS and EPU calculations because their impact is anti-dilutive: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exercise of 1,829 stock options for the three and nine months ended September 30,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conversions of downREIT operating partnership units for the three and nine months ended September 30,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conversions of 5.417% Series 1 Cumulative Convertible Preferred Shares and units for the three and nine months ended September 30, 2023, and the nine months ended September 30, 2022.</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issuance of 1.8 million shares and units issuable under common share forward sales agreements for the nine months ended September 30, 2022.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10,441 unvested restricted stock units are excluded from the diluted EPS and EPU calculations as the market based performance criteria in the awards has not yet been achieved.</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Investment Trust Earnings per Share</w:t>
      </w:r>
    </w:p>
    <w:tbl>
      <w:tblPr>
        <w:tblW w:w="10205" w:type="dxa"/>
        <w:jc w:val="left"/>
        <w:tblInd w:w="0" w:type="dxa"/>
        <w:tblLayout w:type="fixed"/>
        <w:tblCellMar>
          <w:top w:w="28" w:type="dxa"/>
          <w:left w:w="28" w:type="dxa"/>
          <w:bottom w:w="28" w:type="dxa"/>
          <w:right w:w="28" w:type="dxa"/>
        </w:tblCellMar>
      </w:tblPr>
      <w:tblGrid>
        <w:gridCol w:w="1744"/>
        <w:gridCol w:w="1474"/>
        <w:gridCol w:w="1480"/>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4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basic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Income attributable to downREIT operating partnership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Dividends on 5.417% Series 1 Cumulative Convertible Preferred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forward contracts for share issuances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OP LP Earnings per Unit</w:t>
      </w:r>
    </w:p>
    <w:tbl>
      <w:tblPr>
        <w:tblW w:w="10205" w:type="dxa"/>
        <w:jc w:val="left"/>
        <w:tblInd w:w="0" w:type="dxa"/>
        <w:tblLayout w:type="fixed"/>
        <w:tblCellMar>
          <w:top w:w="28" w:type="dxa"/>
          <w:left w:w="28" w:type="dxa"/>
          <w:bottom w:w="28" w:type="dxa"/>
          <w:right w:w="28" w:type="dxa"/>
        </w:tblCellMar>
      </w:tblPr>
      <w:tblGrid>
        <w:gridCol w:w="1743"/>
        <w:gridCol w:w="1474"/>
        <w:gridCol w:w="1481"/>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43"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unit distributions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basic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Income attributable to downREIT operating partnership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Dividends on 5.417% Series 1 Cumulative Convertible Preferred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issuances relating to open common share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DILUTED:</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10—SUBSEQUENT EVENTS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12, 2023, we acquired the fee interest under a portion of our Mercer on One (formerly known as Mercer Mall) property for $55.0 million pursuant to the purchase option included in the master lease.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27, 2023, we sold a building in Santa Monica, California for $17.2 million.</w:t>
      </w:r>
    </w:p>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00" w:after="283"/>
        <w:jc w:val="left"/>
        <w:rPr/>
      </w:pPr>
      <w:r>
        <w:rPr>
          <w:rFonts w:ascii="Times New Roman;sans-serif" w:hAnsi="Times New Roman;sans-serif"/>
          <w:b w:val="false"/>
          <w:color w:val="000000"/>
          <w:sz w:val="20"/>
        </w:rPr>
        <w:t xml:space="preserve">The following discussion should be read in conjunction with the consolidated interim financial statements and notes thereto appearing in Item 1 of this report and the more detailed information contained in our Annual Report on </w:t>
      </w:r>
      <w:hyperlink r:id="rId2">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December 31, 2022 filed with the Securities and Exchange Commission (the “SEC”) on February 8, 2023.</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our tenants will not pay rent, may vacate early or may file for bankruptcy or that we may be unable to renew leases or re-let space at favorable rents as leases expire;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212529"/>
        </w:rPr>
        <w:t>•</w:t>
      </w:r>
      <w:r>
        <w:rPr>
          <w:rFonts w:ascii="Times New Roman;sans-serif" w:hAnsi="Times New Roman;sans-serif"/>
          <w:b w:val="false"/>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our growth will be limited if we cannot obtain additional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these uncertainties, readers are cautioned not to place undue reliance on any forward-looking statements that we make, including those in this Quarterly Report on Form 10-Q. You should carefully review the risks and the risk factors included in our Annual Report on Form 10-K for the year ended December 31, 2022 and under Part II, Item 1A in this Quarterly Report on Form 10-Q, before making any investments in 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As of September 30, 2023, we owned or had a majority interest in community and neighborhood shopping centers and mixed-use properties which are operated as 102 predominantly retail real estate projects comprising approximately 26.1 million square feet. In total, the real estate projects were 94.0% leased and 92.3% occupied at September 30,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bidi w:val="0"/>
        <w:spacing w:lineRule="auto" w:line="288" w:before="100" w:after="283"/>
        <w:jc w:val="left"/>
        <w:rPr/>
      </w:pPr>
      <w:r>
        <w:rPr>
          <w:rFonts w:ascii="Times New Roman;sans-serif" w:hAnsi="Times New Roman;sans-serif"/>
          <w:b w:val="false"/>
          <w:color w:val="212529"/>
          <w:sz w:val="20"/>
        </w:rPr>
        <w:t xml:space="preserve">Given the higher levels of inflation, rising interest rates, and </w:t>
      </w:r>
      <w:r>
        <w:rPr>
          <w:rFonts w:ascii="Times New Roman;sans-serif" w:hAnsi="Times New Roman;sans-serif"/>
          <w:b w:val="false"/>
          <w:color w:val="000000"/>
          <w:sz w:val="20"/>
        </w:rPr>
        <w:t>potentially worsening economic conditions</w:t>
      </w:r>
      <w:r>
        <w:rPr>
          <w:rFonts w:ascii="Times New Roman;sans-serif" w:hAnsi="Times New Roman;sans-serif"/>
          <w:b w:val="false"/>
          <w:color w:val="212529"/>
          <w:sz w:val="20"/>
        </w:rPr>
        <w:t xml:space="preserve">, we continue to monitor and address risks related to the general state of the economy. </w:t>
      </w:r>
      <w:r>
        <w:rPr>
          <w:rFonts w:ascii="Times New Roman;sans-serif" w:hAnsi="Times New Roman;sans-serif"/>
          <w:b w:val="false"/>
          <w:color w:val="000000"/>
          <w:sz w:val="20"/>
        </w:rPr>
        <w:t xml:space="preserve">We believe that the actions we have taken to improve our financial position and maximize our liquidity, as described further in the “Management’s Discussion and Analysis of Financial Condition and Results of Operations” in our 2022 Annual Report on </w:t>
      </w:r>
      <w:hyperlink r:id="rId3">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 xml:space="preserve">, will continue to mitigate the impact to our cash flow caused by tenants not timely paying contractual rent.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the impact of current economic conditions on our business throughout Item 2.</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00" w:after="283"/>
        <w:jc w:val="left"/>
        <w:rPr/>
      </w:pPr>
      <w:r>
        <w:rPr>
          <w:rFonts w:ascii="Times New Roman;sans-serif" w:hAnsi="Times New Roman;sans-serif"/>
          <w:b w:val="false"/>
          <w:color w:val="000000"/>
          <w:sz w:val="20"/>
        </w:rPr>
        <w:t xml:space="preserve">There have been no significant changes to the critical accounting policies disclosed in “Management’s Discussion and Analysis of Financial Condition and Results of Operations” in our 2022 Annual Report on </w:t>
      </w:r>
      <w:hyperlink r:id="rId4">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Property Acquisition and Disposition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243,000 square foot property and the "operating lease right of use assets" on our consolidated balance sheet decreased by $5.3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26, 2023, we exercised our option and acquired the 22.3% tenancy in common ("TIC") interest from our co-owner at Escondido Promenade for $30.5 million, bringing our ownership interest to 100%. As a result of the transaction, we gained control of this property, and effective May 26, 2023, we have consolidated this property.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we sold one retail property for $13.2 million, resulting in a gain on sale of $1.6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12, 2023, we acquired the fee interest under a portion of our Mercer on One (formerly known as Mercer Mall) property for $55.0 million pursuant to the purchase option included in the master lease.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27, 2023, we sold a building in Santa Monica, California for $17.2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Debt and Equity Transactions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we issued 95,013 common shares at a weighted average price per share of $103.69 for net cash proceeds of $9.7 million including paying $0.1 million in commissions and $0.1 million in additional offering expenses related to the sales of these common shares. For the nine months ended September 30, 2023, we issued 152,047 common shares at a weighted average price per share of $106.67 for net cash proceeds of $15.9 million including paying $0.2 million in commissions and $0.2 million in additional offering expenses related to the sales of these common shares. We have the remaining capacity to issue up to $435.8 million in common shares under our ATM equity program as of September 30,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we issued $350.0 million of fixed rate senior unsecured notes that mature on May 1, 2028 and bear interest at 5.375%. The notes were offered at 99.590% of the principal amount with a yield to maturity of 5.468%. The net proceeds, after issuance discount, underwriting fees, and other costs were $345.7 million. The net proceeds of these notes, or "green bonds," will be allocated to the financing and refinancing of recently completed and future eligible green projects, which includes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Gold or Platinum certification (or environmentally equivalent successor standards). Net proceeds will be available for repayment of indebtedness, or may be invested in short-term income-producing investments or may be used to temporarily repay current and/or future amounts outstanding under our revolving credit facility.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4, 2023, our Declaration of Trust was amended to increase the number of authorized common shares of beneficial interest to 200,000,000.</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 2023, we repaid our $275.0 million 2.75% senior unsecured notes at maturity.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Capitalized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$155 million and $7 million, respectively, for the nine months ended September 30, 2023, and $208 million and $8 million for the nine months ended September 30, 2022. We capitalized external and internal costs related to other property improvements of $66 million and $3 million, respectively, for the nine months ended September 30, 2023, and $76 million and $3 million, respectively, for the nine months ended September 30, 2022. We capitalized external and internal costs related to leasing activities of $13 million and $3 million, respectively, for the nine months ended September 30, 2023, and $14 million and $3 million, respectively, for the nine months ended September 30, 2022. The amount of capitalized internal costs for salaries and related benefits for development and redevelopment activities, other property improvements, and leasing activities were $7 million, $3 million, and $3 million, respectively, for the nine months ended September 30, 2023 and $8 million, $2 million, and $3 million, respectively, for the nine months ended September 30, 2022. Total capitalized costs were $247 million and $312 million for the nine months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growth strategy is focused on growth in earnings, funds from operations, and cash flows primarily through a combination of the following:</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comparable property portfolio,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portfolio from property redevelopments and expansions,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expansion of our portfolio through property acquisitions.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general economic impacts of the elevated levels of inflation and rising interest rates are impacting us in the short-term, our long-term focus has not changed. See our Annual Report on Form 10-K filed on February 8, 2023, for discussion of our long-term strategies.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12529"/>
          <w:sz w:val="20"/>
        </w:rPr>
        <w:t xml:space="preserve">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2.0 </w:t>
      </w:r>
      <w:r>
        <w:rPr>
          <w:rFonts w:ascii="Times New Roman;sans-serif" w:hAnsi="Times New Roman;sans-serif"/>
          <w:b w:val="false"/>
          <w:color w:val="000000"/>
          <w:sz w:val="20"/>
        </w:rPr>
        <w:t>million</w:t>
      </w:r>
      <w:r>
        <w:rPr>
          <w:color w:val="212529"/>
        </w:rPr>
        <w:t xml:space="preserve"> </w:t>
      </w:r>
      <w:r>
        <w:rPr>
          <w:rFonts w:ascii="Times New Roman;sans-serif" w:hAnsi="Times New Roman;sans-serif"/>
          <w:b w:val="false"/>
          <w:color w:val="212529"/>
          <w:sz w:val="20"/>
        </w:rPr>
        <w:t>square feet of comparable space leasing we've completed in the last twelve months, and the 1.7% spread between our leased rate of 94.0% and our occupied rate of 92.3%. During 2023, we have seen an uptick in tenants filing for bankruptcy compared to the prior two years. As a result, approximately 250,000 square feet of anchor space became vacant during the third quarter. This will negatively impact our occupancy and net income in the short term, however, we expect to be able to re-lease the space at similar or better aggregate rents over the next several quarters, and we are actively in negotiations with replacement tenants. Additionally, the effects of high levels of inflation and rising interest rates continue to negatively impact our business with the largest current impacts being higher interest costs, increased material costs, and higher operating costs. We continue to see impacts of increased costs for certain construction and other materials that support our development and redevelopment activities. Worsening supply chain disruptions could also result in extended timeframes and/or increased costs for completion of our projects and tenant build-outs, which could delay the commencement of rent payments under new leases. Similarly, if our tenants experience significant disruptions in supply chains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12529"/>
          <w:sz w:val="20"/>
        </w:rPr>
      </w:pPr>
      <w:r>
        <w:rPr>
          <w:rFonts w:ascii="Times New Roman;sans-serif" w:hAnsi="Times New Roman;sans-serif"/>
          <w:b w:val="false"/>
          <w:color w:val="212529"/>
          <w:sz w:val="20"/>
        </w:rPr>
        <w:t>The duration and severity of the current economic environment will depend on future developments, which are highly uncertain and cannot be fully predicted, however, we seek to position the Company to continue to participate in the resulting economic recovery.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have several development projects in process being delivered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Phase IV at Pike &amp; Rose is a 276,000 square foot office building (which includes 10,000 square feet of ground floor retail space). Approximately 160,000 square feet of the office space is leased to two tenants, and approximately 8,000 square feet of retail space is pre-leased. The building is expected to cost between $185 million and $200 million, and began delivering in late September 2023.</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first phase of construction on Santana West includes an eight story 376,000 square foot office building, which is expected to cost between $315 million and $330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Throughout the portfolio, we currently have redevelopment projects underway with a projected total cost of approximately $228 million that we expect to stabilize over the next several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higher interest rates, and higher operating costs.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leasable square feet in our properties was 94.0% leased and 92.3%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Rollovers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third quarter of 2023, we signed leases for a total of 565,000 square feet of retail space including 553,000 square feet of comparable space leases (leases for which there was a prior tenant) at an average rental increase of 11% on a cash basis. New leases for comparable spaces were signed for 411,000 square feet, with an average rental increase of 13% on a cash basis. Renewals for comparable spaces were signed for 142,000 square feet at a 7% average rental increase on a cash basis. Tenant improvements and incentives for comparable spaces were $31.19 per square foot, of which $41.23 per square foot was for new leases and $2.21 per square foot was for renewals for the three months ended September 30,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we signed leases for a total of 1,693,000 square feet of retail space including 1,634,000 square feet of comparable space leases (leases for which there was a prior tenant) at an average rental increase of 9% on a cash basis. New leases for comparable spaces were signed for 781,000 square feet, with an average rental increase of 12% on a cash basis. Renewals for comparable spaces were signed for 852,000 square feet at a 8% average rental increase on a cash basis. Tenant improvements and incentives for comparable spaces were $28.61 per square foot, of which $57.43 per square foot was for new leases and $2.18 per square foot was for renewals for the nine months ended September 30, 2023.</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rental increases associated with comparable spaces generally include all leases signed for retail space in 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executed comparable space leases for 1.4 to 2.0 million square feet of retail space each year. We expect the volume in 2023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leases signed in 2023 generally become effective over the following two years though some may not become effective until 2026 and beyond. Further, there is a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Comparable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nine months ended September 30, 2023, all or a portion of 95 and 94 properties, respectively, were considered comparable properties and eight properties were considered non-comparable properties. For the three months ended September 30, 2023, one property was moved from comparable properties to non-comparable properties, four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two portions of properties were moved from acquisitions to comparable properties, and one property was removed from comparable properties, as it was sold; all compared to the designations as of December 31, 2022. For the nine months ended September 30, 2023, one property was moved from comparable properties to non-comparable properties, four properties and one portion of a property were moved from acquisitions to comparable properties, and one property was removed from comparable properties, as it was sold; all compared to the designations as of December 31, 2022.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 THREE MONTHS ENDED SEPTEMBER 30, 2023 AND 2022 </w:t>
      </w:r>
    </w:p>
    <w:tbl>
      <w:tblPr>
        <w:tblW w:w="9639"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343"/>
        <w:gridCol w:w="347"/>
        <w:gridCol w:w="316"/>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September 30, 2023 and 2022 is as follows:</w:t>
      </w:r>
    </w:p>
    <w:tbl>
      <w:tblPr>
        <w:tblW w:w="5363" w:type="dxa"/>
        <w:jc w:val="left"/>
        <w:tblInd w:w="0" w:type="dxa"/>
        <w:tblLayout w:type="fixed"/>
        <w:tblCellMar>
          <w:top w:w="28" w:type="dxa"/>
          <w:left w:w="28" w:type="dxa"/>
          <w:bottom w:w="28" w:type="dxa"/>
          <w:right w:w="28" w:type="dxa"/>
        </w:tblCellMar>
      </w:tblPr>
      <w:tblGrid>
        <w:gridCol w:w="977"/>
        <w:gridCol w:w="859"/>
        <w:gridCol w:w="863"/>
        <w:gridCol w:w="211"/>
        <w:gridCol w:w="826"/>
        <w:gridCol w:w="109"/>
        <w:gridCol w:w="109"/>
        <w:gridCol w:w="109"/>
        <w:gridCol w:w="109"/>
        <w:gridCol w:w="211"/>
        <w:gridCol w:w="82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sale of real estate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$13.2 million, or 4.8%, to $286.6 million in the three months ended September 30, 2023 compared to $273.5 million in the three months ended September 30, 2022. The percentage occupied at our shopping centers was 92.3% and 92.1% at September 30, 2023 and 2022, respectively. Changes in the components of property revenue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 consists primarily of minimum rent, cost reimbursements from tenants and percentage rent, and is net of collectibility related adjustments. Rental income increased $13.1 million, or 4.8%, to $286.3 million in the three months ended September 30, 2023 compared to $273.2 million in the three months ended September 30, 2022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$7.8 million from comparable properties primarily related to a $2.8 million increase in recoveries from tenants, higher rental rates of $2.2 million, higher average occupancy of approximately $1.4 million, and a $1.1 million increase in termination fee income.</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$4.0 million from 2022 and 2023 acquisitions,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$3.2 million from non-comparable properties primarily driven by occupancy increases at Darien Commons, Assembly Row Phase III, CocoWalk, and Pike &amp; Rose Phase III,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$1.2 million from Escondido Promenade, which was reconsolidated in the second quarter of 2023 after we gained control of the property (see Note 3 to the consolidated financial statements for additional information,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$3.5 million from property sales.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 were $91.6 million for both the three months ended September 30, 2023 and 2022. Changes in the components of property expenses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 decreased $0.2 million, or 0.4%, to $58.6 million in the three months ended September 30, 2023 compared to $58.8 million in the three months ended September 30, 2022. This decrease is primarily due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$1.5 million from property sales,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$0.8 million from 2022 and 2023 acquisitions,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$0.6 million from comparable properties due primarily to an increase in insurance costs and an increase in management fees on higher revenues.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changes in rental income and rental expenses as discussed above, rental expenses as a percentage of rental income decreased to 20.5% in the three months ended September 30, 2023 from 21.5% in the three months ended September 30, 2022.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$0.2 million, or 0.7%, to $33.0 million in the three months ended September 30, 2023 compared to $32.8 million in the three months ended September 30, 2022.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$1.0 million from comparable properties primarily due to higher assessments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$0.5 million from 2022 acquisitions,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$1.0 million from non-comparable properties due primarily to a successful tax appeal recorded during 2023,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$0.3 million from property sales.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operating income increased $13.1 million, or 7.2%, to $195.0 million in the three months ended September 30, 2023 compared to $181.8 million in the three months ended September 30, 2022. This increase is primarily driven by higher rental rates and occupancy, 2022 and 2023 acquisitions, the 2022 openings at Assembly Row Phase III, Pike &amp; Rose Phase III, and CocoWalk, the 2023 openings at Darien Commons and Huntington Shopping Center, termination fee income at comparable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 and the reconsolidation of Escondido Promenade during the second quarter of 2023 when we gained control of the property, partially offset by 2022 property sales.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Other Operating</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$4.6 million, or 6.0%, to $81.7 million in the three months ended September 30, 2023 from $77.1 million in the three months ended September 30, 2022. This increase is due primarily to the reconsolidation of Escondido Promenade during the second quarter of 2023, our investment in comparable properties, property acquisitions, and placing redevelopment properties into service, partially offset by 2022 property sales.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deconsolidation of VIE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$70.4 million gain on deconsolidation of VIE for the three months ended September 30, 2022 is the result of the deconsolidation of Escondido Promenade during the third quarter of 2022.</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$29.7 million gain on sale of real estate for the three months ended September 30, 2022 is due primarily to a net gain of $20.4 million related to the sales of one residential property (including an adjacent retail pad) and one retail property, and a $9.3 million gain related to the reduction of our liability for estimated condemnation and transaction costs associated with the sale under threat of condemnation in December 2019 at San Antonio Center.</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decreased $91.6 million, or 47.8%, to $100.1 million in the three months ended September 30, 2023 compared to $191.7 million in the three months ended September 30, 2022. This decrease is primarily driven by the prior year gain on the deconsolidation of a VIE, the prior year gain on sale of real estate, and 2022 property sales, partially offset by higher rental rates and occupancy, 2022 and 2023 acquisitions, the 2022 openings at Assembly Row Phase III, Pike &amp; Rose Phase III, and CocoWalk, the 2023 openings at Darien Commons and Huntington Shopping Center, higher termination fee income at comparable properties, and the reconsolidation of Escondido Promenade during the third second quarter of 2023 when we gained control of the property.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Interest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 increased $0.5 million to $0.7 million in the three months ended September 30, 2023 compared to $0.2 million in the three months ended September 30, 2022. This increase is primarily driven by higher interest earned due to higher interest rates on cash accounts.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$7.7 million, or 21.9%, to $42.7 million in the three months ended September 30, 2023 compared to $35.1 million in the three months ended September 30, 2022. This increase is due primarily to the following:</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an increase of $7.4 million due to a higher overall weighted average borrowing rate, and</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 xml:space="preserve">an increase of $1.6 million due to higher weighted average borrowings,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an increase of $1.3 million in capitalized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$48.7 million and $39.8 million in the three months ended September 30, 2023 and 2022, respectively. Capitalized interest was $6.0 million and $4.7 million for the three months ended September 30, 2023 and 2022, respectively.</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from Partnerships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 decreased $0.6 million, or 29.9%, to $1.3 million in the three months ended September 30, 2023 compared to $1.9 million in the three months ended September 30, 2022. This decrease is primarily driven by lower income at our restaurant joint ventures largely attributable to forgiveness of certain loans in the prior year.</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 NINE MONTHS ENDED SEPTEMBER 30, 2023 AND 2022 </w:t>
      </w:r>
    </w:p>
    <w:tbl>
      <w:tblPr>
        <w:tblW w:w="9748"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343"/>
        <w:gridCol w:w="347"/>
        <w:gridCol w:w="27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nine months ended September 30, 2023 and 2022 is as follows:</w:t>
      </w:r>
    </w:p>
    <w:tbl>
      <w:tblPr>
        <w:tblW w:w="5363" w:type="dxa"/>
        <w:jc w:val="left"/>
        <w:tblInd w:w="0" w:type="dxa"/>
        <w:tblLayout w:type="fixed"/>
        <w:tblCellMar>
          <w:top w:w="28" w:type="dxa"/>
          <w:left w:w="28" w:type="dxa"/>
          <w:bottom w:w="28" w:type="dxa"/>
          <w:right w:w="28" w:type="dxa"/>
        </w:tblCellMar>
      </w:tblPr>
      <w:tblGrid>
        <w:gridCol w:w="977"/>
        <w:gridCol w:w="859"/>
        <w:gridCol w:w="863"/>
        <w:gridCol w:w="211"/>
        <w:gridCol w:w="826"/>
        <w:gridCol w:w="109"/>
        <w:gridCol w:w="109"/>
        <w:gridCol w:w="109"/>
        <w:gridCol w:w="109"/>
        <w:gridCol w:w="211"/>
        <w:gridCol w:w="82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$46.0 million, or 5.8%, to $840.3 million in the nine months ended September 30, 2023 compared to $794.3 million in the nine months ended September 30, 2022. The percentage occupied at our shopping centers was 92.3% and 92.1% at September 30, 2023 and 2022, respectively. Changes in the components of property revenue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 consists primarily of minimum rent, cost reimbursements from tenants and percentage rent, and is net of collectibility related adjustments. Rental income increased $46.0 million, or 5.8%, to $839.5 million in the nine months ended September 30, 2023 compared to $793.5 million in the nine months ended September 30, 2022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$23.3 million from 2022 and 2023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$17.6 million from comparable properties primarily related to higher rental rates of $12.2 million, higher average occupancy of approximately $4.5 million, a $4.3 million increase in recoveries from tenants, and a $1.0 million increase in specialty leasing income and parking income, partially offset by a $2.9 million decrease in termination fee income and a $1.5 million increase in collectibility related adjustments,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$16.4 million from non-comparable properties primarily driven by occupancy increases at Assembly Row Phase III, Darien Commons, CocoWalk, and Pike &amp; Rose Phase III,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$2.0 million from higher demand at our Pike &amp; Rose hotel,</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$10.8 million from property sales,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$2.9 million from Escondido Promenade, which was deconsolidated in the third quarter of 2022 and recorded as an equity method investment through May 2023. Effective May 26, 2023, we gained control and reconsolidated the property (see Note 3 to the consolidated financial statements for additional information).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 increased $6.6 million, or 2.5%, to $267.4 million in the nine months ended September 30, 2023 compared to $260.8 million in the nine months ended September 30, 2022. Changes in the components of property expenses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 increased $3.2 million, or 1.9%, to $169.4 million in the nine months ended September 30, 2023 compared to $166.2 million in the nine months ended September 30, 2022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$4.2 million from 2022 acquisitions,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$1.5 million from non-comparable properties driven by openings at Darien Commons, CocoWalk, and Assembly Row Phase III,</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$1.4 million from comparable properties due primarily to higher repairs and maintenance costs and other operating costs driven by inflationary impacts, higher insurance costs and utilities, and an increase in management fees on higher revenues, partially offset by lower snow removal costs,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$0.6 million increase in operating expenses at our Pike &amp; Rose hotel as a result of higher occupancy,</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$4.2 million from property sales,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$0.5 million from the deconsolidation of Escondido Promenade during the third quarter of 2022 through May 26, 2023, when we gained control and reconsolidated the property.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changes in rental income and rental expenses as discussed above, rental expenses as a percentage of rental income decreased to 20.2% in the nine months ended September 30, 2023 from 20.9% in the nine months ended September 30, 2022.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$3.4 million, or 3.6%, to $98.0 million in the nine months ended September 30, 2023 compared to $94.6 million in the nine months ended September 30, 2022.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$3.4 million from 2022 acquisitions,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$2.0 million from comparable properties primarily due to successful tax appeals recorded during 2022 and higher assessments,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$1.3 million from property sales,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$0.4 million from non-comparable properties due primarily to a successful tax appeal recorded during 2023, partially offset by higher assessments and the opening of Assembly Row Phase III.</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operating income increased $39.4 million, or 7.4%, to $572.9 million in the nine months ended September 30, 2023 compared to $533.5 million in the nine months ended September 30, 2022. This increase is primarily driven by higher rental rates and occupancy, 2022 and 2023 acquisitions, the 2022 openings at Assembly Row Phase III, Pike &amp; Rose Phase III, and CocoWalk, and the 2023 openings at Darien Commons and Huntington Shopping Center, partially offset by 2022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lower termination fee income at comparable properties, and the deconsolidation of Escondido Promenade during the third quarter of 2022 through May 26, 2023, when we gained control and reconsolidated the property.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 Operating</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$1.4 million, or 3.7%, to $37.6 million in the nine months ended September 30, 2023 compared to $39.0 million in the nine months ended September 30, 2022. This decrease is due primarily to higher amounts allocated to operations as a result of higher revenues, partially offset by higher personnel related costs.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$16.1 million, or 7.2%, to $239.3 million in the nine months ended September 30, 2023 from $223.2 million in the nine months ended September 30, 2022. This increase is due primarily to property acquisitions, our investment in comparable properties, placing redevelopment properties into service, Phase III openings at Pike &amp; Rose and Assembly Row, partially offset by 2022 property sales and accelerated depreciation in 2022 as a result of redevelopment activities at Huntington Shopping Center.</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deconsolidation of VIE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$70.4 million gain on deconsolidation of VIE for the nine months ended September 30, 2022 is the result of the deconsolidation of Escondido Promenade during the third quarter of 2022.</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$1.7 million gain on sale of real estate for the nine months ended September 30, 2023 is due primarily to the sale of one retail property.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$29.7 million gain on sale of real estate for the nine months ended September 30, 2022 is due primarily to a net gain of $20.4 million related to the sales of one residential property (including an adjacent retail pad) and one retail property, and a $9.3 million gain related to the reduction of our liability for estimated condemnation and transaction costs associated with the sale under threat of condemnation in December 2019 at San Antonio Center.</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decreased $73.6 million, or 19.8%, to $297.7 million in the nine months ended September 30, 2023 compared to $371.3 million in the nine months ended September 30, 2022. This decrease is primarily driven by the prior year gain on the deconsolidation of a VIE, lower gains on sale of real estate, 2022 property sales, lower termination fee income, and the deconsolidation of Escondido Promenade during the third quarter of 2022 through May 26, 2023, when we gained control and reconsolidated the property, partially offset by higher rental rates and occupancy, 2022 and 2023 acquisitions, the 2022 openings at Assembly Row Phase III, Pike &amp; Rose Phase III, and CocoWalk, and 2023 openings at Darien Commons and Huntington Shopping Center.</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Interest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 increased $3.3 million to $3.8 million in the nine months ended September 30, 2023 compared to $0.5 million in the nine months ended September 30, 2022. This increase is primarily driven by interest earned on the proceeds of our April 2023 senior unsecured note issuance until the June 1, 2023 payoff of our 2.75% senior unsecured notes and a higher interest rate earned on cash balances.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$26.1 million, or 26.5%, to $124.8 million in the nine months ended September 30, 2023 compared to $98.7 million in the nine months ended September 30, 2022. This increase is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$21.0 million due to a higher overall weighted average borrowing rate, and</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 xml:space="preserve">an increase of $8.4 million due to higher weighted average borrowings,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an increase of $3.3 million in capitalized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$142.0 million and $112.6 million in the nine months ended September 30, 2023 and 2022, respectively. Capitalized interest was $17.2 million and $13.9 million for the nine months ended September 30, 2023 and 2022, respectively.</w:t>
      </w:r>
    </w:p>
    <w:p>
      <w:pPr>
        <w:pStyle w:val="TextBody"/>
        <w:bidi w:val="0"/>
        <w:spacing w:lineRule="auto" w:line="288" w:before="180" w:after="283"/>
        <w:jc w:val="left"/>
        <w:rPr/>
      </w:pPr>
      <w:r>
        <w:rPr>
          <w:rFonts w:ascii="Times New Roman;sans-serif" w:hAnsi="Times New Roman;sans-serif"/>
          <w:b w:val="false"/>
          <w:i/>
          <w:color w:val="000000"/>
          <w:sz w:val="20"/>
        </w:rPr>
        <w:t>Income from Partnerships</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 decreased $1.4 million, or (28.4)%, to $3.5 million in the nine months ended September 30, 2023 compared to $4.9 million in the nine months ended September 30, 2022. This decrease is primarily driven by lower income at our restaurant joint ventures largely attributable to higher forgiveness of certain loans in the prior year.</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noncontrolling interests</w:t>
      </w:r>
    </w:p>
    <w:p>
      <w:pPr>
        <w:pStyle w:val="TextBody"/>
        <w:bidi w:val="0"/>
        <w:spacing w:lineRule="auto" w:line="288" w:before="100" w:after="283"/>
        <w:jc w:val="left"/>
        <w:rPr/>
      </w:pPr>
      <w:r>
        <w:rPr>
          <w:rFonts w:ascii="Times New Roman;sans-serif" w:hAnsi="Times New Roman;sans-serif"/>
          <w:b w:val="false"/>
          <w:color w:val="000000"/>
          <w:sz w:val="20"/>
        </w:rPr>
        <w:t>Net income attributable to noncontrolling interests decreased $0.9 million, or 11.3%, to $7.2 million</w:t>
      </w:r>
      <w:r>
        <w:rPr>
          <w:color w:val="000000"/>
        </w:rPr>
        <w:t xml:space="preserve"> </w:t>
      </w:r>
      <w:r>
        <w:rPr>
          <w:rFonts w:ascii="Times New Roman;sans-serif" w:hAnsi="Times New Roman;sans-serif"/>
          <w:b w:val="false"/>
          <w:color w:val="000000"/>
          <w:sz w:val="20"/>
        </w:rPr>
        <w:t>in the nine months ended September 30, 2023 compared to $8.2 million in the nine months ended September 30, 2022. This decrease is due primarily to</w:t>
      </w:r>
      <w:r>
        <w:rPr>
          <w:color w:val="000000"/>
        </w:rPr>
        <w:t xml:space="preserve"> </w:t>
      </w:r>
      <w:r>
        <w:rPr>
          <w:rFonts w:ascii="Times New Roman;sans-serif" w:hAnsi="Times New Roman;sans-serif"/>
          <w:b w:val="false"/>
          <w:color w:val="000000"/>
          <w:sz w:val="20"/>
        </w:rPr>
        <w:t>the deconsolidation of Escondido Promenade during the third quarter of 2022 through May 26, 2023, when we gained control and reconsolidated the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nine months ended September 30, 2023 were approximately $269.9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and cash equivalents of $98.2 million and $50.5 million outstanding on our $1.25 billion revolving credit facility. For the nine months ended September 30, 2023, the weighted average amount of borrowings outstanding on our revolving credit facility was $34.9 million, and the weighted average interest rate, before amortization of debt fees, was 5.7%. We also have the capacity to issue up to $435.8 million in common shares under our ATM equity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we issued $350.0 million of fixed rate senior unsecured notes that mature on May 1, 2028 and bear interest at 5.375% for net proceeds, after issuance discount, underwriting fees, and other costs of $345.7 million. On June 1, 2023 we repaid our $275.0 million of 2.75% senior unsecured notes at maturity. We have no other debt maturing for the remainder of 2023. During 2024, we have $600.0 million of 3.95% senior unsecured notes maturing. Our $600.0 million unsecured term loan has an initial maturity in April 2024, however, there are two one-year extensions at our option that would extend the maturity to April 2026, if exercised.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capital requirements for the remainder of 2023 will be impacted by the overall economic environment including impacts of inflation, higher interest rates, and a potential recession, as well as acquisition opportunities and the level and general timing of our redevelopment and development activities. We currently have development and redevelopment projects in various stages of constructions with remaining costs of $180 million. We expect to incur the majority of these costs in the next two years. We expect overall capital costs to be at levels slightly reduced from 2022 as we complete current redevelopment projects, prepare vacant space for new tenants, and complete the current phase and start on the next phase of our larger mixed use development projects.</w:t>
      </w:r>
    </w:p>
    <w:p>
      <w:pPr>
        <w:pStyle w:val="TextBody"/>
        <w:bidi w:val="0"/>
        <w:spacing w:lineRule="auto" w:line="288" w:before="100" w:after="283"/>
        <w:jc w:val="left"/>
        <w:rPr/>
      </w:pPr>
      <w:r>
        <w:rPr>
          <w:rFonts w:ascii="Times New Roman;sans-serif" w:hAnsi="Times New Roman;sans-serif"/>
          <w:b w:val="false"/>
          <w:color w:val="000000"/>
          <w:sz w:val="20"/>
        </w:rPr>
        <w:t xml:space="preserve">We believe cash flow from operations, the cash </w:t>
      </w:r>
      <w:r>
        <w:rPr>
          <w:rFonts w:ascii="Times New Roman;sans-serif" w:hAnsi="Times New Roman;sans-serif"/>
          <w:b w:val="false"/>
          <w:color w:val="212529"/>
          <w:sz w:val="20"/>
        </w:rPr>
        <w:t xml:space="preserve">on our balance sheet, and our </w:t>
      </w:r>
      <w:r>
        <w:rPr>
          <w:rFonts w:ascii="Times New Roman;sans-serif" w:hAnsi="Times New Roman;sans-serif"/>
          <w:b w:val="false"/>
          <w:color w:val="000000"/>
          <w:sz w:val="20"/>
        </w:rPr>
        <w:t>$1.25 billion</w:t>
      </w:r>
      <w:r>
        <w:rPr>
          <w:color w:val="212529"/>
        </w:rPr>
        <w:t xml:space="preserve"> </w:t>
      </w:r>
      <w:r>
        <w:rPr>
          <w:rFonts w:ascii="Times New Roman;sans-serif" w:hAnsi="Times New Roman;sans-serif"/>
          <w:b w:val="false"/>
          <w:color w:val="212529"/>
          <w:sz w:val="20"/>
        </w:rPr>
        <w:t xml:space="preserve">revolving credit facility will allow us to continue to operate our business in the short-term. </w:t>
      </w:r>
      <w:r>
        <w:rPr>
          <w:rFonts w:ascii="Times New Roman;sans-serif" w:hAnsi="Times New Roman;sans-serif"/>
          <w:b w:val="false"/>
          <w:color w:val="000000"/>
          <w:sz w:val="20"/>
        </w:rPr>
        <w:t>Given our ability to access the capital markets, we also expect debt or equity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of Cash Flows</w:t>
      </w:r>
    </w:p>
    <w:tbl>
      <w:tblPr>
        <w:tblW w:w="7898" w:type="dxa"/>
        <w:jc w:val="left"/>
        <w:tblInd w:w="0" w:type="dxa"/>
        <w:tblLayout w:type="fixed"/>
        <w:tblCellMar>
          <w:top w:w="28" w:type="dxa"/>
          <w:left w:w="28" w:type="dxa"/>
          <w:bottom w:w="28" w:type="dxa"/>
          <w:right w:w="28" w:type="dxa"/>
        </w:tblCellMar>
      </w:tblPr>
      <w:tblGrid>
        <w:gridCol w:w="1894"/>
        <w:gridCol w:w="1668"/>
        <w:gridCol w:w="1672"/>
        <w:gridCol w:w="211"/>
        <w:gridCol w:w="826"/>
        <w:gridCol w:w="109"/>
        <w:gridCol w:w="109"/>
        <w:gridCol w:w="109"/>
        <w:gridCol w:w="109"/>
        <w:gridCol w:w="211"/>
        <w:gridCol w:w="82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$33.9 million to $443.2 million during the nine months ended September 30, 2023 from $409.3 million during the nine months ended September 30, 2022. The increase was primarily attributable to higher net income after adjusting for non-cash items and gains on sale of real estate, as well as higher collections related to year end recovery billings.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$381.5 million to $288.6 million during the nine months ended September 30, 2023 from $670.2 million during the nine months ended September 30, 2022. The decrease was primarily attributable to:</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$370.4 million decrease in acquisition of real estate due to the January 2023 Huntington Square acquisition and the acquisition of our partner's 22.3% TIC interest in Escondido Promenade (see Note 3 to the consolidated financial statements for additional information), as compared to 2022 acquisitions,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$51.3 million decrease in capital expenditures and leasing costs,</w:t>
      </w:r>
    </w:p>
    <w:p>
      <w:pPr>
        <w:pStyle w:val="TextBody"/>
        <w:bidi w:val="0"/>
        <w:spacing w:lineRule="auto" w:line="256"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$54.1 million decrease in net proceeds from the sale of real estate primarily due to $12.6 million of net proceeds from the sale of one retail property during the nine months ended September 30, 2023, as compared to $66.7 million of net proceeds from the sale of one residential property (including an adjacent retail pad) and one retail property during the nine months ended September 30, 2022</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$392.5 million to $148.1 million used during the nine months ended September 30, 2023 from $244.3 million provided during the nine months ended September 30, 2022. The decrease was primarily attributable to:</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$276.4 million decrease in net proceeds from the issuance of common shares under our ATM program to $15.9 million of net proceeds during the nine months ended September 30, 2023, as compared to $292.3 million of net proceeds during the nine months ended September 30, 2022,</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$275.0 million from the June 2023 repayment of our $275.0 million 2.75% senior unsecured notes,</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$216.5 million decrease in net borrowings on our revolving credit facility to $50.5 million of net borrowings during the during the nine months ended September 30, 2023, as compared to $267.0 million of net borrowings during the nine months ended September 30, 2022,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$10.6 million increase in dividends paid to common and preferred shareholders due to an increase in the number of outstanding shares, as well as an increase to the common share dividend rate,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$345.7 million in net proceeds from the issuance of $350.0 million of 5.375% senior unsecured notes in April 2023,</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$23.5 million decrease in distributions to and redemptions of noncontrolling interests primarily related to the July 2022 acquisition of the redeemable noncontrolling interest in the partnership that owns the Plaza El Segundo shopping center for $23.6 million,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the $16.1 million mortgage loan repayment on one of the buildings at our Hoboken property in June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Financing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total debt outstanding as of September 30, 2023:</w:t>
      </w:r>
    </w:p>
    <w:tbl>
      <w:tblPr>
        <w:tblW w:w="10205" w:type="dxa"/>
        <w:jc w:val="left"/>
        <w:tblInd w:w="0" w:type="dxa"/>
        <w:tblLayout w:type="fixed"/>
        <w:tblCellMar>
          <w:top w:w="28" w:type="dxa"/>
          <w:left w:w="28" w:type="dxa"/>
          <w:bottom w:w="28" w:type="dxa"/>
          <w:right w:w="28" w:type="dxa"/>
        </w:tblCellMar>
      </w:tblPr>
      <w:tblGrid>
        <w:gridCol w:w="831"/>
        <w:gridCol w:w="720"/>
        <w:gridCol w:w="724"/>
        <w:gridCol w:w="261"/>
        <w:gridCol w:w="261"/>
        <w:gridCol w:w="266"/>
        <w:gridCol w:w="109"/>
        <w:gridCol w:w="109"/>
        <w:gridCol w:w="109"/>
        <w:gridCol w:w="434"/>
        <w:gridCol w:w="1931"/>
        <w:gridCol w:w="241"/>
        <w:gridCol w:w="109"/>
        <w:gridCol w:w="109"/>
        <w:gridCol w:w="109"/>
        <w:gridCol w:w="418"/>
        <w:gridCol w:w="370"/>
        <w:gridCol w:w="873"/>
        <w:gridCol w:w="109"/>
        <w:gridCol w:w="109"/>
        <w:gridCol w:w="109"/>
        <w:gridCol w:w="504"/>
        <w:gridCol w:w="504"/>
        <w:gridCol w:w="506"/>
        <w:gridCol w:w="109"/>
        <w:gridCol w:w="109"/>
        <w:gridCol w:w="162"/>
      </w:tblGrid>
      <w:tr>
        <w:trPr/>
        <w:tc>
          <w:tcPr>
            <w:tcW w:w="83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Debt</w:t>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w:t>
              <w:br/>
              <w:t>Debt</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 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 as of</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Mortgages payable</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 2025</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2026</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5, 2027</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 2027</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 2029</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(1)</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15, 2029</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 (2)</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2031</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319,945 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318,501 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payable</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(3) (5)</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16, 2024</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(3) (5)</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5, 2027</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653,003 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652,203 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 and debentures (5)</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3.95% notes</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2024</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2026</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15, 2027</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2027</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 2028</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2030</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 2044</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2046</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3,494,200 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3,479,821 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net</w:t>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4,450,525 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(1)On November 26, 2019, we entered into two interest rate swap agreements that fix the interest rate on this mortgage loan at 3.67%. The reference rate for the mortgage loan and related interest rate swaps was amended from LIBOR to SOFR in May 2023. The amendment was effective for interest payments subsequent to July 1, 2023.</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(3)Our revolving credit facility SOFR loans bear interest at Daily Simple SOFR or Term SOFR, and our term loan bears interest at Term SOFR as defined in the credit agreement, plus 0.10%, plus a spread, based on our current credit rating.</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maximum amount drawn under our $1.25 billion revolving credit facility during the nine months ended September 30, 2023 was $80.5 million and the weighted average interest rate on borrowings under our revolving credit facility, before amortization of debt fees, was 5.7%.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Operating Partnership is the obligor under our revolving credit facility, term loan, and senior notes and debentures.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revolving credit facility, unsecured term loan, and other debt agreements include financial and other covenants that may limit our operating activities in the future. As of September 30, 2023,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scheduled principal repayments as of September 30, 2023:</w:t>
      </w:r>
    </w:p>
    <w:p>
      <w:pPr>
        <w:pStyle w:val="TextBody"/>
        <w:bidi w:val="0"/>
        <w:spacing w:lineRule="auto" w:line="288" w:before="0" w:after="0"/>
        <w:jc w:val="left"/>
        <w:rPr>
          <w:color w:val="000000"/>
        </w:rPr>
      </w:pPr>
      <w:r>
        <w:rPr>
          <w:color w:val="000000"/>
        </w:rPr>
        <w:t> </w:t>
      </w:r>
    </w:p>
    <w:tbl>
      <w:tblPr>
        <w:tblW w:w="5971" w:type="dxa"/>
        <w:jc w:val="left"/>
        <w:tblInd w:w="0" w:type="dxa"/>
        <w:tblLayout w:type="fixed"/>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09"/>
        <w:gridCol w:w="109"/>
        <w:gridCol w:w="109"/>
        <w:gridCol w:w="109"/>
        <w:gridCol w:w="146"/>
        <w:gridCol w:w="211"/>
        <w:gridCol w:w="976"/>
        <w:gridCol w:w="109"/>
        <w:gridCol w:w="110"/>
        <w:gridCol w:w="110"/>
        <w:gridCol w:w="15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8"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1"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lineRule="auto" w:line="288" w:before="0" w:after="0"/>
        <w:jc w:val="left"/>
        <w:rPr/>
      </w:pPr>
      <w:r>
        <w:rPr>
          <w:rFonts w:ascii="Times New Roman;sans-serif" w:hAnsi="Times New Roman;sans-serif"/>
          <w:b w:val="false"/>
          <w:color w:val="000000"/>
          <w:sz w:val="20"/>
        </w:rPr>
        <w:t>__________________</w:t>
      </w:r>
      <w:r>
        <w:rPr>
          <w:color w:val="000000"/>
          <w:shd w:fill="FFFFFF" w:val="clear"/>
        </w:rPr>
        <w:t>    </w:t>
      </w:r>
    </w:p>
    <w:p>
      <w:pPr>
        <w:pStyle w:val="TextBody"/>
        <w:bidi w:val="0"/>
        <w:spacing w:lineRule="auto" w:line="288" w:before="60" w:after="283"/>
        <w:ind w:left="0" w:right="0" w:hanging="63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Our</w:t>
      </w:r>
      <w:r>
        <w:rPr>
          <w:color w:val="000000"/>
        </w:rPr>
        <w:t xml:space="preserve"> </w:t>
      </w:r>
      <w:r>
        <w:rPr>
          <w:rFonts w:ascii="Times New Roman;sans-serif" w:hAnsi="Times New Roman;sans-serif"/>
          <w:b w:val="false"/>
          <w:color w:val="000000"/>
          <w:sz w:val="20"/>
        </w:rPr>
        <w:t xml:space="preserve">$600.0 million term loan matures on April 16, 2024, plus two one-year extensions at our option to April 16, 2026. </w:t>
      </w:r>
    </w:p>
    <w:p>
      <w:pPr>
        <w:pStyle w:val="TextBody"/>
        <w:bidi w:val="0"/>
        <w:spacing w:lineRule="auto" w:line="288" w:before="60" w:after="283"/>
        <w:ind w:left="0" w:right="0" w:hanging="63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shd w:fill="FFFFFF" w:val="clear"/>
        </w:rPr>
        <w:t xml:space="preserve">Our $1.25 billion revolving credit facility matures on April 5, 2027, plus two six-month extensions at our option to April 5, 2028. As of </w:t>
      </w:r>
      <w:r>
        <w:rPr>
          <w:rFonts w:ascii="Times New Roman;sans-serif" w:hAnsi="Times New Roman;sans-serif"/>
          <w:b w:val="false"/>
          <w:color w:val="000000"/>
          <w:sz w:val="20"/>
        </w:rPr>
        <w:t xml:space="preserve">September 30, 2023, there was $50.5 million outstanding under this credit facility. </w:t>
      </w:r>
    </w:p>
    <w:p>
      <w:pPr>
        <w:pStyle w:val="TextBody"/>
        <w:bidi w:val="0"/>
        <w:spacing w:lineRule="auto" w:line="288" w:before="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(3)The total debt maturities differ from the total reported on the consolidated balance sheets due to the unamortized net debt issuance costs and premium/discount on mortgage loans, notes payable, and senior notes as of September 30, 2023.</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Hedging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have two interest rate swap agreements that effectively fix the rate on a mortgage payable associated with our Hoboken portfolio at 3.67%. Our Assembly Row hotel joint venture is also a party to two interest rate swap agreements that effectively fix 100% of its outstanding $39.0 million of debt through May 2025 at 6.39%, and 50% of its outstanding debt from June 2025 through May 2028 at 6.03%. All swaps were designated and qualify as cash flow hedges. Hedge ineffectiveness has not impacted earnings as of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REIT Qualification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should not be considered an alternative to net income as an indication of our performance;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is not necessarily indicative of cash flow as a measure of liquidity or ability to fund cash needs, including the payment of dividends.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to FFO available for common shareholders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4"/>
        <w:gridCol w:w="1448"/>
        <w:gridCol w:w="146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8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(1)(2)</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 per diluted share (2)</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(1)For the three and nine months ended September 30, 2023 and 2022, dividends on our Series 1 preferred stock were not deducted in the calculation of FFO available to common shareholders, as the related shares were dilutive and included in "weighted average number of common shares, diluted."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dilutive EPS for the three and nine months ended September 30, 2023.</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Fixed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outstanding debt obligations (maturing at various times through 2059) have fixed interest rates which limit the risk of fluctuating interest rates. However, interest rate fluctuations may affect the fair value of our fixed rate debt instruments. At September 30, 2023, we had $3.8 billion of fixed-rate debt outstanding, including $54.0 million of mortgage payables for which the rate is effectively fixed by two interest rate swap agreements. If market interest rates used to calculate the fair value on our fixed-rate debt instruments at September 30, 2023 had been 1.0% higher, the fair value of those debt instruments on that date would have decreased by approximately $149.2 million. If market interest rates used to calculate the fair value on our fixed-rate debt instruments at September 30, 2023 had been 1.0% lower, the fair value of those debt instruments on that date would have increased by approximately $165.7 million.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believe that our primary interest rate risk is due to fluctuations in interest rates on our outstanding variable rate debt. At September 30, 2023, we had $650.5 million of variable rate debt outstanding (the principal balance on our unsecured term loan and $50.5 million outstanding on our revolving credit facility). Based upon this amount of variable rate debt and the specific terms, if market interest rates increased 1.0%, our annual interest expense would increase approximately $6.5 million with a corresponding decrease in our net income and cash flows for the year. Conversely, if market interest rates decreased 1.0%, our annual interest expense would decrease by approximately $6.5 million with a corresponding increase in our net income and cash flows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 (Federal Realty Investment Trust)</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Trust's disclosure controls and procedures as of September 30, 2023. Based on this evaluation, our management, including our Chief Executive Officer and Chief Financial Officer, concluded that the Trust's disclosure controls and procedures were effective as of September 30, 2023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 (Federal Realty OP LP)</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September 30, 2023. Based on this evaluation, our management, including our Chief Executive Officer and Chief Financial Officer, concluded that the Operating Partnership's disclosure controls and procedures were effective as of September 30, 2023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in any of our legal proceedings since the disclosure contained in our Annual Report to Form 10-K for the fiscal year ended December 31, 2022 filed with the SEC on February 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our Annual Report to our Form 10-K for the year ended December 31, 2022 filed with the SEC on February 8,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September 30, 2023, we redeemed 1,600 downREIT operating partnership units for common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could be deemed to have repurchased shares as a result of shares withheld for tax purposes upon a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related vesting event.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list of exhibits to this Quarterly Report on Form 10-Q is set forth on the Exhibit Index immediately preceding such exhibits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2"/>
        <w:gridCol w:w="224"/>
        <w:gridCol w:w="121"/>
        <w:gridCol w:w="121"/>
        <w:gridCol w:w="121"/>
        <w:gridCol w:w="3079"/>
        <w:gridCol w:w="2773"/>
        <w:gridCol w:w="2806"/>
        <w:gridCol w:w="109"/>
        <w:gridCol w:w="109"/>
        <w:gridCol w:w="109"/>
        <w:gridCol w:w="158"/>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9302023xex311.htm">
              <w:r>
                <w:rPr>
                  <w:rStyle w:val="InternetLink"/>
                  <w:rFonts w:ascii="Times New Roman;sans-serif" w:hAnsi="Times New Roman;sans-serif"/>
                  <w:b w:val="false"/>
                  <w:color w:val="0000FF"/>
                  <w:sz w:val="20"/>
                  <w:u w:val="single"/>
                </w:rPr>
                <w:t>31.1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9302023xex312.htm">
              <w:r>
                <w:rPr>
                  <w:rStyle w:val="InternetLink"/>
                  <w:rFonts w:ascii="Times New Roman;sans-serif" w:hAnsi="Times New Roman;sans-serif"/>
                  <w:b w:val="false"/>
                  <w:color w:val="0000FF"/>
                  <w:sz w:val="20"/>
                  <w:u w:val="single"/>
                </w:rPr>
                <w:t>31.2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9302023xex313.htm">
              <w:r>
                <w:rPr>
                  <w:rStyle w:val="InternetLink"/>
                  <w:rFonts w:ascii="Times New Roman;sans-serif" w:hAnsi="Times New Roman;sans-serif"/>
                  <w:b w:val="false"/>
                  <w:color w:val="0000FF"/>
                  <w:sz w:val="20"/>
                  <w:u w:val="single"/>
                </w:rPr>
                <w:t>31.3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9302023xex314.htm">
              <w:r>
                <w:rPr>
                  <w:rStyle w:val="InternetLink"/>
                  <w:rFonts w:ascii="Times New Roman;sans-serif" w:hAnsi="Times New Roman;sans-serif"/>
                  <w:b w:val="false"/>
                  <w:color w:val="0000FF"/>
                  <w:sz w:val="20"/>
                  <w:u w:val="single"/>
                </w:rPr>
                <w:t>31.4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9302023xex321.htm">
              <w:r>
                <w:rPr>
                  <w:rStyle w:val="InternetLink"/>
                  <w:rFonts w:ascii="Times New Roman;sans-serif" w:hAnsi="Times New Roman;sans-serif"/>
                  <w:b w:val="false"/>
                  <w:color w:val="0000FF"/>
                  <w:sz w:val="20"/>
                  <w:u w:val="single"/>
                </w:rPr>
                <w:t>32.1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9302023xex322.htm">
              <w:r>
                <w:rPr>
                  <w:rStyle w:val="InternetLink"/>
                  <w:rFonts w:ascii="Times New Roman;sans-serif" w:hAnsi="Times New Roman;sans-serif"/>
                  <w:b w:val="false"/>
                  <w:color w:val="0000FF"/>
                  <w:sz w:val="20"/>
                  <w:u w:val="single"/>
                </w:rPr>
                <w:t>32.2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9302023xex323.htm">
              <w:r>
                <w:rPr>
                  <w:rStyle w:val="InternetLink"/>
                  <w:rFonts w:ascii="Times New Roman;sans-serif" w:hAnsi="Times New Roman;sans-serif"/>
                  <w:b w:val="false"/>
                  <w:color w:val="0000FF"/>
                  <w:sz w:val="20"/>
                  <w:u w:val="single"/>
                </w:rPr>
                <w:t>32.3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9302023xex324.htm">
              <w:r>
                <w:rPr>
                  <w:rStyle w:val="InternetLink"/>
                  <w:rFonts w:ascii="Times New Roman;sans-serif" w:hAnsi="Times New Roman;sans-serif"/>
                  <w:b w:val="false"/>
                  <w:color w:val="0000FF"/>
                  <w:sz w:val="20"/>
                  <w:u w:val="single"/>
                </w:rPr>
                <w:t>32.4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Federal Realty Investment Trust and Federal Realty OP LP’s Quarterly Report on Form 10-Q for the quarter ended September 30, 2023,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authorized.</w:t>
      </w:r>
    </w:p>
    <w:p>
      <w:pPr>
        <w:pStyle w:val="TextBody"/>
        <w:bidi w:val="0"/>
        <w:spacing w:before="0" w:after="0"/>
        <w:jc w:val="left"/>
        <w:rPr/>
      </w:pPr>
      <w:r>
        <w:rPr/>
      </w:r>
    </w:p>
    <w:tbl>
      <w:tblPr>
        <w:tblW w:w="5922"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1163"/>
        <w:gridCol w:w="1163"/>
        <w:gridCol w:w="164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922" w:type="dxa"/>
        <w:jc w:val="center"/>
        <w:tblInd w:w="0" w:type="dxa"/>
        <w:tblLayout w:type="fixed"/>
        <w:tblCellMar>
          <w:top w:w="28" w:type="dxa"/>
          <w:left w:w="28" w:type="dxa"/>
          <w:bottom w:w="28" w:type="dxa"/>
          <w:right w:w="28" w:type="dxa"/>
        </w:tblCellMar>
      </w:tblPr>
      <w:tblGrid>
        <w:gridCol w:w="587"/>
        <w:gridCol w:w="516"/>
        <w:gridCol w:w="517"/>
        <w:gridCol w:w="109"/>
        <w:gridCol w:w="109"/>
        <w:gridCol w:w="109"/>
        <w:gridCol w:w="1163"/>
        <w:gridCol w:w="1163"/>
        <w:gridCol w:w="164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and Treasurer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127"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930"/>
        <w:gridCol w:w="930"/>
        <w:gridCol w:w="132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876"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1150"/>
        <w:gridCol w:w="1150"/>
        <w:gridCol w:w="162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126"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930"/>
        <w:gridCol w:w="930"/>
        <w:gridCol w:w="131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876"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1150"/>
        <w:gridCol w:w="1150"/>
        <w:gridCol w:w="162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756"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1114"/>
        <w:gridCol w:w="1114"/>
        <w:gridCol w:w="1581"/>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876"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1150"/>
        <w:gridCol w:w="1150"/>
        <w:gridCol w:w="162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September 30,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6011"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1189"/>
        <w:gridCol w:w="1189"/>
        <w:gridCol w:w="1686"/>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President, Chief Executive Officer and Trustee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September 30,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876"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1150"/>
        <w:gridCol w:w="1150"/>
        <w:gridCol w:w="162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4903/000003490323000020/frt-20221231.htm" TargetMode="External"/><Relationship Id="rId3" Type="http://schemas.openxmlformats.org/officeDocument/2006/relationships/hyperlink" Target="https://www.sec.gov/ix?doc=/Archives/edgar/data/34903/000003490321000020/frt-20201231.htm" TargetMode="External"/><Relationship Id="rId4" Type="http://schemas.openxmlformats.org/officeDocument/2006/relationships/hyperlink" Target="https://www.sec.gov/ix?doc=/Archives/edgar/data/34903/000003490321000020/frt-202012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23116</Words>
  <Characters>129806</Characters>
  <CharactersWithSpaces>151712</CharactersWithSpaces>
  <Paragraphs>3785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