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484"/>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52-0782497</w:t>
      </w:r>
    </w:p>
    <w:p>
      <w:pPr>
        <w:spacing w:after="0" w:line="31" w:lineRule="exact"/>
        <w:rPr>
          <w:sz w:val="24"/>
          <w:szCs w:val="24"/>
          <w:color w:val="auto"/>
        </w:rPr>
      </w:pPr>
    </w:p>
    <w:p>
      <w:pPr>
        <w:sectPr>
          <w:pgSz w:w="11900" w:h="16838" w:orient="portrait"/>
          <w:cols w:equalWidth="0" w:num="3">
            <w:col w:w="4604" w:space="720"/>
            <w:col w:w="2780" w:space="720"/>
            <w:col w:w="2200"/>
          </w:cols>
          <w:pgMar w:left="436" w:top="368" w:right="439" w:bottom="1440" w:gutter="0" w:footer="0" w:header="0"/>
          <w:type w:val="continuous"/>
        </w:sectPr>
      </w:pPr>
    </w:p>
    <w:p>
      <w:pPr>
        <w:spacing w:after="0" w:line="11"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944"/>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20852-4041</w:t>
      </w:r>
    </w:p>
    <w:p>
      <w:pPr>
        <w:spacing w:after="0" w:line="50" w:lineRule="exact"/>
        <w:rPr>
          <w:sz w:val="24"/>
          <w:szCs w:val="24"/>
          <w:color w:val="auto"/>
        </w:rPr>
      </w:pPr>
    </w:p>
    <w:p>
      <w:pPr>
        <w:sectPr>
          <w:pgSz w:w="11900" w:h="16838" w:orient="portrait"/>
          <w:cols w:equalWidth="0" w:num="2">
            <w:col w:w="7184" w:space="720"/>
            <w:col w:w="312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1"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4"/>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Shares of Beneficial Interest, $.01 par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FRT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value per share, with associated Common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 Rights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Depositary Shares, each representing 1/1000 of a</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FRT-C</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share of 5.00% Series C 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Redeemable Preferred Stock, $.01 par value per</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left="4"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8, 2020, Federal Realty Investment Trust (the “Registrant”) entered into an underwriting agreement with BofA Securities, Inc., Deutsche Bank Securities Inc., J.P. Morgan Securities LLC and Wells Fargo Securities, LLC, as representatives of the several underwriters named in Schedule I to the related pricing agreement, whereby the Registrant agreed to issue and sell $400,000,000 aggregate principal amount of 1.250% Notes due 2026 (the “Notes”) in an underwritten public offering.</w:t>
      </w:r>
    </w:p>
    <w:p>
      <w:pPr>
        <w:spacing w:after="0" w:line="18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offering of the Notes closed on October 13, 2020. The Notes are governed by the Indenture, dated as of September 1, 1998, between the Registrant and U.S. Bank National Association (successor trustee to Wachovia Bank, National Association (successor trustee to First Union National Bank)).</w:t>
      </w:r>
    </w:p>
    <w:p>
      <w:pPr>
        <w:spacing w:after="0" w:line="124"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Notes are senior unsecured obligations of the Registrant and rank equally with all of the Registrant’s other senior unsecured indebtedness. The Notes bear interest at 1.250% per annum, and interest is payable on February 15 and August 15 of each year, beginning on February 15, 2021. The Notes will mature on February 15, 2026.</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3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2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88"/>
              </w:rPr>
              <w:t>No.</w:t>
            </w: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960" w:type="dxa"/>
            <w:vAlign w:val="bottom"/>
            <w:gridSpan w:val="4"/>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2"/>
                <w:szCs w:val="22"/>
                <w:color w:val="auto"/>
              </w:rPr>
            </w:pPr>
          </w:p>
        </w:tc>
        <w:tc>
          <w:tcPr>
            <w:tcW w:w="9660" w:type="dxa"/>
            <w:vAlign w:val="bottom"/>
            <w:gridSpan w:val="6"/>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Underwriting Agreement, dated October 8, 2020, by and among the Registrant, BofA Securities, Inc., Deutsche Bank Securities Inc.,</w:t>
              </w:r>
            </w:hyperlink>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J.P. Morgan Securities LLC and Wells Fargo Securities, LLC, as representatives of the underwriters named in Schedule I to the related</w:t>
              </w:r>
            </w:hyperlink>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pricing agreement</w:t>
              </w:r>
            </w:hyperlink>
          </w:p>
        </w:tc>
        <w:tc>
          <w:tcPr>
            <w:tcW w:w="8360" w:type="dxa"/>
            <w:vAlign w:val="bottom"/>
            <w:gridSpan w:val="5"/>
          </w:tcPr>
          <w:p>
            <w:pPr>
              <w:spacing w:after="0"/>
              <w:rPr>
                <w:sz w:val="17"/>
                <w:szCs w:val="17"/>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9660" w:type="dxa"/>
            <w:vAlign w:val="bottom"/>
            <w:gridSpan w:val="6"/>
          </w:tcPr>
          <w:p>
            <w:pPr>
              <w:spacing w:after="0"/>
              <w:rPr>
                <w:rFonts w:ascii="Arial" w:cs="Arial" w:eastAsia="Arial" w:hAnsi="Arial"/>
                <w:sz w:val="18"/>
                <w:szCs w:val="18"/>
                <w:color w:val="0000EE"/>
                <w:w w:val="93"/>
              </w:rPr>
            </w:pPr>
            <w:hyperlink w:anchor="page57">
              <w:r>
                <w:rPr>
                  <w:rFonts w:ascii="Arial" w:cs="Arial" w:eastAsia="Arial" w:hAnsi="Arial"/>
                  <w:sz w:val="18"/>
                  <w:szCs w:val="18"/>
                  <w:color w:val="0000EE"/>
                  <w:w w:val="93"/>
                </w:rPr>
                <w:t>Pricing Agreement, dated October 8, 2020, by and among the the Registrant, BofA Securities, Inc., Deutsche Bank Securities Inc.,</w:t>
              </w:r>
            </w:hyperlink>
          </w:p>
        </w:tc>
      </w:tr>
      <w:tr>
        <w:trPr>
          <w:trHeight w:val="237"/>
        </w:trPr>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8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J.P. Morgan Securities LLC and Wells Fargo Securities, LLC, as representatives of the underwriters named therein</w:t>
              </w:r>
            </w:hyperlink>
          </w:p>
        </w:tc>
        <w:tc>
          <w:tcPr>
            <w:tcW w:w="280" w:type="dxa"/>
            <w:vAlign w:val="bottom"/>
            <w:gridSpan w:val="2"/>
          </w:tcPr>
          <w:p>
            <w:pPr>
              <w:spacing w:after="0"/>
              <w:rPr>
                <w:sz w:val="20"/>
                <w:szCs w:val="20"/>
                <w:color w:val="auto"/>
              </w:rPr>
            </w:pPr>
          </w:p>
        </w:tc>
      </w:tr>
      <w:tr>
        <w:trPr>
          <w:trHeight w:val="32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660" w:type="dxa"/>
            <w:vAlign w:val="bottom"/>
            <w:gridSpan w:val="6"/>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Form of 1.250% Note due 2026</w:t>
              </w:r>
            </w:hyperlink>
          </w:p>
        </w:tc>
      </w:tr>
      <w:tr>
        <w:trPr>
          <w:trHeight w:val="32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660" w:type="dxa"/>
            <w:vAlign w:val="bottom"/>
            <w:gridSpan w:val="6"/>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Opinion of Pillsbury Winthrop Shaw Pittman LLP relating to legality of the securities being issued by the Registrant</w:t>
              </w:r>
            </w:hyperlink>
          </w:p>
        </w:tc>
      </w:tr>
      <w:tr>
        <w:trPr>
          <w:trHeight w:val="32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24"/>
                <w:szCs w:val="24"/>
                <w:color w:val="auto"/>
              </w:rPr>
            </w:pPr>
          </w:p>
        </w:tc>
        <w:tc>
          <w:tcPr>
            <w:tcW w:w="9660" w:type="dxa"/>
            <w:vAlign w:val="bottom"/>
            <w:gridSpan w:val="6"/>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Opinion of Pillsbury Winthrop Shaw Pittman LLP relating to material tax matters relating to the Registrant</w:t>
              </w:r>
            </w:hyperlink>
          </w:p>
        </w:tc>
      </w:tr>
      <w:tr>
        <w:trPr>
          <w:trHeight w:val="32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9660" w:type="dxa"/>
            <w:vAlign w:val="bottom"/>
            <w:gridSpan w:val="6"/>
          </w:tcPr>
          <w:p>
            <w:pPr>
              <w:spacing w:after="0"/>
              <w:rPr>
                <w:rFonts w:ascii="Arial" w:cs="Arial" w:eastAsia="Arial" w:hAnsi="Arial"/>
                <w:sz w:val="18"/>
                <w:szCs w:val="18"/>
                <w:color w:val="auto"/>
              </w:rPr>
            </w:pPr>
            <w:r>
              <w:rPr>
                <w:rFonts w:ascii="Arial" w:cs="Arial" w:eastAsia="Arial" w:hAnsi="Arial"/>
                <w:sz w:val="18"/>
                <w:szCs w:val="18"/>
                <w:color w:val="auto"/>
              </w:rPr>
              <w:t xml:space="preserve">Consents of Pillsbury Winthrop Shaw Pittman LLP (contained in the opinions filed as Exhibits </w:t>
            </w:r>
            <w:hyperlink w:anchor="page66">
              <w:r>
                <w:rPr>
                  <w:rFonts w:ascii="Arial" w:cs="Arial" w:eastAsia="Arial" w:hAnsi="Arial"/>
                  <w:sz w:val="18"/>
                  <w:szCs w:val="18"/>
                  <w:u w:val="single" w:color="auto"/>
                  <w:color w:val="0000EE"/>
                </w:rPr>
                <w:t>5.1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68">
              <w:r>
                <w:rPr>
                  <w:rFonts w:ascii="Arial" w:cs="Arial" w:eastAsia="Arial" w:hAnsi="Arial"/>
                  <w:sz w:val="18"/>
                  <w:szCs w:val="18"/>
                  <w:u w:val="single" w:color="auto"/>
                  <w:color w:val="0000EE"/>
                </w:rPr>
                <w:t>8.1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hereto)</w:t>
            </w:r>
          </w:p>
        </w:tc>
      </w:tr>
      <w:tr>
        <w:trPr>
          <w:trHeight w:val="324"/>
        </w:trPr>
        <w:tc>
          <w:tcPr>
            <w:tcW w:w="340" w:type="dxa"/>
            <w:vAlign w:val="bottom"/>
            <w:gridSpan w:val="2"/>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660" w:type="dxa"/>
            <w:vAlign w:val="bottom"/>
            <w:gridSpan w:val="6"/>
          </w:tcPr>
          <w:p>
            <w:pPr>
              <w:spacing w:after="0"/>
              <w:rPr>
                <w:sz w:val="20"/>
                <w:szCs w:val="20"/>
                <w:color w:val="auto"/>
              </w:rPr>
            </w:pPr>
            <w:r>
              <w:rPr>
                <w:rFonts w:ascii="Arial" w:cs="Arial" w:eastAsia="Arial" w:hAnsi="Arial"/>
                <w:sz w:val="18"/>
                <w:szCs w:val="18"/>
                <w:color w:val="auto"/>
              </w:rPr>
              <w:t>Cover Page Interactive Data File (the Cover Page Interactive Data File is embedded within the Inline XBRL document).</w:t>
            </w:r>
          </w:p>
        </w:tc>
      </w:tr>
    </w:tbl>
    <w:p>
      <w:pPr>
        <w:sectPr>
          <w:pgSz w:w="11900" w:h="16838" w:orient="portrait"/>
          <w:cols w:equalWidth="0" w:num="1">
            <w:col w:w="10960"/>
          </w:cols>
          <w:pgMar w:left="440" w:top="297" w:right="49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October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0660"/>
          </w:cols>
          <w:pgMar w:left="440" w:top="301"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OF</w:t>
      </w:r>
      <w:r>
        <w:rPr>
          <w:rFonts w:ascii="Arial" w:cs="Arial" w:eastAsia="Arial" w:hAnsi="Arial"/>
          <w:sz w:val="18"/>
          <w:szCs w:val="18"/>
          <w:color w:val="auto"/>
        </w:rPr>
        <w:t>A S</w:t>
      </w:r>
      <w:r>
        <w:rPr>
          <w:rFonts w:ascii="Arial" w:cs="Arial" w:eastAsia="Arial" w:hAnsi="Arial"/>
          <w:sz w:val="14"/>
          <w:szCs w:val="14"/>
          <w:color w:val="auto"/>
        </w:rPr>
        <w:t>ECURITIES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EUTSCHE</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LLC</w:t>
      </w:r>
    </w:p>
    <w:p>
      <w:pPr>
        <w:spacing w:after="0" w:line="11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c/o</w:t>
        <w:tab/>
        <w:t>BofA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 securities specified therein) certain of its debt securities (the “Securities”) specified in Schedule II to such Pricing Agreement (with respect to the Securities specified in such Schedule II, the “Designated Securities”).</w:t>
      </w:r>
    </w:p>
    <w:p>
      <w:pPr>
        <w:sectPr>
          <w:pgSz w:w="11900" w:h="16838" w:orient="portrait"/>
          <w:cols w:equalWidth="0" w:num="1">
            <w:col w:w="11020"/>
          </w:cols>
          <w:pgMar w:left="440" w:top="121" w:right="439" w:bottom="1440" w:gutter="0" w:footer="0" w:header="0"/>
        </w:sectPr>
      </w:pPr>
    </w:p>
    <w:bookmarkStart w:id="4" w:name="page5"/>
    <w:bookmarkEnd w:id="4"/>
    <w:p>
      <w:pPr>
        <w:ind w:right="2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terms and rights of any particular issuance of Designated Securities shall be as specified in the Pricing Agreement relating thereto and in or pursuant to the indenture (the “Indenture”) identified in such Pricing Agreement and resolutions of the board of trustees of the Company or a duly appointed committee thereof.</w:t>
      </w:r>
    </w:p>
    <w:p>
      <w:pPr>
        <w:spacing w:after="0" w:line="184" w:lineRule="exact"/>
        <w:rPr>
          <w:sz w:val="20"/>
          <w:szCs w:val="20"/>
          <w:color w:val="auto"/>
        </w:rPr>
      </w:pPr>
    </w:p>
    <w:p>
      <w:pPr>
        <w:ind w:right="40" w:firstLine="436"/>
        <w:spacing w:after="0" w:line="268" w:lineRule="auto"/>
        <w:tabs>
          <w:tab w:leader="none" w:pos="755" w:val="left"/>
        </w:tabs>
        <w:numPr>
          <w:ilvl w:val="0"/>
          <w:numId w:val="2"/>
        </w:numPr>
        <w:rPr>
          <w:rFonts w:ascii="Arial" w:cs="Arial" w:eastAsia="Arial" w:hAnsi="Arial"/>
          <w:sz w:val="17"/>
          <w:szCs w:val="17"/>
          <w:color w:val="auto"/>
        </w:rPr>
      </w:pPr>
      <w:r>
        <w:rPr>
          <w:rFonts w:ascii="Arial" w:cs="Arial" w:eastAsia="Arial" w:hAnsi="Arial"/>
          <w:sz w:val="17"/>
          <w:szCs w:val="17"/>
          <w:color w:val="auto"/>
        </w:rPr>
        <w:t>Particular sales of Designated Securities may be made from time to time to the Underwriters of such Designated Securities, for whom the firms designated as representatives of the Underwriters of such Designated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Securities or as an obligation of any of the Underwriters to purchase any of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181" w:lineRule="exact"/>
        <w:rPr>
          <w:rFonts w:ascii="Arial" w:cs="Arial" w:eastAsia="Arial" w:hAnsi="Arial"/>
          <w:sz w:val="17"/>
          <w:szCs w:val="17"/>
          <w:color w:val="auto"/>
        </w:rPr>
      </w:pPr>
    </w:p>
    <w:p>
      <w:pPr>
        <w:ind w:right="160" w:firstLine="436"/>
        <w:spacing w:after="0" w:line="277" w:lineRule="auto"/>
        <w:tabs>
          <w:tab w:leader="none" w:pos="75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as of the date hereof, the Applicable Time referred to in Section 2(c) hereof and the Time of Delivery referred to in Section 4 hereof that:</w:t>
      </w:r>
    </w:p>
    <w:p>
      <w:pPr>
        <w:spacing w:after="0" w:line="62" w:lineRule="exact"/>
        <w:rPr>
          <w:rFonts w:ascii="Arial" w:cs="Arial" w:eastAsia="Arial" w:hAnsi="Arial"/>
          <w:sz w:val="18"/>
          <w:szCs w:val="18"/>
          <w:color w:val="auto"/>
        </w:rPr>
      </w:pPr>
    </w:p>
    <w:p>
      <w:pPr>
        <w:ind w:left="440" w:firstLine="419"/>
        <w:spacing w:after="0" w:line="272" w:lineRule="auto"/>
        <w:tabs>
          <w:tab w:leader="none" w:pos="1239"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Company has filed with the Securities and Exchange Commission (the “Commission”) an automatic shelf registration statement on Form S-3 (No. 333-224701), including the related preliminary prospectus, which registration statement became effective upon filing under Rule 462(e) of the rules and regulations of the Commission under the Securities Act of 1933, as amended (the “Act”). Such registration statement covers the registration of the Securities under the Act. Promptly after execution and delivery of a Pricing Agreement with respect to the Designated Securities specified therein, the Company will prepare and file a prospectus in accordance with the provisions of Rule 430B under the Act (“Rule 430B”) and paragraph (b) of Rule 424 under the Act (“Rule 424(b)”) (without reliance on Rule 424(b)(8)). Any information included in such prospectus that was omitted from such registration statement at the time it became effective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but that is deemed to be part of and included in such registration statement pursuant to Rule 430B is referred to herein as “Rule 430B Information.” Each prospectus used in connection with the offering of Designated Securities that omitted Rule 430B Information is herein called a “preliminary prospectus.” Such registration statement, at any given time, including the amendments thereto at such time, the exhibits and any schedules thereto at such time, the documents incorporated by reference therein pursuant to Item 12 of Form S-3 under the Act at such time and the documents otherwise deemed to be a part thereof or included therein by the rules and regulations under the Act at such time, is herein called the “Registration Statement.” The Registration Statement at the time it originally became effective is herein called the “Original Registration Statement.” The final prospectus in the form first furnished to the Underwriters for use in connection with an offering of Designated Securities,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64" w:lineRule="exact"/>
        <w:rPr>
          <w:sz w:val="20"/>
          <w:szCs w:val="20"/>
          <w:color w:val="auto"/>
        </w:rPr>
      </w:pPr>
    </w:p>
    <w:p>
      <w:pPr>
        <w:ind w:firstLine="423"/>
        <w:spacing w:after="0" w:line="290" w:lineRule="auto"/>
        <w:rPr>
          <w:sz w:val="20"/>
          <w:szCs w:val="20"/>
          <w:color w:val="auto"/>
        </w:rPr>
      </w:pPr>
      <w:r>
        <w:rPr>
          <w:rFonts w:ascii="Arial" w:cs="Arial" w:eastAsia="Arial" w:hAnsi="Arial"/>
          <w:sz w:val="16"/>
          <w:szCs w:val="16"/>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57" w:lineRule="exact"/>
        <w:rPr>
          <w:sz w:val="20"/>
          <w:szCs w:val="20"/>
          <w:color w:val="auto"/>
        </w:rPr>
      </w:pPr>
    </w:p>
    <w:p>
      <w:pPr>
        <w:ind w:right="60" w:firstLine="419"/>
        <w:spacing w:after="0" w:line="254" w:lineRule="auto"/>
        <w:tabs>
          <w:tab w:leader="none" w:pos="813" w:val="left"/>
        </w:tabs>
        <w:numPr>
          <w:ilvl w:val="0"/>
          <w:numId w:val="3"/>
        </w:numPr>
        <w:rPr>
          <w:rFonts w:ascii="Arial" w:cs="Arial" w:eastAsia="Arial" w:hAnsi="Arial"/>
          <w:sz w:val="18"/>
          <w:szCs w:val="18"/>
          <w:color w:val="auto"/>
        </w:rPr>
      </w:pPr>
      <w:r>
        <w:rPr>
          <w:rFonts w:ascii="Arial" w:cs="Arial" w:eastAsia="Arial" w:hAnsi="Arial"/>
          <w:sz w:val="18"/>
          <w:szCs w:val="18"/>
          <w:color w:val="auto"/>
        </w:rPr>
        <w:t>(A)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Securities in reliance on the exemption of Rule 163 under the Act (“Rule 163”), (D) at the earliest time that the Company or another offering participant made a bona fide offer (within the meaning of Rule 164(h)(2) under the Act) of the Designated Securities, (E) at the date hereof and (F) at the date of each Pricing Agreement, the Company was, is and</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880" w:top="274" w:right="479" w:bottom="1440" w:gutter="0" w:footer="0" w:header="0"/>
        </w:sectPr>
      </w:pPr>
    </w:p>
    <w:bookmarkStart w:id="6" w:name="page7"/>
    <w:bookmarkEnd w:id="6"/>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will be a “well-known seasoned issuer” as defined in Rule 405 under the Act (“Rule 405”),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Act objecting to the use of the automatic shelf registration statement form.</w:t>
      </w:r>
    </w:p>
    <w:p>
      <w:pPr>
        <w:spacing w:after="0" w:line="80" w:lineRule="exact"/>
        <w:rPr>
          <w:sz w:val="20"/>
          <w:szCs w:val="20"/>
          <w:color w:val="auto"/>
        </w:rPr>
      </w:pPr>
    </w:p>
    <w:p>
      <w:pPr>
        <w:ind w:right="20" w:firstLine="419"/>
        <w:spacing w:after="0" w:line="257" w:lineRule="auto"/>
        <w:tabs>
          <w:tab w:leader="none" w:pos="79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Original Registration Statement became effective upon filing under Rule 462(e) under the Act (“Rule 462(e)”) on May 7, 2018,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80" w:lineRule="exact"/>
        <w:rPr>
          <w:sz w:val="20"/>
          <w:szCs w:val="20"/>
          <w:color w:val="auto"/>
        </w:rPr>
      </w:pPr>
    </w:p>
    <w:p>
      <w:pPr>
        <w:ind w:firstLine="423"/>
        <w:spacing w:after="0" w:line="257" w:lineRule="auto"/>
        <w:rPr>
          <w:sz w:val="20"/>
          <w:szCs w:val="20"/>
          <w:color w:val="auto"/>
        </w:rPr>
      </w:pPr>
      <w:r>
        <w:rPr>
          <w:rFonts w:ascii="Arial" w:cs="Arial" w:eastAsia="Arial" w:hAnsi="Arial"/>
          <w:sz w:val="18"/>
          <w:szCs w:val="18"/>
          <w:color w:val="auto"/>
        </w:rPr>
        <w:t>Any offer that is a written communication relating to the Securities made prior to the filing of the Original Registration Statement by the Company or any person acting on its behalf (within the meaning, for this paragraph only, of Rule 163(c)) has been filed (unless exempt from filing pursuant to Rule 163) 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80" w:lineRule="exact"/>
        <w:rPr>
          <w:sz w:val="20"/>
          <w:szCs w:val="20"/>
          <w:color w:val="auto"/>
        </w:rPr>
      </w:pPr>
    </w:p>
    <w:p>
      <w:pPr>
        <w:ind w:right="20" w:firstLine="419"/>
        <w:spacing w:after="0" w:line="255" w:lineRule="auto"/>
        <w:tabs>
          <w:tab w:leader="none" w:pos="718"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respective times the Original Registration Statement and each amendment thereto became effective, (B) at each deemed effective date with respect to the Underwriters and the Designated Securities pursuant to Rule 430B(f)(2) under the Act and (C) at the Time of Delivery, the Registration Statement complied, complies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84" w:lineRule="exact"/>
        <w:rPr>
          <w:sz w:val="20"/>
          <w:szCs w:val="20"/>
          <w:color w:val="auto"/>
        </w:rPr>
      </w:pPr>
    </w:p>
    <w:p>
      <w:pPr>
        <w:ind w:right="60" w:firstLine="423"/>
        <w:spacing w:after="0" w:line="296" w:lineRule="auto"/>
        <w:rPr>
          <w:sz w:val="20"/>
          <w:szCs w:val="20"/>
          <w:color w:val="auto"/>
        </w:rPr>
      </w:pPr>
      <w:r>
        <w:rPr>
          <w:rFonts w:ascii="Arial" w:cs="Arial" w:eastAsia="Arial" w:hAnsi="Arial"/>
          <w:sz w:val="16"/>
          <w:szCs w:val="16"/>
          <w:color w:val="auto"/>
        </w:rPr>
        <w:t>The Prospectus and each amendment or supplement thereto, if any, at the time the Prospectus or any such amendment or supplement was issued and at the Time of Delivery, complied, complies and will comply, in all material respects with the requirements of the Act, and neither the Prospectus nor any amendments or supplements thereto, at the time the Prospectus or any such amendment or supplement was issued or at the Time of Delivery,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7" w:name="page8"/>
    <w:bookmarkEnd w:id="7"/>
    <w:p>
      <w:pPr>
        <w:ind w:right="40" w:firstLine="42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 Statutory Prospectus and the Prospectus delivered to the Underwriters for use in connection with each offering of Designated Securities will be identical to the electronically transmitted copies thereof filed with the Commission pursuant to EDGAR, except to the extent permitted by Regulation S-T.</w:t>
      </w:r>
    </w:p>
    <w:p>
      <w:pPr>
        <w:spacing w:after="0" w:line="80" w:lineRule="exact"/>
        <w:rPr>
          <w:sz w:val="20"/>
          <w:szCs w:val="20"/>
          <w:color w:val="auto"/>
        </w:rPr>
      </w:pPr>
    </w:p>
    <w:p>
      <w:pPr>
        <w:ind w:firstLine="423"/>
        <w:spacing w:after="0" w:line="301" w:lineRule="auto"/>
        <w:rPr>
          <w:sz w:val="20"/>
          <w:szCs w:val="20"/>
          <w:color w:val="auto"/>
        </w:rPr>
      </w:pPr>
      <w:r>
        <w:rPr>
          <w:rFonts w:ascii="Arial" w:cs="Arial" w:eastAsia="Arial" w:hAnsi="Arial"/>
          <w:sz w:val="16"/>
          <w:szCs w:val="16"/>
          <w:color w:val="auto"/>
        </w:rPr>
        <w:t>As of the Applicable Time (as defined below), the Statutory Prospectus, when considered together with the Issuer Free Writing Prospectus(es) (as defined below) issued at or prior to the Applicable Time, will not include any untrue statement of a material fact or omit to state any material fact necessary in order to make the statements therein, in the light of the circumstances under which they were made, not misleading. The Statutory Prospectus and the Issuer Free Writing Prospectus(es) are collectively referred to herein as the “General Disclosure Package.”</w:t>
      </w:r>
    </w:p>
    <w:p>
      <w:pPr>
        <w:spacing w:after="0" w:line="49" w:lineRule="exact"/>
        <w:rPr>
          <w:sz w:val="20"/>
          <w:szCs w:val="20"/>
          <w:color w:val="auto"/>
        </w:rPr>
      </w:pPr>
    </w:p>
    <w:p>
      <w:pPr>
        <w:ind w:right="100" w:firstLine="423"/>
        <w:spacing w:after="0" w:line="257" w:lineRule="auto"/>
        <w:rPr>
          <w:sz w:val="20"/>
          <w:szCs w:val="20"/>
          <w:color w:val="auto"/>
        </w:rPr>
      </w:pPr>
      <w:r>
        <w:rPr>
          <w:rFonts w:ascii="Arial" w:cs="Arial" w:eastAsia="Arial" w:hAnsi="Arial"/>
          <w:sz w:val="18"/>
          <w:szCs w:val="18"/>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 furnished to the Company in writing by the Underwriters expressly for use in the Registration Statement or any post-effective amendment thereto, or the Prospectus or any amendments or supplements thereto, or the General Disclosure Package.</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used in this subsection and elsewhere in this Underwriting Agreement:</w:t>
      </w:r>
    </w:p>
    <w:p>
      <w:pPr>
        <w:spacing w:after="0" w:line="117" w:lineRule="exact"/>
        <w:rPr>
          <w:sz w:val="20"/>
          <w:szCs w:val="20"/>
          <w:color w:val="auto"/>
        </w:rPr>
      </w:pPr>
    </w:p>
    <w:p>
      <w:pPr>
        <w:ind w:right="540" w:firstLine="423"/>
        <w:spacing w:after="0" w:line="277" w:lineRule="auto"/>
        <w:rPr>
          <w:sz w:val="20"/>
          <w:szCs w:val="20"/>
          <w:color w:val="auto"/>
        </w:rPr>
      </w:pPr>
      <w:r>
        <w:rPr>
          <w:rFonts w:ascii="Arial" w:cs="Arial" w:eastAsia="Arial" w:hAnsi="Arial"/>
          <w:sz w:val="18"/>
          <w:szCs w:val="18"/>
          <w:color w:val="auto"/>
        </w:rPr>
        <w:t>“Applicable Time” shall have the meaning set forth in Schedule II of the Pricing Agreement with respect to the Designated Securities specified therein.</w:t>
      </w:r>
    </w:p>
    <w:p>
      <w:pPr>
        <w:spacing w:after="0" w:line="62" w:lineRule="exact"/>
        <w:rPr>
          <w:sz w:val="20"/>
          <w:szCs w:val="20"/>
          <w:color w:val="auto"/>
        </w:rPr>
      </w:pPr>
    </w:p>
    <w:p>
      <w:pPr>
        <w:ind w:right="40" w:firstLine="423"/>
        <w:spacing w:after="0" w:line="273" w:lineRule="auto"/>
        <w:rPr>
          <w:sz w:val="20"/>
          <w:szCs w:val="20"/>
          <w:color w:val="auto"/>
        </w:rPr>
      </w:pPr>
      <w:r>
        <w:rPr>
          <w:rFonts w:ascii="Arial" w:cs="Arial" w:eastAsia="Arial" w:hAnsi="Arial"/>
          <w:sz w:val="17"/>
          <w:szCs w:val="17"/>
          <w:color w:val="auto"/>
        </w:rPr>
        <w:t>“Issuer Free Writing Prospectus” means any “issuer free writing prospectus,” as defined in Rule 433 under the Act (“Rule 433”), relating to any particular issuance of Designated Securities (including any identified on Exhibit B hereto)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a particular issuance of Designated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70" w:lineRule="exact"/>
        <w:rPr>
          <w:sz w:val="20"/>
          <w:szCs w:val="20"/>
          <w:color w:val="auto"/>
        </w:rPr>
      </w:pPr>
    </w:p>
    <w:p>
      <w:pPr>
        <w:jc w:val="both"/>
        <w:ind w:right="60" w:firstLine="423"/>
        <w:spacing w:after="0" w:line="311" w:lineRule="auto"/>
        <w:rPr>
          <w:sz w:val="20"/>
          <w:szCs w:val="20"/>
          <w:color w:val="auto"/>
        </w:rPr>
      </w:pPr>
      <w:r>
        <w:rPr>
          <w:rFonts w:ascii="Arial" w:cs="Arial" w:eastAsia="Arial" w:hAnsi="Arial"/>
          <w:sz w:val="16"/>
          <w:szCs w:val="16"/>
          <w:color w:val="auto"/>
        </w:rPr>
        <w:t>“Statutory Prospectus” as of any time means the prospectus that is included in the Registration Statement immediately prior to that time and the preliminary prospectus supplement relating to a particular issuance of Designated Securities set forth in the Pricing Agreement, including the documents incorporated by reference therein and any other preliminary or other prospectus deemed to be a part thereof.</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8" w:name="page9"/>
    <w:bookmarkEnd w:id="8"/>
    <w:p>
      <w:pPr>
        <w:ind w:firstLine="419"/>
        <w:spacing w:after="0" w:line="311" w:lineRule="auto"/>
        <w:tabs>
          <w:tab w:leader="none" w:pos="80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40" w:lineRule="exact"/>
        <w:rPr>
          <w:rFonts w:ascii="Arial" w:cs="Arial" w:eastAsia="Arial" w:hAnsi="Arial"/>
          <w:sz w:val="16"/>
          <w:szCs w:val="16"/>
          <w:color w:val="auto"/>
        </w:rPr>
      </w:pPr>
    </w:p>
    <w:p>
      <w:pPr>
        <w:ind w:firstLine="419"/>
        <w:spacing w:after="0" w:line="272" w:lineRule="auto"/>
        <w:tabs>
          <w:tab w:leader="none" w:pos="803"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Issuer Free Writing Prospectus identified on Exhibit B hereto, as of its issue date and at all subsequent times through the completion of the public offer and sale of the Designated Securities or until any earlier date that the Company notified or notifies the Underwriters as described in Section 5(g) hereof,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69" w:lineRule="exact"/>
        <w:rPr>
          <w:rFonts w:ascii="Arial" w:cs="Arial" w:eastAsia="Arial" w:hAnsi="Arial"/>
          <w:sz w:val="17"/>
          <w:szCs w:val="17"/>
          <w:color w:val="auto"/>
        </w:rPr>
      </w:pPr>
    </w:p>
    <w:p>
      <w:pPr>
        <w:ind w:right="20" w:firstLine="419"/>
        <w:spacing w:after="0" w:line="286" w:lineRule="auto"/>
        <w:tabs>
          <w:tab w:leader="none" w:pos="77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the General Disclosure Package and the Prospectus; each “significant subsidiary” of the Company (as such term is defined in Rule 1-02 of Regulation S-X) (each, a “Subsidiary” and collectively, the “Subsidiaries”) has been duly organized and is validly existing as a corporation, partnership, limited liability company, trust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the General Disclosure Package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 ownership interests in any Subsidiary are outstanding other than contractual rights existing on the date of the applicable Pricing Agreement by the current and former holders of partnership or other interests in certain of the “DownREIT” and other</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9" w:name="page10"/>
    <w:bookmarkEnd w:id="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subsidiaries, which may result in the issuance of common shares of beneficial interest of the Company (“Common Shares”);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80" w:lineRule="exact"/>
        <w:rPr>
          <w:sz w:val="20"/>
          <w:szCs w:val="20"/>
          <w:color w:val="auto"/>
        </w:rPr>
      </w:pPr>
    </w:p>
    <w:p>
      <w:pPr>
        <w:ind w:right="20" w:firstLine="419"/>
        <w:spacing w:after="0" w:line="285" w:lineRule="auto"/>
        <w:tabs>
          <w:tab w:leader="none" w:pos="809"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and its subsidiaries, considered as one enterprise, have not, since the date of the latest audited financial statements included or incorporated by reference in the Registration Statement, the General Disclosure Package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 in the General Disclosure Package and the Prospectus, there has not been any change in the authorized, issued or outstanding capital shares of the Company (except for subsequent issuances, if any, of Common Shares pursuant to (i) conversion of any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result in the issuance of Common Shares of the Company, (v) the terms of (a) the Equity Distribution Agreement dated May 7, 2018 between the Company and Wells Fargo Securities, LLC, (b) the Equity Distribution Agreement dated May 7, 2018 between the Company and BofA Securities, Inc. and (c) the Equity Distribution Agreement dated May 7, 2018 between the Company and Citigroup Global Markets Inc., as the same may be amended from time to time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General Disclosure Package and the Prospectus.</w:t>
      </w:r>
    </w:p>
    <w:p>
      <w:pPr>
        <w:spacing w:after="0" w:line="279" w:lineRule="exact"/>
        <w:rPr>
          <w:rFonts w:ascii="Arial" w:cs="Arial" w:eastAsia="Arial" w:hAnsi="Arial"/>
          <w:sz w:val="16"/>
          <w:szCs w:val="16"/>
          <w:color w:val="auto"/>
        </w:rPr>
      </w:pPr>
    </w:p>
    <w:p>
      <w:pPr>
        <w:jc w:val="both"/>
        <w:ind w:right="540" w:firstLine="419"/>
        <w:spacing w:after="0" w:line="263" w:lineRule="auto"/>
        <w:tabs>
          <w:tab w:leader="none" w:pos="80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Company’s consolidated balance sheet as of the latest financial statements, audited or unaudited, as applicable, included or incorporated by reference in the Registration Statement, the General Disclosure Package and the Prospectus; all of</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10" w:name="page11"/>
    <w:bookmarkEnd w:id="10"/>
    <w:p>
      <w:pPr>
        <w:ind w:left="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76" w:lineRule="exact"/>
        <w:rPr>
          <w:sz w:val="20"/>
          <w:szCs w:val="20"/>
          <w:color w:val="auto"/>
        </w:rPr>
      </w:pPr>
    </w:p>
    <w:p>
      <w:pPr>
        <w:ind w:left="4" w:right="40" w:firstLine="419"/>
        <w:spacing w:after="0" w:line="286" w:lineRule="auto"/>
        <w:tabs>
          <w:tab w:leader="none" w:pos="773"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Company has full right, power and authority under its organizational documents to enter into this Underwriting Agreement and the Pricing Agreement with respect to such Designated Securities, and this Underwriting Agreement and the Pricing Agreement with respect to such Designated Securities have been duly and validly authorized, executed and delivered by the Company.</w:t>
      </w:r>
    </w:p>
    <w:p>
      <w:pPr>
        <w:spacing w:after="0" w:line="57" w:lineRule="exact"/>
        <w:rPr>
          <w:rFonts w:ascii="Arial" w:cs="Arial" w:eastAsia="Arial" w:hAnsi="Arial"/>
          <w:sz w:val="17"/>
          <w:szCs w:val="17"/>
          <w:color w:val="auto"/>
        </w:rPr>
      </w:pPr>
    </w:p>
    <w:p>
      <w:pPr>
        <w:ind w:left="4" w:firstLine="419"/>
        <w:spacing w:after="0" w:line="253" w:lineRule="auto"/>
        <w:tabs>
          <w:tab w:leader="none" w:pos="773"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Designated Securities have been duly and validly authorized by the Company, and, when such Designated Securities are issued and delivered pursuant to this Underwriting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Registration Statement, the General Disclosure Package and the Prospectus, as amended or supplemented, with respect to such Designated Securities.</w:t>
      </w:r>
    </w:p>
    <w:p>
      <w:pPr>
        <w:spacing w:after="0" w:line="86" w:lineRule="exact"/>
        <w:rPr>
          <w:rFonts w:ascii="Arial" w:cs="Arial" w:eastAsia="Arial" w:hAnsi="Arial"/>
          <w:sz w:val="18"/>
          <w:szCs w:val="18"/>
          <w:color w:val="auto"/>
        </w:rPr>
      </w:pPr>
    </w:p>
    <w:p>
      <w:pPr>
        <w:ind w:left="4" w:right="120" w:firstLine="419"/>
        <w:spacing w:after="0" w:line="274" w:lineRule="auto"/>
        <w:tabs>
          <w:tab w:leader="none" w:pos="816" w:val="left"/>
        </w:tabs>
        <w:numPr>
          <w:ilvl w:val="1"/>
          <w:numId w:val="8"/>
        </w:numPr>
        <w:rPr>
          <w:rFonts w:ascii="Arial" w:cs="Arial" w:eastAsia="Arial" w:hAnsi="Arial"/>
          <w:sz w:val="17"/>
          <w:szCs w:val="17"/>
          <w:color w:val="auto"/>
        </w:rPr>
      </w:pPr>
      <w:r>
        <w:rPr>
          <w:rFonts w:ascii="Arial" w:cs="Arial" w:eastAsia="Arial" w:hAnsi="Arial"/>
          <w:sz w:val="17"/>
          <w:szCs w:val="17"/>
          <w:color w:val="auto"/>
        </w:rPr>
        <w:t>(i) Neither the Company nor any of its Subsidiaries is in violation of its charter or bylaws or similar organizational documents; (ii) no subsidiary of the Company not referred to in clause (i) above is in violation of its charter or bylaws or similar organizational documents;</w:t>
      </w:r>
    </w:p>
    <w:p>
      <w:pPr>
        <w:ind w:left="4" w:right="20" w:hanging="4"/>
        <w:spacing w:after="0" w:line="268" w:lineRule="auto"/>
        <w:tabs>
          <w:tab w:leader="none" w:pos="318" w:val="left"/>
        </w:tabs>
        <w:numPr>
          <w:ilvl w:val="0"/>
          <w:numId w:val="9"/>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116"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44"/>
          </w:cols>
          <w:pgMar w:left="876" w:top="274" w:right="479" w:bottom="1440" w:gutter="0" w:footer="0" w:header="0"/>
        </w:sectPr>
      </w:pPr>
    </w:p>
    <w:bookmarkStart w:id="11" w:name="page12"/>
    <w:bookmarkEnd w:id="11"/>
    <w:p>
      <w:pPr>
        <w:ind w:firstLine="419"/>
        <w:spacing w:after="0" w:line="286" w:lineRule="auto"/>
        <w:tabs>
          <w:tab w:leader="none" w:pos="769"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issue and sale of the Designated Securities and the compliance by the Company with all of the provisions of the Designated Securities, this Underwriting Agreement and the Pricing Agreement with respect to such Designated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the bylaws of the Company or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Underwriting Agreement or any Pricing Agreement or the Indenture, except such as have been, or will have been prior to the Time of Delivery, obtained under the Act, the Exchange Act and the Trust Indenture Act and except for the rules of the New York Stock Exchange, Inc. (the “NYSE”) and such consents, approvals, authorizations, registrations or qualifications as may be required under state securities or “Blue Sky” laws in connection with the purchase and distribution of the Designated Securities by the Underwriters.</w:t>
      </w:r>
    </w:p>
    <w:p>
      <w:pPr>
        <w:spacing w:after="0" w:line="65" w:lineRule="exact"/>
        <w:rPr>
          <w:rFonts w:ascii="Arial" w:cs="Arial" w:eastAsia="Arial" w:hAnsi="Arial"/>
          <w:sz w:val="16"/>
          <w:szCs w:val="16"/>
          <w:color w:val="auto"/>
        </w:rPr>
      </w:pPr>
    </w:p>
    <w:p>
      <w:pPr>
        <w:ind w:firstLine="419"/>
        <w:spacing w:after="0" w:line="255" w:lineRule="auto"/>
        <w:tabs>
          <w:tab w:leader="none" w:pos="8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than as set forth in the Registration Statement, the General Disclosure Package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84" w:lineRule="exact"/>
        <w:rPr>
          <w:rFonts w:ascii="Arial" w:cs="Arial" w:eastAsia="Arial" w:hAnsi="Arial"/>
          <w:sz w:val="18"/>
          <w:szCs w:val="18"/>
          <w:color w:val="auto"/>
        </w:rPr>
      </w:pPr>
    </w:p>
    <w:p>
      <w:pPr>
        <w:ind w:firstLine="419"/>
        <w:spacing w:after="0" w:line="272" w:lineRule="auto"/>
        <w:tabs>
          <w:tab w:leader="none" w:pos="809"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consolidated financial statements of the Company and its subsidiaries, together with related notes and schedules as set forth or incorporated by reference in the Registration Statement, the General Disclosure Package and the Prospectus present fairly the financial position and the results of operations of the Company and its subsidiaries at the indicated dates and for the indicated periods. Such consolidated financial statements have been prepared in accordance with generally accepted accounting principles in the United States (“GAAP”), 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11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40"/>
          </w:cols>
          <w:pgMar w:left="880" w:top="274" w:right="479" w:bottom="1440" w:gutter="0" w:footer="0" w:header="0"/>
        </w:sectPr>
      </w:pPr>
    </w:p>
    <w:bookmarkStart w:id="12" w:name="page13"/>
    <w:bookmarkEnd w:id="12"/>
    <w:p>
      <w:pPr>
        <w:ind w:right="60" w:firstLine="419"/>
        <w:spacing w:after="0" w:line="259" w:lineRule="auto"/>
        <w:tabs>
          <w:tab w:leader="none" w:pos="809"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and its subsidiaries have good and marketable title to, or valid and enforceable leasehold estates in, all items of real and personal property referred to in the Registration Statement, the General Disclosure Package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78" w:lineRule="exact"/>
        <w:rPr>
          <w:rFonts w:ascii="Arial" w:cs="Arial" w:eastAsia="Arial" w:hAnsi="Arial"/>
          <w:sz w:val="18"/>
          <w:szCs w:val="18"/>
          <w:color w:val="auto"/>
        </w:rPr>
      </w:pPr>
    </w:p>
    <w:p>
      <w:pPr>
        <w:ind w:right="180" w:firstLine="419"/>
        <w:spacing w:after="0" w:line="275" w:lineRule="auto"/>
        <w:tabs>
          <w:tab w:leader="none" w:pos="80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68" w:lineRule="exact"/>
        <w:rPr>
          <w:rFonts w:ascii="Arial" w:cs="Arial" w:eastAsia="Arial" w:hAnsi="Arial"/>
          <w:sz w:val="17"/>
          <w:szCs w:val="17"/>
          <w:color w:val="auto"/>
        </w:rPr>
      </w:pPr>
    </w:p>
    <w:p>
      <w:pPr>
        <w:ind w:right="140" w:firstLine="419"/>
        <w:spacing w:after="0" w:line="286" w:lineRule="auto"/>
        <w:tabs>
          <w:tab w:leader="none" w:pos="80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57" w:lineRule="exact"/>
        <w:rPr>
          <w:rFonts w:ascii="Arial" w:cs="Arial" w:eastAsia="Arial" w:hAnsi="Arial"/>
          <w:sz w:val="17"/>
          <w:szCs w:val="17"/>
          <w:color w:val="auto"/>
        </w:rPr>
      </w:pPr>
    </w:p>
    <w:p>
      <w:pPr>
        <w:ind w:right="20" w:firstLine="419"/>
        <w:spacing w:after="0" w:line="275" w:lineRule="auto"/>
        <w:tabs>
          <w:tab w:leader="none" w:pos="783" w:val="left"/>
        </w:tabs>
        <w:numPr>
          <w:ilvl w:val="0"/>
          <w:numId w:val="11"/>
        </w:numPr>
        <w:rPr>
          <w:rFonts w:ascii="Arial" w:cs="Arial" w:eastAsia="Arial" w:hAnsi="Arial"/>
          <w:sz w:val="17"/>
          <w:szCs w:val="17"/>
          <w:color w:val="auto"/>
        </w:rPr>
      </w:pPr>
      <w:r>
        <w:rPr>
          <w:rFonts w:ascii="Arial" w:cs="Arial" w:eastAsia="Arial" w:hAnsi="Arial"/>
          <w:sz w:val="17"/>
          <w:szCs w:val="17"/>
          <w:color w:val="auto"/>
        </w:rPr>
        <w:t>Grant Thornton LLP, which audited the consolidated balance sheets of the Company and subsidiaries as of December 31, 2019 and the consolidated statements of comprehensive income, consolidated statements of shareholders’ equity and consolidated statements of cash flows for the year ended December 31, 2019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68" w:lineRule="exact"/>
        <w:rPr>
          <w:rFonts w:ascii="Arial" w:cs="Arial" w:eastAsia="Arial" w:hAnsi="Arial"/>
          <w:sz w:val="17"/>
          <w:szCs w:val="17"/>
          <w:color w:val="auto"/>
        </w:rPr>
      </w:pPr>
    </w:p>
    <w:p>
      <w:pPr>
        <w:ind w:firstLine="419"/>
        <w:spacing w:after="0" w:line="290" w:lineRule="auto"/>
        <w:tabs>
          <w:tab w:leader="none" w:pos="79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0"/>
          </w:cols>
          <w:pgMar w:left="880" w:top="274" w:right="479" w:bottom="1440" w:gutter="0" w:footer="0" w:header="0"/>
        </w:sectPr>
      </w:pPr>
    </w:p>
    <w:bookmarkStart w:id="13" w:name="page14"/>
    <w:bookmarkEnd w:id="13"/>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69" w:lineRule="exact"/>
        <w:rPr>
          <w:sz w:val="20"/>
          <w:szCs w:val="20"/>
          <w:color w:val="auto"/>
        </w:rPr>
      </w:pPr>
    </w:p>
    <w:p>
      <w:pPr>
        <w:ind w:right="100" w:firstLine="419"/>
        <w:spacing w:after="0" w:line="342" w:lineRule="auto"/>
        <w:tabs>
          <w:tab w:leader="none" w:pos="7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15" w:lineRule="exact"/>
        <w:rPr>
          <w:rFonts w:ascii="Arial" w:cs="Arial" w:eastAsia="Arial" w:hAnsi="Arial"/>
          <w:sz w:val="16"/>
          <w:szCs w:val="16"/>
          <w:color w:val="auto"/>
        </w:rPr>
      </w:pPr>
    </w:p>
    <w:p>
      <w:pPr>
        <w:ind w:right="40" w:firstLine="419"/>
        <w:spacing w:after="0" w:line="291" w:lineRule="auto"/>
        <w:tabs>
          <w:tab w:leader="none" w:pos="803"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58" w:lineRule="exact"/>
        <w:rPr>
          <w:rFonts w:ascii="Arial" w:cs="Arial" w:eastAsia="Arial" w:hAnsi="Arial"/>
          <w:sz w:val="16"/>
          <w:szCs w:val="16"/>
          <w:color w:val="auto"/>
        </w:rPr>
      </w:pPr>
    </w:p>
    <w:p>
      <w:pPr>
        <w:ind w:right="20" w:firstLine="419"/>
        <w:spacing w:after="0" w:line="257" w:lineRule="auto"/>
        <w:tabs>
          <w:tab w:leader="none" w:pos="8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all tax periods regarding which the Internal Revenue Service is or will be entitled to assert any claim, the Company has met the requirements for qualification as a REIT under Sections 856 through 860 of the Internal Revenue Code of 1986, as amended (the “Code”),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w:t>
      </w:r>
    </w:p>
    <w:p>
      <w:pPr>
        <w:spacing w:after="0" w:line="79" w:lineRule="exact"/>
        <w:rPr>
          <w:rFonts w:ascii="Arial" w:cs="Arial" w:eastAsia="Arial" w:hAnsi="Arial"/>
          <w:sz w:val="18"/>
          <w:szCs w:val="18"/>
          <w:color w:val="auto"/>
        </w:rPr>
      </w:pPr>
    </w:p>
    <w:p>
      <w:pPr>
        <w:jc w:val="both"/>
        <w:ind w:firstLine="419"/>
        <w:spacing w:after="0" w:line="259" w:lineRule="auto"/>
        <w:tabs>
          <w:tab w:leader="none" w:pos="8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4" w:right="459" w:bottom="1440" w:gutter="0" w:footer="0" w:header="0"/>
        </w:sectPr>
      </w:pPr>
    </w:p>
    <w:bookmarkStart w:id="14" w:name="page15"/>
    <w:bookmarkEnd w:id="14"/>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57" w:lineRule="exact"/>
        <w:rPr>
          <w:sz w:val="20"/>
          <w:szCs w:val="20"/>
          <w:color w:val="auto"/>
        </w:rPr>
      </w:pPr>
    </w:p>
    <w:p>
      <w:pPr>
        <w:ind w:firstLine="419"/>
        <w:spacing w:after="0" w:line="269" w:lineRule="auto"/>
        <w:tabs>
          <w:tab w:leader="none" w:pos="813"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to the best knowledge of the Company,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73" w:lineRule="exact"/>
        <w:rPr>
          <w:rFonts w:ascii="Arial" w:cs="Arial" w:eastAsia="Arial" w:hAnsi="Arial"/>
          <w:sz w:val="17"/>
          <w:szCs w:val="17"/>
          <w:color w:val="auto"/>
        </w:rPr>
      </w:pPr>
    </w:p>
    <w:p>
      <w:pPr>
        <w:ind w:right="60" w:firstLine="419"/>
        <w:spacing w:after="0" w:line="273" w:lineRule="auto"/>
        <w:tabs>
          <w:tab w:leader="none" w:pos="809"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69" w:lineRule="exact"/>
        <w:rPr>
          <w:rFonts w:ascii="Arial" w:cs="Arial" w:eastAsia="Arial" w:hAnsi="Arial"/>
          <w:sz w:val="17"/>
          <w:szCs w:val="17"/>
          <w:color w:val="auto"/>
        </w:rPr>
      </w:pPr>
    </w:p>
    <w:p>
      <w:pPr>
        <w:ind w:right="80" w:firstLine="419"/>
        <w:spacing w:after="0" w:line="254" w:lineRule="auto"/>
        <w:tabs>
          <w:tab w:leader="none" w:pos="803"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knowledge of the Company,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(“OFAC”) or other relevant sanctions authority (collectively, “Sanctions”)); or (ii) located, organized or resident in a country or territory that is, or whose government is, the subject of Sanctions that broadly prohibit dealings with that country or territory (each, a “Sanctioned Country”);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Sanctions.</w:t>
      </w:r>
    </w:p>
    <w:p>
      <w:pPr>
        <w:spacing w:after="0" w:line="12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20"/>
          </w:cols>
          <w:pgMar w:left="880" w:top="274" w:right="499" w:bottom="1440" w:gutter="0" w:footer="0" w:header="0"/>
        </w:sectPr>
      </w:pPr>
    </w:p>
    <w:bookmarkStart w:id="15" w:name="page16"/>
    <w:bookmarkEnd w:id="15"/>
    <w:p>
      <w:pPr>
        <w:ind w:left="380" w:right="260" w:firstLine="419"/>
        <w:spacing w:after="0" w:line="263" w:lineRule="auto"/>
        <w:tabs>
          <w:tab w:leader="none" w:pos="1259"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interactive data in the eXtensible Business Reporting Language incorporated by reference in the Registration Statement fairly presents the information called for in all material respects and has been prepared in accordance with the Commission’s rules and guidelines applicable thereto.</w:t>
      </w:r>
    </w:p>
    <w:p>
      <w:pPr>
        <w:spacing w:after="0" w:line="75" w:lineRule="exact"/>
        <w:rPr>
          <w:rFonts w:ascii="Arial" w:cs="Arial" w:eastAsia="Arial" w:hAnsi="Arial"/>
          <w:sz w:val="18"/>
          <w:szCs w:val="18"/>
          <w:color w:val="auto"/>
        </w:rPr>
      </w:pPr>
    </w:p>
    <w:p>
      <w:pPr>
        <w:ind w:left="380" w:firstLine="419"/>
        <w:spacing w:after="0" w:line="285" w:lineRule="auto"/>
        <w:tabs>
          <w:tab w:leader="none" w:pos="12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To the knowledge of the Company, there has been no security breach or incident, unauthorized access or disclosure, or other compromise relating to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equipment or technology (collectively, “IT Systems and Data”); (ii) neither the Company nor its subsidiaries have been notified of, and each of them have no knowledge of any event or condition that could result in, any security breach or incident, unauthorized access or disclosure or other compromise to their IT Systems and Data; and (iii)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except, in the case of clauses (i) and (ii) above, as would not, individually or in the aggregate, have a material adverse effect on the condition, financial or otherwise, or on the earnings, business affairs or business prospects of the Company and its subsidiaries, considered as one enterprise, and except, in the case of clause (iii) above, where the failure to do so would not, individually or in the aggregate, have a material adverse effect on the condition, financial or otherwise, or on the earnings, business affairs or business prospects of the Company and its subsidiaries, considered as one enterprise.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where the failure to be so in material compliance would not, individually or in the aggregate, have a material adverse effect on the condition, financial or otherwise, or on the earnings, business affairs or business prospects of the Company and its subsidiaries, considered as one enterprise.</w:t>
      </w:r>
    </w:p>
    <w:p>
      <w:pPr>
        <w:spacing w:after="0" w:line="387" w:lineRule="exact"/>
        <w:rPr>
          <w:sz w:val="20"/>
          <w:szCs w:val="20"/>
          <w:color w:val="auto"/>
        </w:rPr>
      </w:pPr>
    </w:p>
    <w:p>
      <w:pPr>
        <w:ind w:left="-60" w:right="60" w:firstLine="436"/>
        <w:spacing w:after="0" w:line="263"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500" w:top="274" w:right="519" w:bottom="1440" w:gutter="0" w:footer="0" w:header="0"/>
        </w:sectPr>
      </w:pPr>
    </w:p>
    <w:bookmarkStart w:id="16" w:name="page17"/>
    <w:bookmarkEnd w:id="16"/>
    <w:p>
      <w:pPr>
        <w:ind w:right="40" w:firstLine="436"/>
        <w:spacing w:after="0" w:line="291" w:lineRule="auto"/>
        <w:tabs>
          <w:tab w:leader="none" w:pos="752"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Designated Securities to be purchased by each Underwriter shall be delivered to the Representatives for the account of such Underwriter in the form of one or more global certificates in aggregate denomination equal to the aggregate principal amount of the Designated Securities upon original issuance and registered in the name of Cede &amp; Co., as nominee for The Depository Trust Company,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66" w:lineRule="exact"/>
        <w:rPr>
          <w:rFonts w:ascii="Arial" w:cs="Arial" w:eastAsia="Arial" w:hAnsi="Arial"/>
          <w:sz w:val="16"/>
          <w:szCs w:val="16"/>
          <w:color w:val="auto"/>
        </w:rPr>
      </w:pPr>
    </w:p>
    <w:p>
      <w:pPr>
        <w:ind w:left="740" w:hanging="304"/>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agrees with each of the Underwriters of any Designated Securities that:</w:t>
      </w:r>
    </w:p>
    <w:p>
      <w:pPr>
        <w:spacing w:after="0" w:line="117" w:lineRule="exact"/>
        <w:rPr>
          <w:rFonts w:ascii="Arial" w:cs="Arial" w:eastAsia="Arial" w:hAnsi="Arial"/>
          <w:sz w:val="18"/>
          <w:szCs w:val="18"/>
          <w:color w:val="auto"/>
        </w:rPr>
      </w:pPr>
    </w:p>
    <w:p>
      <w:pPr>
        <w:ind w:left="440" w:firstLine="419"/>
        <w:spacing w:after="0" w:line="285" w:lineRule="auto"/>
        <w:tabs>
          <w:tab w:leader="none" w:pos="1239"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Securities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Designated Securities for offering or sale in any jurisdiction, or of the initiation or threatening of any proceedings for any of such purposes or of any examination pursuant to Section 8(e) of the Act concerning the Registration Statement and (v) if the Company becomes the subject of a proceeding under Section 8A of the Act in connection with the offering of the Designated Securities. The Company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Securities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7" w:name="page18"/>
    <w:bookmarkEnd w:id="17"/>
    <w:p>
      <w:pPr>
        <w:ind w:firstLine="419"/>
        <w:spacing w:after="0" w:line="287" w:lineRule="auto"/>
        <w:tabs>
          <w:tab w:leader="none" w:pos="813"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the Applicable Time to the Time of Delivery, the Company will give the Representatives notice of its intention to file or prepare any amendment to the Registration Statement or new registration statement relating to the Designated Securities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Company has given the Representatives notice of any filings made pursuant to the Exchange Act or the Commission’s regulations thereunder within forty-eight hours prior to the Applicable Time. The Company will prepare a final term sheet (the “Final Term Sheet”) reflecting the final terms of the Designated Securities, substantially in the form set forth on Schedule I of Exhibit B hereto, and shall file such Final Term Sheet as an “issuer free writing prospectus” pursuant to Rule 433 prior to the close of business two business days after the date hereof; provided that the Company shall furnish the Representatives with copies of such Final Term Sheet a reasonable amount of time prior to such proposed filing and will not use or file any such document to which the Representatives or counsel to the Underwriters shall reasonably object;</w:t>
      </w:r>
    </w:p>
    <w:p>
      <w:pPr>
        <w:spacing w:after="0" w:line="59" w:lineRule="exact"/>
        <w:rPr>
          <w:rFonts w:ascii="Arial" w:cs="Arial" w:eastAsia="Arial" w:hAnsi="Arial"/>
          <w:sz w:val="16"/>
          <w:szCs w:val="16"/>
          <w:color w:val="auto"/>
        </w:rPr>
      </w:pPr>
    </w:p>
    <w:p>
      <w:pPr>
        <w:ind w:right="20" w:firstLine="419"/>
        <w:spacing w:after="0" w:line="288" w:lineRule="auto"/>
        <w:tabs>
          <w:tab w:leader="none" w:pos="799"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represents and agrees that, unless it obtains the prior written consent of the Underwriters, and each Underwriter represents and agrees that, unless it obtains the prior written consent of the Company and the other Underwriters, it has not made and will not make any offer relating to the Designated Securities that would constitute an “issuer free writing prospectus,” as defined in Rule 433, or that would otherwise constitute a “free writing prospectus,” as defined in Rule 405, in each case required to be filed with the Commission; provided, however, that prior to the preparation of the Final Term Sheet in accordance with Section 5(b) hereof, the Underwriters are authorized to use the information with respect to the final terms of the Designated Securities in communications conveying 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60" w:lineRule="exact"/>
        <w:rPr>
          <w:rFonts w:ascii="Arial" w:cs="Arial" w:eastAsia="Arial" w:hAnsi="Arial"/>
          <w:sz w:val="16"/>
          <w:szCs w:val="16"/>
          <w:color w:val="auto"/>
        </w:rPr>
      </w:pPr>
    </w:p>
    <w:p>
      <w:pPr>
        <w:ind w:right="680" w:firstLine="419"/>
        <w:spacing w:after="0" w:line="277" w:lineRule="auto"/>
        <w:tabs>
          <w:tab w:leader="none" w:pos="80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promptly from time to time will take such action as the Representatives may reasonably request to qualify such Designated Securities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18" w:name="page19"/>
    <w:bookmarkEnd w:id="18"/>
    <w:p>
      <w:pPr>
        <w:jc w:val="both"/>
        <w:ind w:righ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79" w:lineRule="exact"/>
        <w:rPr>
          <w:sz w:val="20"/>
          <w:szCs w:val="20"/>
          <w:color w:val="auto"/>
        </w:rPr>
      </w:pPr>
    </w:p>
    <w:p>
      <w:pPr>
        <w:ind w:right="100" w:firstLine="419"/>
        <w:spacing w:after="0" w:line="272" w:lineRule="auto"/>
        <w:tabs>
          <w:tab w:leader="none" w:pos="79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69" w:lineRule="exact"/>
        <w:rPr>
          <w:rFonts w:ascii="Arial" w:cs="Arial" w:eastAsia="Arial" w:hAnsi="Arial"/>
          <w:sz w:val="17"/>
          <w:szCs w:val="17"/>
          <w:color w:val="auto"/>
        </w:rPr>
      </w:pPr>
    </w:p>
    <w:p>
      <w:pPr>
        <w:ind w:firstLine="419"/>
        <w:spacing w:after="0" w:line="288" w:lineRule="auto"/>
        <w:tabs>
          <w:tab w:leader="none" w:pos="77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has delivered to each Underwriter, without charge, as many copies of each preliminary prospectus as such Underwriter reasonably requested, and the Company has delivered to each Underwriter, without charge, as many copies of each Issuer Free Writing Prospectus, if any, as such Underwriter reasonably requested, and the Company hereby consents to the use of such copies of each preliminary prospectus and each Issuer Free Writing Prospectus, if any, for purposes permitted by the Act. The Company will furnish to each Underwriter, without charge, during the period when the Prospectus is required to be delivered under the Act in connection with sales of the Designated Securities,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Company, during 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60" w:lineRule="exact"/>
        <w:rPr>
          <w:rFonts w:ascii="Arial" w:cs="Arial" w:eastAsia="Arial" w:hAnsi="Arial"/>
          <w:sz w:val="16"/>
          <w:szCs w:val="16"/>
          <w:color w:val="auto"/>
        </w:rPr>
      </w:pPr>
    </w:p>
    <w:p>
      <w:pPr>
        <w:jc w:val="both"/>
        <w:ind w:right="240" w:firstLine="419"/>
        <w:spacing w:after="0" w:line="275" w:lineRule="auto"/>
        <w:tabs>
          <w:tab w:leader="none" w:pos="80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 will comply with the Act and the rules and regulations of the Commission thereunder, the Exchange Act and the rules and regulations of the Commission thereunder and the Trust Indenture Act and the rules and regulations of the Commission thereunder so as to permit the completion of the distribution of the Designated Securities as contemplated in this Underwriting Agreement, a related Pricing Agreement and in the Prospectus. If at any time when a prospectus is required by the Act to be delivered in connection with sales of the Designated Securities, any event shall occur or condition shall exist as a result of</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0"/>
          </w:cols>
          <w:pgMar w:left="880" w:top="274" w:right="439" w:bottom="1440" w:gutter="0" w:footer="0" w:header="0"/>
        </w:sectPr>
      </w:pPr>
    </w:p>
    <w:bookmarkStart w:id="19" w:name="page20"/>
    <w:bookmarkEnd w:id="1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which it is necessary, in the opinion of counsel for the Underwriters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Securities)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Designated Securities)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68" w:lineRule="exact"/>
        <w:rPr>
          <w:sz w:val="20"/>
          <w:szCs w:val="20"/>
          <w:color w:val="auto"/>
        </w:rPr>
      </w:pPr>
    </w:p>
    <w:p>
      <w:pPr>
        <w:ind w:right="100" w:firstLine="419"/>
        <w:spacing w:after="0" w:line="263" w:lineRule="auto"/>
        <w:tabs>
          <w:tab w:leader="none" w:pos="8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75" w:lineRule="exact"/>
        <w:rPr>
          <w:rFonts w:ascii="Arial" w:cs="Arial" w:eastAsia="Arial" w:hAnsi="Arial"/>
          <w:sz w:val="18"/>
          <w:szCs w:val="18"/>
          <w:color w:val="auto"/>
        </w:rPr>
      </w:pPr>
    </w:p>
    <w:p>
      <w:pPr>
        <w:ind w:right="40" w:firstLine="419"/>
        <w:spacing w:after="0" w:line="255" w:lineRule="auto"/>
        <w:tabs>
          <w:tab w:leader="none" w:pos="7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period beginning on and including the date of the Pricing Agreement for such Designated Securities and continuing through and including the earlier of (i) the termination of trading restrictions for such Designated Securities, as notified to the Company by the Representatives and (ii) the Time of Delivery for such Designated Securities, but in no event later than 90 days from the date of the Pricing Agreement, the Company will not offer, sell, contract to sell, pledge or otherwise issue any debt securities of the Company which mature more than one year after such Time of Delivery and which are substantially similar to such Designated Securities, without the prior written consent of the Representatives;</w:t>
      </w:r>
    </w:p>
    <w:p>
      <w:pPr>
        <w:spacing w:after="0" w:line="1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40"/>
          </w:cols>
          <w:pgMar w:left="880" w:top="274" w:right="479" w:bottom="1440" w:gutter="0" w:footer="0" w:header="0"/>
        </w:sectPr>
      </w:pPr>
    </w:p>
    <w:bookmarkStart w:id="20" w:name="page21"/>
    <w:bookmarkEnd w:id="20"/>
    <w:p>
      <w:pPr>
        <w:ind w:left="440" w:right="700" w:firstLine="419"/>
        <w:spacing w:after="0" w:line="277" w:lineRule="auto"/>
        <w:tabs>
          <w:tab w:leader="none" w:pos="1209" w:val="left"/>
        </w:tabs>
        <w:numPr>
          <w:ilvl w:val="1"/>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will use the net proceeds received by it from the sale of the Designated Securities in the manner specified in the Prospectus under the caption “Use of Proceeds”;</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Company will qualify as a “REIT” under the Code for the taxable year in which sales of the Designated Securities are to occur;</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40" w:firstLine="419"/>
        <w:spacing w:after="0" w:line="269" w:lineRule="auto"/>
        <w:tabs>
          <w:tab w:leader="none" w:pos="1209"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Company acknowledges and agrees that the Underwriters of such Designated Securities are acting solely in the capacity of an arm’s length contractual counterparty to the Company with respect to the offering of such Designated Securities (including in connection with determining the terms of the offering) and not as a financial advisor or a fiduciary to, or an agent of, the Company or any other person. The Company agrees that it will not claim that the Underwriters, or any of them, has rendered advisory services of any nature or respect, or owes a fiduciary or similar duty to the Company, in connection with such transaction or the process leading thereto.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181" w:lineRule="exact"/>
        <w:rPr>
          <w:rFonts w:ascii="Arial" w:cs="Arial" w:eastAsia="Arial" w:hAnsi="Arial"/>
          <w:sz w:val="17"/>
          <w:szCs w:val="17"/>
          <w:color w:val="auto"/>
        </w:rPr>
      </w:pPr>
    </w:p>
    <w:p>
      <w:pPr>
        <w:ind w:right="60" w:firstLine="436"/>
        <w:spacing w:after="0" w:line="287" w:lineRule="auto"/>
        <w:tabs>
          <w:tab w:leader="none" w:pos="7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Underwriters and dealers; (ii) the cost of printing or producing any Agreement Among Underwriters, this Underwriting Agreement, any Pricing Agreement, any Indenture, any Blue Sky and legal investment surveys and any other documents in connection with the offering, purchase, sale and delivery of the Securities; (iii) all expenses in connection with the qualification of the Securities for offering and sale under state securities laws as provided in Section 5(d) hereof, including the fees and disbursements of counsel for the Underwriters in connection with such qualification and in connection with the Blue Sky and legal investment surveys; (iv) any fees charged by securities rating services for rating the Securities; (v) any filing fees incident to any required review by the Financial Industry Regulatory Authority of the terms of the sale of the Securities; (vi) the fees and expenses of any Trustee and any agent of any Trustee and the fees and disbursements of counsel for any Trustee in connection with any Indenture and the Securities; (vii) all other costs and expenses incident to the performance of its obligations hereunder which are not otherwise specifically provided for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1" w:name="page22"/>
    <w:bookmarkEnd w:id="21"/>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this Section 6; and (viii) the costs and expenses (including without limitation any damages or other amounts payable in connection with legal or contractual liability) associated with the reforming of any contracts for sale of the Designated Securities made by the Underwriters caused by a breach of the representation contained in the sixth paragraph of Section 2(c) hereof. It is understood, however, that, except as provided in this Section 6,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176" w:lineRule="exact"/>
        <w:rPr>
          <w:sz w:val="20"/>
          <w:szCs w:val="20"/>
          <w:color w:val="auto"/>
        </w:rPr>
      </w:pPr>
    </w:p>
    <w:p>
      <w:pPr>
        <w:ind w:right="80" w:firstLine="436"/>
        <w:spacing w:after="0" w:line="257" w:lineRule="auto"/>
        <w:tabs>
          <w:tab w:leader="none" w:pos="7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Underwriting Agreement into,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79" w:lineRule="exact"/>
        <w:rPr>
          <w:rFonts w:ascii="Arial" w:cs="Arial" w:eastAsia="Arial" w:hAnsi="Arial"/>
          <w:sz w:val="18"/>
          <w:szCs w:val="18"/>
          <w:color w:val="auto"/>
        </w:rPr>
      </w:pPr>
    </w:p>
    <w:p>
      <w:pPr>
        <w:ind w:left="440" w:right="20" w:firstLine="419"/>
        <w:spacing w:after="0" w:line="270" w:lineRule="auto"/>
        <w:tabs>
          <w:tab w:leader="none" w:pos="1239"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Prospectus containing the 430B Information, as amended or supplemented, in relation to the applicable Designated Securities shall have been filed with the Commission in the manner and within the time period required by Rule 424(b) (without reliance on Rule 424(b)(8))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 the Company shall have paid the required Commission filing fees relating to the Designated Securities within the time period required by Rule 456(b)(1)(i) under the Act without regard to the proviso therein and otherwise in accordance with Rules 456(b) and 457(r) under the Act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72" w:lineRule="exact"/>
        <w:rPr>
          <w:rFonts w:ascii="Arial" w:cs="Arial" w:eastAsia="Arial" w:hAnsi="Arial"/>
          <w:sz w:val="17"/>
          <w:szCs w:val="17"/>
          <w:color w:val="auto"/>
        </w:rPr>
      </w:pPr>
    </w:p>
    <w:p>
      <w:pPr>
        <w:ind w:left="440" w:right="40" w:firstLine="419"/>
        <w:spacing w:after="0" w:line="296" w:lineRule="auto"/>
        <w:tabs>
          <w:tab w:leader="none" w:pos="1253"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Sidley Austin </w:t>
      </w:r>
      <w:r>
        <w:rPr>
          <w:rFonts w:ascii="Arial" w:cs="Arial" w:eastAsia="Arial" w:hAnsi="Arial"/>
          <w:sz w:val="12"/>
          <w:szCs w:val="12"/>
          <w:color w:val="auto"/>
        </w:rPr>
        <w:t>LLP</w:t>
      </w:r>
      <w:r>
        <w:rPr>
          <w:rFonts w:ascii="Arial" w:cs="Arial" w:eastAsia="Arial" w:hAnsi="Arial"/>
          <w:sz w:val="16"/>
          <w:szCs w:val="16"/>
          <w:color w:val="auto"/>
        </w:rPr>
        <w:t xml:space="preserve">, counsel for the Underwriters, shall have furnished to the Representatives such opinion or opinions, dated the Time of Delivery for such Designated Securities, with respect to the validity of the Indenture,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w:t>
      </w:r>
      <w:r>
        <w:rPr>
          <w:rFonts w:ascii="Arial" w:cs="Arial" w:eastAsia="Arial" w:hAnsi="Arial"/>
          <w:sz w:val="12"/>
          <w:szCs w:val="12"/>
          <w:color w:val="auto"/>
        </w:rPr>
        <w:t>LLP</w:t>
      </w:r>
      <w:r>
        <w:rPr>
          <w:rFonts w:ascii="Arial" w:cs="Arial" w:eastAsia="Arial" w:hAnsi="Arial"/>
          <w:sz w:val="16"/>
          <w:szCs w:val="16"/>
          <w:color w:val="auto"/>
        </w:rPr>
        <w:t xml:space="preserve"> may rely, as to all matters arising under or governed by the laws of the State of Maryland, on the opinion of Pillsbury Winthrop Shaw Pittman LLP);</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2" w:name="page23"/>
    <w:bookmarkEnd w:id="22"/>
    <w:p>
      <w:pPr>
        <w:ind w:left="4" w:right="220" w:firstLine="419"/>
        <w:spacing w:after="0" w:line="259" w:lineRule="auto"/>
        <w:tabs>
          <w:tab w:leader="none" w:pos="806"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Pillsbury Winthrop Shaw Pittman LLP, counsel for the Company, shall have furnished to the Representatives their written opinion, dated the Time of Delivery for such Designated Securities, in form and substance satisfactory to the Representatives, substantially similar to the forms set forth in Exhibit C and Exhibit D hereto, subject to such assumptions, exceptions, and qualifications reasonably acceptable to the Representatives;</w:t>
      </w:r>
    </w:p>
    <w:p>
      <w:pPr>
        <w:spacing w:after="0" w:line="78" w:lineRule="exact"/>
        <w:rPr>
          <w:rFonts w:ascii="Arial" w:cs="Arial" w:eastAsia="Arial" w:hAnsi="Arial"/>
          <w:sz w:val="18"/>
          <w:szCs w:val="18"/>
          <w:color w:val="auto"/>
        </w:rPr>
      </w:pPr>
    </w:p>
    <w:p>
      <w:pPr>
        <w:ind w:left="4" w:right="60" w:firstLine="419"/>
        <w:spacing w:after="0" w:line="263" w:lineRule="auto"/>
        <w:tabs>
          <w:tab w:leader="none" w:pos="816"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Securities and at the Time of Delivery for such Designated Securities, Grant Thornton LLP, the independent accountants of the Company, shall have furnished to the Representatives a “comfort letter” in form and substance satisfactory to the Representatives;</w:t>
      </w:r>
    </w:p>
    <w:p>
      <w:pPr>
        <w:spacing w:after="0" w:line="76" w:lineRule="exact"/>
        <w:rPr>
          <w:sz w:val="20"/>
          <w:szCs w:val="20"/>
          <w:color w:val="auto"/>
        </w:rPr>
      </w:pPr>
    </w:p>
    <w:p>
      <w:pPr>
        <w:ind w:left="4" w:right="320" w:firstLine="423"/>
        <w:spacing w:after="0" w:line="274" w:lineRule="auto"/>
        <w:rPr>
          <w:sz w:val="20"/>
          <w:szCs w:val="20"/>
          <w:color w:val="auto"/>
        </w:rPr>
      </w:pPr>
      <w:r>
        <w:rPr>
          <w:rFonts w:ascii="Arial" w:cs="Arial" w:eastAsia="Arial" w:hAnsi="Arial"/>
          <w:sz w:val="17"/>
          <w:szCs w:val="17"/>
          <w:color w:val="auto"/>
        </w:rPr>
        <w:t>(e) At the Time of Delivery for such Designated Securities, the Designated Securities shall be rated at least [ ] by Moody’s Investor’s Service Inc. and [ ] by Standard &amp; Poor’s Ratings Services, and the Company shall have delivered to the Representatives a</w:t>
      </w:r>
    </w:p>
    <w:p>
      <w:pPr>
        <w:ind w:left="4" w:right="720"/>
        <w:spacing w:after="0" w:line="260" w:lineRule="auto"/>
        <w:rPr>
          <w:sz w:val="20"/>
          <w:szCs w:val="20"/>
          <w:color w:val="auto"/>
        </w:rPr>
      </w:pPr>
      <w:r>
        <w:rPr>
          <w:rFonts w:ascii="Arial" w:cs="Arial" w:eastAsia="Arial" w:hAnsi="Arial"/>
          <w:sz w:val="18"/>
          <w:szCs w:val="18"/>
          <w:color w:val="auto"/>
        </w:rPr>
        <w:t>letter dated the Time of Delivery, from each such rating agency, or other evidence satisfactory to the Representatives, confirming that the Designated Securities have such ratings;</w:t>
      </w:r>
    </w:p>
    <w:p>
      <w:pPr>
        <w:spacing w:after="0" w:line="77" w:lineRule="exact"/>
        <w:rPr>
          <w:sz w:val="20"/>
          <w:szCs w:val="20"/>
          <w:color w:val="auto"/>
        </w:rPr>
      </w:pPr>
    </w:p>
    <w:p>
      <w:pPr>
        <w:jc w:val="both"/>
        <w:ind w:left="4" w:right="60" w:firstLine="419"/>
        <w:spacing w:after="0" w:line="286" w:lineRule="auto"/>
        <w:tabs>
          <w:tab w:leader="none" w:pos="786" w:val="left"/>
        </w:tabs>
        <w:numPr>
          <w:ilvl w:val="1"/>
          <w:numId w:val="24"/>
        </w:numPr>
        <w:rPr>
          <w:rFonts w:ascii="Arial" w:cs="Arial" w:eastAsia="Arial" w:hAnsi="Arial"/>
          <w:sz w:val="16"/>
          <w:szCs w:val="16"/>
          <w:color w:val="auto"/>
        </w:rPr>
      </w:pPr>
      <w:r>
        <w:rPr>
          <w:rFonts w:ascii="Arial" w:cs="Arial" w:eastAsia="Arial" w:hAnsi="Arial"/>
          <w:sz w:val="16"/>
          <w:szCs w:val="16"/>
          <w:color w:val="auto"/>
        </w:rPr>
        <w:t>(A) Neither the Company nor any of its subsidiaries, considered as one enterprise, since the date of the last audited financial statements included or incorporated by reference in the Registration Statement, General Disclosure Package and the Prospectus, shall have sustained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w:t>
      </w:r>
    </w:p>
    <w:p>
      <w:pPr>
        <w:spacing w:after="0" w:line="1" w:lineRule="exact"/>
        <w:rPr>
          <w:rFonts w:ascii="Arial" w:cs="Arial" w:eastAsia="Arial" w:hAnsi="Arial"/>
          <w:sz w:val="16"/>
          <w:szCs w:val="16"/>
          <w:color w:val="auto"/>
        </w:rPr>
      </w:pPr>
    </w:p>
    <w:p>
      <w:pPr>
        <w:ind w:left="4" w:hanging="4"/>
        <w:spacing w:after="0" w:line="267" w:lineRule="auto"/>
        <w:tabs>
          <w:tab w:leader="none" w:pos="288"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since the respective dates as of which information is given in the Prospectus and the General Disclosure Package, there shall not have been any change in the authorized, issued or outstanding capital shares of the Company (except for subsequent issuances, if any, of Common Shares pursuant to (i) conversion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require or permit (in lieu of a payment in cash) the issuance of Common Shares of the Company, (v) the terms of (a) the Equity Distribution Agreement dated May 7, 2018 between the Company and Wells Fargo Securities, LLC, (b) the Equity Distribution Agreement dated May 7, 2018 between the Company and BofA Securities, Inc. and (c) the Equity Distribution Agreement dated May 7, 2018 between the Company and Citigroup Global Markets Inc., as the same may be amended from time to time or (vi) any non-material acquisition, merger or purchase</w:t>
      </w:r>
    </w:p>
    <w:p>
      <w:pPr>
        <w:spacing w:after="0" w:line="117"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84"/>
          </w:cols>
          <w:pgMar w:left="876" w:top="274" w:right="439" w:bottom="1440" w:gutter="0" w:footer="0" w:header="0"/>
        </w:sectPr>
      </w:pPr>
    </w:p>
    <w:bookmarkStart w:id="23" w:name="page24"/>
    <w:bookmarkEnd w:id="23"/>
    <w:p>
      <w:pPr>
        <w:ind w:left="4"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assets) or any material increase in the consolidated long-term debt of the Company or any of its subsidiaries or any change, or any development involving a prospective change, in or affecting the general affairs, management, financial position, shareholders’ equity or results of operations of the Company and its subsidiaries, otherwise than as set forth or contemplated in the Prospectus and the General Disclosure Package, the effect of which, in any such case described in clause (A) or (B), is in the judgment of the Representatives so material and adverse as to make it impracticable or inadvisable to proceed with the public offering, sale or the delivery of the Designated Securities on the terms and in the manner contemplated in the Prospectus, as amended or supplemented;</w:t>
      </w:r>
    </w:p>
    <w:p>
      <w:pPr>
        <w:spacing w:after="0" w:line="70" w:lineRule="exact"/>
        <w:rPr>
          <w:sz w:val="20"/>
          <w:szCs w:val="20"/>
          <w:color w:val="auto"/>
        </w:rPr>
      </w:pPr>
    </w:p>
    <w:p>
      <w:pPr>
        <w:jc w:val="both"/>
        <w:ind w:left="4" w:firstLine="419"/>
        <w:spacing w:after="0" w:line="301" w:lineRule="auto"/>
        <w:tabs>
          <w:tab w:leader="none" w:pos="816" w:val="left"/>
        </w:tabs>
        <w:numPr>
          <w:ilvl w:val="1"/>
          <w:numId w:val="26"/>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Section 3(a)(62) under the Exchange Act and (ii) no such organization shall have publicly announced that it has under surveillance or review, with possible negative implications, its rating of any of the Company’s debt securities or preferred shares;</w:t>
      </w:r>
    </w:p>
    <w:p>
      <w:pPr>
        <w:spacing w:after="0" w:line="49" w:lineRule="exact"/>
        <w:rPr>
          <w:rFonts w:ascii="Arial" w:cs="Arial" w:eastAsia="Arial" w:hAnsi="Arial"/>
          <w:sz w:val="16"/>
          <w:szCs w:val="16"/>
          <w:color w:val="auto"/>
        </w:rPr>
      </w:pPr>
    </w:p>
    <w:p>
      <w:pPr>
        <w:ind w:left="804" w:hanging="381"/>
        <w:spacing w:after="0"/>
        <w:tabs>
          <w:tab w:leader="none" w:pos="804" w:val="left"/>
        </w:tabs>
        <w:numPr>
          <w:ilvl w:val="1"/>
          <w:numId w:val="26"/>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Securities there shall not have occurred any of the following:</w:t>
      </w:r>
    </w:p>
    <w:p>
      <w:pPr>
        <w:spacing w:after="0" w:line="46" w:lineRule="exact"/>
        <w:rPr>
          <w:rFonts w:ascii="Arial" w:cs="Arial" w:eastAsia="Arial" w:hAnsi="Arial"/>
          <w:sz w:val="16"/>
          <w:szCs w:val="16"/>
          <w:color w:val="auto"/>
        </w:rPr>
      </w:pPr>
    </w:p>
    <w:p>
      <w:pPr>
        <w:ind w:left="4" w:right="60" w:hanging="4"/>
        <w:spacing w:after="0" w:line="252" w:lineRule="auto"/>
        <w:tabs>
          <w:tab w:leader="none" w:pos="21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sale or the delivery of the Designated Securities on the terms and in the manner contemplated in the Prospectus, as amended or supplemented;</w:t>
      </w:r>
    </w:p>
    <w:p>
      <w:pPr>
        <w:spacing w:after="0" w:line="84" w:lineRule="exact"/>
        <w:rPr>
          <w:rFonts w:ascii="Arial" w:cs="Arial" w:eastAsia="Arial" w:hAnsi="Arial"/>
          <w:sz w:val="18"/>
          <w:szCs w:val="18"/>
          <w:color w:val="auto"/>
        </w:rPr>
      </w:pPr>
    </w:p>
    <w:p>
      <w:pPr>
        <w:ind w:left="4" w:right="20" w:firstLine="419"/>
        <w:spacing w:after="0" w:line="277" w:lineRule="auto"/>
        <w:tabs>
          <w:tab w:leader="none" w:pos="773"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5(f) hereof with respect to the furnishing of Prospectuses, as amended or supplemented; and</w:t>
      </w:r>
    </w:p>
    <w:p>
      <w:pPr>
        <w:spacing w:after="0" w:line="62" w:lineRule="exact"/>
        <w:rPr>
          <w:rFonts w:ascii="Arial" w:cs="Arial" w:eastAsia="Arial" w:hAnsi="Arial"/>
          <w:sz w:val="18"/>
          <w:szCs w:val="18"/>
          <w:color w:val="auto"/>
        </w:rPr>
      </w:pPr>
    </w:p>
    <w:p>
      <w:pPr>
        <w:ind w:left="4" w:right="400" w:firstLine="419"/>
        <w:spacing w:after="0" w:line="286" w:lineRule="auto"/>
        <w:tabs>
          <w:tab w:leader="none" w:pos="773"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Company shall have furnished or caused to be furnished to the Representatives at the Time of Delivery for the Designated Securities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w:t>
      </w:r>
    </w:p>
    <w:p>
      <w:pPr>
        <w:spacing w:after="0" w:line="1" w:lineRule="exact"/>
        <w:rPr>
          <w:rFonts w:ascii="Arial" w:cs="Arial" w:eastAsia="Arial" w:hAnsi="Arial"/>
          <w:sz w:val="16"/>
          <w:szCs w:val="16"/>
          <w:color w:val="auto"/>
        </w:rPr>
      </w:pPr>
    </w:p>
    <w:p>
      <w:pPr>
        <w:ind w:left="244" w:hanging="244"/>
        <w:spacing w:after="0"/>
        <w:tabs>
          <w:tab w:leader="none" w:pos="2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and (g) of this Section 7 and as to such other matters as the Representatives may reasonably request.</w:t>
      </w:r>
    </w:p>
    <w:p>
      <w:pPr>
        <w:spacing w:after="0" w:line="143"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84"/>
          </w:cols>
          <w:pgMar w:left="876" w:top="274" w:right="439" w:bottom="1440" w:gutter="0" w:footer="0" w:header="0"/>
        </w:sectPr>
      </w:pPr>
    </w:p>
    <w:bookmarkStart w:id="24" w:name="page25"/>
    <w:bookmarkEnd w:id="24"/>
    <w:p>
      <w:pPr>
        <w:ind w:left="-20" w:right="40" w:firstLine="436"/>
        <w:spacing w:after="0" w:line="286" w:lineRule="auto"/>
        <w:tabs>
          <w:tab w:leader="none" w:pos="735"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The Company will indemnify and hold harmless each Underwriter, its affiliates, its directors, its officers and each person, if any, who controls such Underwriter within the meaning of Section 15 of the Act or Section 20 of the Exchange Act,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any Underwriter of Designated Securities through the Representatives expressly for use therein.</w:t>
      </w:r>
    </w:p>
    <w:p>
      <w:pPr>
        <w:spacing w:after="0" w:line="171" w:lineRule="exact"/>
        <w:rPr>
          <w:sz w:val="20"/>
          <w:szCs w:val="20"/>
          <w:color w:val="auto"/>
        </w:rPr>
      </w:pPr>
    </w:p>
    <w:p>
      <w:pPr>
        <w:ind w:left="-20" w:firstLine="436"/>
        <w:spacing w:after="0" w:line="269" w:lineRule="auto"/>
        <w:tabs>
          <w:tab w:leader="none" w:pos="81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Underwriter, severally and not jointly, will indemnify and hold harmless the Company, its trustees, its officers who signed the Registration Statement and each person, if any, who controls the Company within the meaning of Section 15 of the Act or Section 20 of the Exchange Act to the same extent as the indemnity set forth in paragraph (a) above, but only with respect to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such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60" w:top="274" w:right="459" w:bottom="1440" w:gutter="0" w:footer="0" w:header="0"/>
        </w:sectPr>
      </w:pPr>
    </w:p>
    <w:bookmarkStart w:id="25" w:name="page26"/>
    <w:bookmarkEnd w:id="25"/>
    <w:p>
      <w:pPr>
        <w:ind w:left="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84" w:lineRule="exact"/>
        <w:rPr>
          <w:sz w:val="20"/>
          <w:szCs w:val="20"/>
          <w:color w:val="auto"/>
        </w:rPr>
      </w:pPr>
    </w:p>
    <w:p>
      <w:pPr>
        <w:ind w:left="4" w:firstLine="436"/>
        <w:spacing w:after="0" w:line="268" w:lineRule="auto"/>
        <w:tabs>
          <w:tab w:leader="none" w:pos="824" w:val="left"/>
        </w:tabs>
        <w:numPr>
          <w:ilvl w:val="1"/>
          <w:numId w:val="31"/>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1" w:lineRule="exact"/>
        <w:rPr>
          <w:rFonts w:ascii="Arial" w:cs="Arial" w:eastAsia="Arial" w:hAnsi="Arial"/>
          <w:sz w:val="17"/>
          <w:szCs w:val="17"/>
          <w:color w:val="auto"/>
        </w:rPr>
      </w:pPr>
    </w:p>
    <w:p>
      <w:pPr>
        <w:ind w:left="824" w:hanging="384"/>
        <w:spacing w:after="0"/>
        <w:tabs>
          <w:tab w:leader="none" w:pos="824" w:val="left"/>
        </w:tabs>
        <w:numPr>
          <w:ilvl w:val="1"/>
          <w:numId w:val="31"/>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w:t>
      </w:r>
    </w:p>
    <w:p>
      <w:pPr>
        <w:spacing w:after="0" w:line="46" w:lineRule="exact"/>
        <w:rPr>
          <w:rFonts w:ascii="Arial" w:cs="Arial" w:eastAsia="Arial" w:hAnsi="Arial"/>
          <w:sz w:val="16"/>
          <w:szCs w:val="16"/>
          <w:color w:val="auto"/>
        </w:rPr>
      </w:pPr>
    </w:p>
    <w:p>
      <w:pPr>
        <w:ind w:left="4" w:hanging="4"/>
        <w:spacing w:after="0" w:line="287" w:lineRule="auto"/>
        <w:tabs>
          <w:tab w:leader="none" w:pos="2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26" w:name="page27"/>
    <w:bookmarkEnd w:id="26"/>
    <w:p>
      <w:pPr>
        <w:ind w:left="4"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w:t>
      </w:r>
    </w:p>
    <w:p>
      <w:pPr>
        <w:spacing w:after="0" w:line="2" w:lineRule="exact"/>
        <w:rPr>
          <w:sz w:val="20"/>
          <w:szCs w:val="20"/>
          <w:color w:val="auto"/>
        </w:rPr>
      </w:pPr>
    </w:p>
    <w:p>
      <w:pPr>
        <w:ind w:left="4" w:hanging="4"/>
        <w:spacing w:after="0" w:line="286" w:lineRule="auto"/>
        <w:tabs>
          <w:tab w:leader="none" w:pos="259"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169" w:lineRule="exact"/>
        <w:rPr>
          <w:rFonts w:ascii="Arial" w:cs="Arial" w:eastAsia="Arial" w:hAnsi="Arial"/>
          <w:sz w:val="16"/>
          <w:szCs w:val="16"/>
          <w:color w:val="auto"/>
        </w:rPr>
      </w:pPr>
    </w:p>
    <w:p>
      <w:pPr>
        <w:ind w:left="4" w:right="120" w:firstLine="436"/>
        <w:spacing w:after="0" w:line="257" w:lineRule="auto"/>
        <w:tabs>
          <w:tab w:leader="none" w:pos="821"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to each trustee of the Company and to each person, if any, who controls the Company within the meaning of the Act.</w:t>
      </w:r>
    </w:p>
    <w:p>
      <w:pPr>
        <w:spacing w:after="0" w:line="188" w:lineRule="exact"/>
        <w:rPr>
          <w:sz w:val="20"/>
          <w:szCs w:val="20"/>
          <w:color w:val="auto"/>
        </w:rPr>
      </w:pPr>
    </w:p>
    <w:p>
      <w:pPr>
        <w:ind w:left="4" w:right="80" w:firstLine="436"/>
        <w:spacing w:after="0" w:line="257" w:lineRule="auto"/>
        <w:tabs>
          <w:tab w:leader="none" w:pos="759"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If any Underwriter shall default in its obligation to purchase the Designated Securities which it has agreed to purchase at the Time of Delivery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27" w:name="page28"/>
    <w:bookmarkEnd w:id="27"/>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9 with like effect as if such person had originally been a party to the Pricing Agreement with respect to such Designated Securities.</w:t>
      </w:r>
    </w:p>
    <w:p>
      <w:pPr>
        <w:spacing w:after="0" w:line="165" w:lineRule="exact"/>
        <w:rPr>
          <w:sz w:val="20"/>
          <w:szCs w:val="20"/>
          <w:color w:val="auto"/>
        </w:rPr>
      </w:pPr>
    </w:p>
    <w:p>
      <w:pPr>
        <w:ind w:right="80" w:firstLine="436"/>
        <w:spacing w:after="0" w:line="290" w:lineRule="auto"/>
        <w:tabs>
          <w:tab w:leader="none" w:pos="83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to be purchased at the Time of Delivery, then the Company shall have the right to require each non-defaulting Underwriter to purchase the principal amount of Designated Securities which such Underwriter agreed to purchase at the Time of Delivery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65" w:lineRule="exact"/>
        <w:rPr>
          <w:rFonts w:ascii="Arial" w:cs="Arial" w:eastAsia="Arial" w:hAnsi="Arial"/>
          <w:sz w:val="16"/>
          <w:szCs w:val="16"/>
          <w:color w:val="auto"/>
        </w:rPr>
      </w:pPr>
    </w:p>
    <w:p>
      <w:pPr>
        <w:ind w:firstLine="436"/>
        <w:spacing w:after="0" w:line="290" w:lineRule="auto"/>
        <w:tabs>
          <w:tab w:leader="none" w:pos="8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to be purchased at the Time of Delivery, as referred to in subsection (b) above, or if the Company shall not exercise the right described in subsection (b) above to require non-defaulting Underwriters to purchase Designated 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65" w:lineRule="exact"/>
        <w:rPr>
          <w:sz w:val="20"/>
          <w:szCs w:val="20"/>
          <w:color w:val="auto"/>
        </w:rPr>
      </w:pPr>
    </w:p>
    <w:p>
      <w:pPr>
        <w:ind w:right="200" w:firstLine="436"/>
        <w:spacing w:after="0" w:line="277" w:lineRule="auto"/>
        <w:tabs>
          <w:tab w:leader="none" w:pos="84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respective indemnities, agreements, representations, warranties and other statements of the Company and the several Underwriters, as set forth in this Underwriting Agreement or made by or on behalf of them, respectively, pursuant to this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8" w:name="page29"/>
    <w:bookmarkEnd w:id="28"/>
    <w:p>
      <w:pPr>
        <w:jc w:val="both"/>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184" w:lineRule="exact"/>
        <w:rPr>
          <w:sz w:val="20"/>
          <w:szCs w:val="20"/>
          <w:color w:val="auto"/>
        </w:rPr>
      </w:pPr>
    </w:p>
    <w:p>
      <w:pPr>
        <w:ind w:right="80" w:firstLine="436"/>
        <w:spacing w:after="0" w:line="272" w:lineRule="auto"/>
        <w:tabs>
          <w:tab w:leader="none" w:pos="839"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any Pricing Agreement shall be terminated pursuant to Section 9 hereof, the Company shall not then have any liability to any Underwriter with respect to the Designated Securities covered by such Pricing Agreement except as provided in Section 6 and Section 8 hereof. If this Underwriting Agreement shall be terminated as a result of any of the conditions set forth in Section 7 (other than clause (i), (iii) or (iv) of Section 7(h)) hereof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Securities, but the Company shall then have no further liability to any Underwriter with respect to such Designated Securities except as provided in Section 6 and Section 8 hereof.</w:t>
      </w:r>
    </w:p>
    <w:p>
      <w:pPr>
        <w:spacing w:after="0" w:line="177" w:lineRule="exact"/>
        <w:rPr>
          <w:rFonts w:ascii="Arial" w:cs="Arial" w:eastAsia="Arial" w:hAnsi="Arial"/>
          <w:sz w:val="17"/>
          <w:szCs w:val="17"/>
          <w:color w:val="auto"/>
        </w:rPr>
      </w:pPr>
    </w:p>
    <w:p>
      <w:pPr>
        <w:ind w:right="120" w:firstLine="436"/>
        <w:spacing w:after="0" w:line="311" w:lineRule="auto"/>
        <w:tabs>
          <w:tab w:leader="none" w:pos="845"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49"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66" w:lineRule="exact"/>
        <w:rPr>
          <w:sz w:val="20"/>
          <w:szCs w:val="20"/>
          <w:color w:val="auto"/>
        </w:rPr>
      </w:pPr>
    </w:p>
    <w:p>
      <w:pPr>
        <w:ind w:right="480" w:firstLine="436"/>
        <w:spacing w:after="0" w:line="277" w:lineRule="auto"/>
        <w:tabs>
          <w:tab w:leader="none" w:pos="8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right="280" w:firstLine="436"/>
        <w:spacing w:after="0" w:line="259" w:lineRule="auto"/>
        <w:tabs>
          <w:tab w:leader="none" w:pos="8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if any, who controls the Company or any Underwriter, and their respective heirs, executors, administrators, successors and assigns, and no other person shall acquire or have any right under or by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29" w:name="page30"/>
    <w:bookmarkEnd w:id="29"/>
    <w:p>
      <w:pPr>
        <w:ind w:left="4"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virtue of this Underwriting Agreement or any such Pricing Agreement. No purchaser of any of the Securities from any Underwriter shall be deemed a successor or assign by reason merely of such purchase.</w:t>
      </w:r>
    </w:p>
    <w:p>
      <w:pPr>
        <w:spacing w:after="0" w:line="170" w:lineRule="exact"/>
        <w:rPr>
          <w:sz w:val="20"/>
          <w:szCs w:val="20"/>
          <w:color w:val="auto"/>
        </w:rPr>
      </w:pPr>
    </w:p>
    <w:p>
      <w:pPr>
        <w:ind w:left="4" w:right="160" w:firstLine="436"/>
        <w:spacing w:after="0" w:line="277" w:lineRule="auto"/>
        <w:tabs>
          <w:tab w:leader="none" w:pos="8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Time shall be of the essence of each Pricing Agreement. As used herein, “business day” shall mean any day when the Commission’s office in Washington, D.C. is open for business.</w:t>
      </w:r>
    </w:p>
    <w:p>
      <w:pPr>
        <w:spacing w:after="0" w:line="170" w:lineRule="exact"/>
        <w:rPr>
          <w:rFonts w:ascii="Arial" w:cs="Arial" w:eastAsia="Arial" w:hAnsi="Arial"/>
          <w:sz w:val="18"/>
          <w:szCs w:val="18"/>
          <w:color w:val="auto"/>
        </w:rPr>
      </w:pPr>
    </w:p>
    <w:p>
      <w:pPr>
        <w:ind w:left="844" w:hanging="404"/>
        <w:spacing w:after="0"/>
        <w:tabs>
          <w:tab w:leader="none" w:pos="84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governed by and construed in accordance with the laws of the State of</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New York.</w:t>
      </w:r>
    </w:p>
    <w:p>
      <w:pPr>
        <w:spacing w:after="0" w:line="210" w:lineRule="exact"/>
        <w:rPr>
          <w:rFonts w:ascii="Arial" w:cs="Arial" w:eastAsia="Arial" w:hAnsi="Arial"/>
          <w:sz w:val="16"/>
          <w:szCs w:val="16"/>
          <w:color w:val="auto"/>
        </w:rPr>
      </w:pPr>
    </w:p>
    <w:p>
      <w:pPr>
        <w:ind w:left="4" w:right="380" w:firstLine="436"/>
        <w:spacing w:after="0" w:line="286" w:lineRule="auto"/>
        <w:tabs>
          <w:tab w:leader="none" w:pos="849"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becomes subject to a proceeding under a U.S. Special Resolution Regime, the transfer from such Underwriter of this Underwriting Agreement, and any interest and obligation in or under this Underwriting Agreement, will be effective to the same extent as the transfer would be effective under the U.S. Special Resolution Regime.</w:t>
      </w:r>
    </w:p>
    <w:p>
      <w:pPr>
        <w:spacing w:after="0" w:line="165" w:lineRule="exact"/>
        <w:rPr>
          <w:sz w:val="20"/>
          <w:szCs w:val="20"/>
          <w:color w:val="auto"/>
        </w:rPr>
      </w:pPr>
    </w:p>
    <w:p>
      <w:pPr>
        <w:ind w:left="4" w:right="300" w:firstLine="991"/>
        <w:spacing w:after="0" w:line="311" w:lineRule="auto"/>
        <w:rPr>
          <w:sz w:val="20"/>
          <w:szCs w:val="20"/>
          <w:color w:val="auto"/>
        </w:rPr>
      </w:pPr>
      <w:r>
        <w:rPr>
          <w:rFonts w:ascii="Arial" w:cs="Arial" w:eastAsia="Arial" w:hAnsi="Arial"/>
          <w:sz w:val="16"/>
          <w:szCs w:val="16"/>
          <w:color w:val="auto"/>
        </w:rPr>
        <w:t>In the event that any Underwriter that is a Covered Entity or a BHC Act Affiliate of such Underwriter becomes subject to a proceeding under a U.S. Special Resolution Regime, Default Rights under this Underwriting Agreement that may be exercised against such Underwriter are permitted to be exercised to no greater extent than such Default Rights could be exercised under the U.S. Special Resolution Regime.</w:t>
      </w:r>
    </w:p>
    <w:p>
      <w:pPr>
        <w:spacing w:after="0" w:line="149" w:lineRule="exact"/>
        <w:rPr>
          <w:sz w:val="20"/>
          <w:szCs w:val="20"/>
          <w:color w:val="auto"/>
        </w:rPr>
      </w:pPr>
    </w:p>
    <w:p>
      <w:pPr>
        <w:ind w:left="4" w:firstLine="991"/>
        <w:spacing w:after="0" w:line="287" w:lineRule="auto"/>
        <w:rPr>
          <w:sz w:val="20"/>
          <w:szCs w:val="20"/>
          <w:color w:val="auto"/>
        </w:rPr>
      </w:pPr>
      <w:r>
        <w:rPr>
          <w:rFonts w:ascii="Arial" w:cs="Arial" w:eastAsia="Arial" w:hAnsi="Arial"/>
          <w:sz w:val="16"/>
          <w:szCs w:val="16"/>
          <w:color w:val="auto"/>
        </w:rPr>
        <w:t>For purposes of foregoing two paragraphs, “</w:t>
      </w:r>
      <w:r>
        <w:rPr>
          <w:rFonts w:ascii="Arial" w:cs="Arial" w:eastAsia="Arial" w:hAnsi="Arial"/>
          <w:sz w:val="16"/>
          <w:szCs w:val="16"/>
          <w:u w:val="single" w:color="auto"/>
          <w:color w:val="auto"/>
        </w:rPr>
        <w:t>BHC Act Affiliate</w:t>
      </w:r>
      <w:r>
        <w:rPr>
          <w:rFonts w:ascii="Arial" w:cs="Arial" w:eastAsia="Arial" w:hAnsi="Arial"/>
          <w:sz w:val="16"/>
          <w:szCs w:val="16"/>
          <w:color w:val="auto"/>
        </w:rPr>
        <w:t>” has the meaning assigned to the term “affiliate” in, and shall be interpreted in accordance with, 12 U.S.C. § 1841(k); “</w:t>
      </w:r>
      <w:r>
        <w:rPr>
          <w:rFonts w:ascii="Arial" w:cs="Arial" w:eastAsia="Arial" w:hAnsi="Arial"/>
          <w:sz w:val="16"/>
          <w:szCs w:val="16"/>
          <w:u w:val="single" w:color="auto"/>
          <w:color w:val="auto"/>
        </w:rPr>
        <w:t>Covered Entity</w:t>
      </w:r>
      <w:r>
        <w:rPr>
          <w:rFonts w:ascii="Arial" w:cs="Arial" w:eastAsia="Arial" w:hAnsi="Arial"/>
          <w:sz w:val="16"/>
          <w:szCs w:val="16"/>
          <w:color w:val="auto"/>
        </w:rPr>
        <w:t>” means any of the following: (i) a “covered entity” as that term is defined in, and interpreted in accordance with, 12 C.F.R. § 252.82(b), (ii) a “covered bank” as that term is defined in, and interpreted in accordance with, 12 C.F.R. § 47.3(b) or</w:t>
      </w:r>
    </w:p>
    <w:p>
      <w:pPr>
        <w:spacing w:after="0" w:line="2" w:lineRule="exact"/>
        <w:rPr>
          <w:sz w:val="20"/>
          <w:szCs w:val="20"/>
          <w:color w:val="auto"/>
        </w:rPr>
      </w:pPr>
    </w:p>
    <w:p>
      <w:pPr>
        <w:ind w:left="4" w:hanging="4"/>
        <w:spacing w:after="0" w:line="253" w:lineRule="auto"/>
        <w:tabs>
          <w:tab w:leader="none" w:pos="319"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 “</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and “</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92" w:lineRule="exact"/>
        <w:rPr>
          <w:rFonts w:ascii="Arial" w:cs="Arial" w:eastAsia="Arial" w:hAnsi="Arial"/>
          <w:sz w:val="18"/>
          <w:szCs w:val="18"/>
          <w:color w:val="auto"/>
        </w:rPr>
      </w:pPr>
    </w:p>
    <w:p>
      <w:pPr>
        <w:ind w:left="4" w:right="40" w:firstLine="436"/>
        <w:spacing w:after="0" w:line="291" w:lineRule="auto"/>
        <w:tabs>
          <w:tab w:leader="none" w:pos="846"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may be executed in counterparts, each of which will be deemed an original, but all of which taken together will constitute one and the same instrument. The words “execution,” “signed,” “signature,” and words of like import in this Underwriting Agreement or in any other certificate, agreement or document related to this Underwriting Agreement, the Indenture or the Designated Securities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30" w:name="page31"/>
    <w:bookmarkEnd w:id="30"/>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1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00"/>
          </w:cols>
          <w:pgMar w:left="440" w:top="274" w:right="9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please sign and return this Underwriting Agreement to us.</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Daniel Guglielmone</w:t>
      </w:r>
    </w:p>
    <w:p>
      <w:pPr>
        <w:spacing w:after="0" w:line="23" w:lineRule="exact"/>
        <w:rPr>
          <w:sz w:val="20"/>
          <w:szCs w:val="20"/>
          <w:color w:val="auto"/>
        </w:rPr>
      </w:pPr>
    </w:p>
    <w:p>
      <w:pPr>
        <w:jc w:val="both"/>
        <w:ind w:left="6520"/>
        <w:spacing w:after="0"/>
        <w:tabs>
          <w:tab w:leader="none" w:pos="7080" w:val="left"/>
        </w:tabs>
        <w:rPr>
          <w:sz w:val="20"/>
          <w:szCs w:val="20"/>
          <w:color w:val="auto"/>
        </w:rPr>
      </w:pPr>
      <w:r>
        <w:rPr>
          <w:rFonts w:ascii="Arial" w:cs="Arial" w:eastAsia="Arial" w:hAnsi="Arial"/>
          <w:sz w:val="18"/>
          <w:szCs w:val="18"/>
          <w:color w:val="auto"/>
        </w:rPr>
        <w:t>Title:</w:t>
        <w:tab/>
        <w:t>Executive Vice President-Chief Financial</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Officer and Treasurer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[Underwriting Agreement Signature Page]</w:t>
      </w:r>
    </w:p>
    <w:p>
      <w:pPr>
        <w:sectPr>
          <w:pgSz w:w="11900" w:h="16838" w:orient="portrait"/>
          <w:cols w:equalWidth="0" w:num="1">
            <w:col w:w="10080"/>
          </w:cols>
          <w:pgMar w:left="880" w:top="274" w:right="9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w:t>
      </w:r>
      <w:r>
        <w:rPr>
          <w:rFonts w:ascii="Arial" w:cs="Arial" w:eastAsia="Arial" w:hAnsi="Arial"/>
          <w:sz w:val="14"/>
          <w:szCs w:val="14"/>
          <w:color w:val="auto"/>
        </w:rPr>
        <w:t>OF</w:t>
      </w:r>
      <w:r>
        <w:rPr>
          <w:rFonts w:ascii="Arial" w:cs="Arial" w:eastAsia="Arial" w:hAnsi="Arial"/>
          <w:sz w:val="18"/>
          <w:szCs w:val="18"/>
          <w:color w:val="auto"/>
        </w:rPr>
        <w:t>A S</w:t>
      </w:r>
      <w:r>
        <w:rPr>
          <w:rFonts w:ascii="Arial" w:cs="Arial" w:eastAsia="Arial" w:hAnsi="Arial"/>
          <w:sz w:val="14"/>
          <w:szCs w:val="14"/>
          <w:color w:val="auto"/>
        </w:rPr>
        <w:t>ECURITIES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EUTSCHE</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Hicham Hamdouch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Hicham Hamdouch</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Lourdes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Lourdes Fisher</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Anguel Zaprianov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Anguel Zaprianov</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Maria Sramek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Maria Sramek</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Carolyn Hurley</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the Pricing Agreement dated the date hereof.</w:t>
      </w:r>
    </w:p>
    <w:p>
      <w:pPr>
        <w:spacing w:after="0" w:line="181" w:lineRule="exact"/>
        <w:rPr>
          <w:sz w:val="20"/>
          <w:szCs w:val="20"/>
          <w:color w:val="auto"/>
        </w:rPr>
      </w:pPr>
    </w:p>
    <w:p>
      <w:pPr>
        <w:ind w:left="3960"/>
        <w:spacing w:after="0"/>
        <w:rPr>
          <w:sz w:val="20"/>
          <w:szCs w:val="20"/>
          <w:color w:val="auto"/>
        </w:rPr>
      </w:pPr>
      <w:r>
        <w:rPr>
          <w:rFonts w:ascii="Arial" w:cs="Arial" w:eastAsia="Arial" w:hAnsi="Arial"/>
          <w:sz w:val="18"/>
          <w:szCs w:val="18"/>
          <w:i w:val="1"/>
          <w:iCs w:val="1"/>
          <w:color w:val="auto"/>
        </w:rPr>
        <w:t>[Underwriting Agreement Signature Page]</w:t>
      </w:r>
    </w:p>
    <w:p>
      <w:pPr>
        <w:sectPr>
          <w:pgSz w:w="11900" w:h="16838" w:orient="portrait"/>
          <w:cols w:equalWidth="0" w:num="1">
            <w:col w:w="10019"/>
          </w:cols>
          <w:pgMar w:left="440" w:top="274" w:right="1440" w:bottom="1440" w:gutter="0" w:footer="0" w:header="0"/>
        </w:sectPr>
      </w:pPr>
    </w:p>
    <w:bookmarkStart w:id="33" w:name="page34"/>
    <w:bookmarkEnd w:id="33"/>
    <w:p>
      <w:pPr>
        <w:ind w:left="10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OF</w:t>
      </w:r>
      <w:r>
        <w:rPr>
          <w:rFonts w:ascii="Arial" w:cs="Arial" w:eastAsia="Arial" w:hAnsi="Arial"/>
          <w:sz w:val="18"/>
          <w:szCs w:val="18"/>
          <w:color w:val="auto"/>
        </w:rPr>
        <w:t>A S</w:t>
      </w:r>
      <w:r>
        <w:rPr>
          <w:rFonts w:ascii="Arial" w:cs="Arial" w:eastAsia="Arial" w:hAnsi="Arial"/>
          <w:sz w:val="14"/>
          <w:szCs w:val="14"/>
          <w:color w:val="auto"/>
        </w:rPr>
        <w:t>ECURITIES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EUTSCHE</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LLC</w:t>
      </w:r>
    </w:p>
    <w:p>
      <w:pPr>
        <w:spacing w:after="0" w:line="21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c/o</w:t>
        <w:tab/>
        <w:t>BofA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color w:val="auto"/>
        </w:rPr>
        <w:t>Federal Realty Investment Trust, a Maryland real estate investment trust (the “Company”), proposes, subject to the terms and conditions stated herein and in the Underwriting Agreement, dated October 8, 2020 (the “Underwriting Agreement”), between the Company on the one hand and BofA Securities, Inc., Deutsche Bank Securities Inc., J.P. Morgan Securities, LLC and Wells Fargo Securities, LLC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020"/>
          </w:cols>
          <w:pgMar w:left="440" w:top="270" w:right="439" w:bottom="1440" w:gutter="0" w:footer="0" w:header="0"/>
        </w:sectPr>
      </w:pPr>
    </w:p>
    <w:bookmarkStart w:id="34" w:name="page35"/>
    <w:bookmarkEnd w:id="34"/>
    <w:p>
      <w:pPr>
        <w:ind w:left="4"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71"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A supplement to the Prospectus relating to the Designated Securities, in the form heretofore delivered to you, is now proposed to be filed with the Commission.</w:t>
      </w:r>
    </w:p>
    <w:p>
      <w:pPr>
        <w:spacing w:after="0" w:line="170" w:lineRule="exact"/>
        <w:rPr>
          <w:sz w:val="20"/>
          <w:szCs w:val="20"/>
          <w:color w:val="auto"/>
        </w:rPr>
      </w:pPr>
    </w:p>
    <w:p>
      <w:pPr>
        <w:jc w:val="both"/>
        <w:ind w:left="4" w:right="100" w:firstLine="440"/>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87" w:lineRule="exact"/>
        <w:rPr>
          <w:sz w:val="20"/>
          <w:szCs w:val="20"/>
          <w:color w:val="auto"/>
        </w:rPr>
      </w:pPr>
    </w:p>
    <w:p>
      <w:pPr>
        <w:jc w:val="both"/>
        <w:ind w:left="4" w:right="180" w:firstLine="440"/>
        <w:spacing w:after="0" w:line="286" w:lineRule="auto"/>
        <w:rPr>
          <w:sz w:val="20"/>
          <w:szCs w:val="20"/>
          <w:color w:val="auto"/>
        </w:rPr>
      </w:pPr>
      <w:r>
        <w:rPr>
          <w:rFonts w:ascii="Arial" w:cs="Arial" w:eastAsia="Arial" w:hAnsi="Arial"/>
          <w:sz w:val="17"/>
          <w:szCs w:val="17"/>
          <w:color w:val="auto"/>
        </w:rPr>
        <w:t>In the event that any Underwriter that is a Covered Entity becomes subject to a proceeding under a U.S. Special Resolution Regime, the transfer from such Underwriter of this Underwriting Agreement, and any interest and obligation in or under this Underwriting Agreement, will be effective to the same extent as the transfer would be effective under the U.S. Special Resolution Regime.</w:t>
      </w:r>
    </w:p>
    <w:p>
      <w:pPr>
        <w:spacing w:after="0" w:line="165"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7"/>
          <w:szCs w:val="17"/>
          <w:color w:val="auto"/>
        </w:rPr>
        <w:t>In the event that any Underwriter that is a Covered Entity or a BHC Act Affiliate of such Underwriter becomes subject to a proceeding under a U.S. Special Resolution Regime, Default Rights under this Underwriting Agreement that may be exercised against such Underwriter are permitted to be exercised to no greater extent than such Default Rights could be exercised under the U.S. Special Resolution Regime.</w:t>
      </w:r>
    </w:p>
    <w:p>
      <w:pPr>
        <w:spacing w:after="0" w:line="165"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For purposes of foregoing two paragraphs, “</w:t>
      </w:r>
      <w:r>
        <w:rPr>
          <w:rFonts w:ascii="Arial" w:cs="Arial" w:eastAsia="Arial" w:hAnsi="Arial"/>
          <w:sz w:val="16"/>
          <w:szCs w:val="16"/>
          <w:u w:val="single" w:color="auto"/>
          <w:color w:val="auto"/>
        </w:rPr>
        <w:t>BHC Act Affiliate</w:t>
      </w:r>
      <w:r>
        <w:rPr>
          <w:rFonts w:ascii="Arial" w:cs="Arial" w:eastAsia="Arial" w:hAnsi="Arial"/>
          <w:sz w:val="16"/>
          <w:szCs w:val="16"/>
          <w:color w:val="auto"/>
        </w:rPr>
        <w:t>” has the meaning assigned to the term “affiliate” in, and shall be interpreted in accordance with, 12 U.S.C. § 1841(k); “</w:t>
      </w:r>
      <w:r>
        <w:rPr>
          <w:rFonts w:ascii="Arial" w:cs="Arial" w:eastAsia="Arial" w:hAnsi="Arial"/>
          <w:sz w:val="16"/>
          <w:szCs w:val="16"/>
          <w:u w:val="single" w:color="auto"/>
          <w:color w:val="auto"/>
        </w:rPr>
        <w:t>Covered Entity</w:t>
      </w:r>
      <w:r>
        <w:rPr>
          <w:rFonts w:ascii="Arial" w:cs="Arial" w:eastAsia="Arial" w:hAnsi="Arial"/>
          <w:sz w:val="16"/>
          <w:szCs w:val="16"/>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 47.2 or 382.1, as applicable; and “</w:t>
      </w:r>
      <w:r>
        <w:rPr>
          <w:rFonts w:ascii="Arial" w:cs="Arial" w:eastAsia="Arial" w:hAnsi="Arial"/>
          <w:sz w:val="16"/>
          <w:szCs w:val="16"/>
          <w:u w:val="single" w:color="auto"/>
          <w:color w:val="auto"/>
        </w:rPr>
        <w:t>U.S. Special Resolution Regime</w:t>
      </w:r>
      <w:r>
        <w:rPr>
          <w:rFonts w:ascii="Arial" w:cs="Arial" w:eastAsia="Arial" w:hAnsi="Arial"/>
          <w:sz w:val="16"/>
          <w:szCs w:val="16"/>
          <w:color w:val="auto"/>
        </w:rPr>
        <w:t>” means each of</w:t>
      </w:r>
    </w:p>
    <w:p>
      <w:pPr>
        <w:spacing w:after="0" w:line="2" w:lineRule="exact"/>
        <w:rPr>
          <w:sz w:val="20"/>
          <w:szCs w:val="20"/>
          <w:color w:val="auto"/>
        </w:rPr>
      </w:pPr>
    </w:p>
    <w:p>
      <w:pPr>
        <w:ind w:left="4" w:right="100" w:hanging="4"/>
        <w:spacing w:after="0" w:line="260" w:lineRule="auto"/>
        <w:tabs>
          <w:tab w:leader="none" w:pos="21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85" w:lineRule="exact"/>
        <w:rPr>
          <w:sz w:val="20"/>
          <w:szCs w:val="20"/>
          <w:color w:val="auto"/>
        </w:rPr>
      </w:pPr>
    </w:p>
    <w:p>
      <w:pPr>
        <w:jc w:val="center"/>
        <w:ind w:left="780" w:right="100"/>
        <w:spacing w:after="0" w:line="449" w:lineRule="auto"/>
        <w:rPr>
          <w:sz w:val="20"/>
          <w:szCs w:val="20"/>
          <w:color w:val="auto"/>
        </w:rPr>
      </w:pPr>
      <w:r>
        <w:rPr>
          <w:rFonts w:ascii="Arial" w:cs="Arial" w:eastAsia="Arial" w:hAnsi="Arial"/>
          <w:sz w:val="18"/>
          <w:szCs w:val="18"/>
          <w:color w:val="auto"/>
        </w:rPr>
        <w:t>The obligations of the Underwriters under this Pricing Agreement and the Underwriting Agreement incorporated herein are several and not joint. Ex. A-2</w:t>
      </w:r>
    </w:p>
    <w:p>
      <w:pPr>
        <w:sectPr>
          <w:pgSz w:w="11900" w:h="16838" w:orient="portrait"/>
          <w:cols w:equalWidth="0" w:num="1">
            <w:col w:w="10984"/>
          </w:cols>
          <w:pgMar w:left="436" w:top="274" w:right="47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Pricing Agreement shall be governed by and construed in accordance with the laws of the State of New York.</w:t>
      </w:r>
    </w:p>
    <w:p>
      <w:pPr>
        <w:sectPr>
          <w:pgSz w:w="11900" w:h="16838" w:orient="portrait"/>
          <w:cols w:equalWidth="0" w:num="1">
            <w:col w:w="9579"/>
          </w:cols>
          <w:pgMar w:left="880" w:top="274" w:right="1440" w:bottom="1440" w:gutter="0" w:footer="0" w:header="0"/>
        </w:sectPr>
      </w:pPr>
    </w:p>
    <w:p>
      <w:pPr>
        <w:spacing w:after="0" w:line="248"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[REMAINDER OF THIS PAGE INTENTIONALLY LEFT BLANK]</w:t>
      </w:r>
    </w:p>
    <w:p>
      <w:pPr>
        <w:spacing w:after="0" w:line="169"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Ex. A-3</w:t>
      </w:r>
    </w:p>
    <w:p>
      <w:pPr>
        <w:sectPr>
          <w:pgSz w:w="11900" w:h="16838" w:orient="portrait"/>
          <w:cols w:equalWidth="0" w:num="1">
            <w:col w:w="9579"/>
          </w:cols>
          <w:pgMar w:left="880" w:top="274" w:right="1440" w:bottom="1440" w:gutter="0" w:footer="0" w:header="0"/>
          <w:type w:val="continuous"/>
        </w:sectPr>
      </w:pPr>
    </w:p>
    <w:bookmarkStart w:id="36" w:name="page37"/>
    <w:bookmarkEnd w:id="36"/>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000"/>
          </w:cols>
          <w:pgMar w:left="440" w:top="274"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w:t>
      </w:r>
      <w:r>
        <w:rPr>
          <w:rFonts w:ascii="Arial" w:cs="Arial" w:eastAsia="Arial" w:hAnsi="Arial"/>
          <w:sz w:val="14"/>
          <w:szCs w:val="14"/>
          <w:color w:val="auto"/>
        </w:rPr>
        <w:t>OF</w:t>
      </w:r>
      <w:r>
        <w:rPr>
          <w:rFonts w:ascii="Arial" w:cs="Arial" w:eastAsia="Arial" w:hAnsi="Arial"/>
          <w:sz w:val="18"/>
          <w:szCs w:val="18"/>
          <w:color w:val="auto"/>
        </w:rPr>
        <w:t>A S</w:t>
      </w:r>
      <w:r>
        <w:rPr>
          <w:rFonts w:ascii="Arial" w:cs="Arial" w:eastAsia="Arial" w:hAnsi="Arial"/>
          <w:sz w:val="14"/>
          <w:szCs w:val="14"/>
          <w:color w:val="auto"/>
        </w:rPr>
        <w:t>ECURITIES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EUTSCHE</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this Pricing Agreement.</w:t>
      </w:r>
    </w:p>
    <w:p>
      <w:pPr>
        <w:spacing w:after="0" w:line="181"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0019"/>
          </w:cols>
          <w:pgMar w:left="440" w:top="274" w:right="1440" w:bottom="1440" w:gutter="0" w:footer="0" w:header="0"/>
        </w:sectPr>
      </w:pPr>
    </w:p>
    <w:bookmarkStart w:id="38" w:name="page39"/>
    <w:bookmarkEnd w:id="38"/>
    <w:tbl>
      <w:tblPr>
        <w:tblLayout w:type="fixed"/>
        <w:tblInd w:w="7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660" w:type="dxa"/>
            <w:vAlign w:val="bottom"/>
            <w:gridSpan w:val="2"/>
          </w:tcPr>
          <w:p>
            <w:pPr>
              <w:ind w:left="480"/>
              <w:spacing w:after="0"/>
              <w:rPr>
                <w:sz w:val="20"/>
                <w:szCs w:val="20"/>
                <w:color w:val="auto"/>
              </w:rPr>
            </w:pPr>
            <w:r>
              <w:rPr>
                <w:rFonts w:ascii="Arial" w:cs="Arial" w:eastAsia="Arial" w:hAnsi="Arial"/>
                <w:sz w:val="18"/>
                <w:szCs w:val="18"/>
                <w:color w:val="auto"/>
              </w:rPr>
              <w:t>SCHEDULE I</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1960" w:type="dxa"/>
            <w:vAlign w:val="bottom"/>
            <w:vMerge w:val="restart"/>
          </w:tcPr>
          <w:p>
            <w:pPr>
              <w:spacing w:after="0"/>
              <w:rPr>
                <w:sz w:val="24"/>
                <w:szCs w:val="24"/>
                <w:color w:val="auto"/>
              </w:rPr>
            </w:pPr>
          </w:p>
        </w:tc>
        <w:tc>
          <w:tcPr>
            <w:tcW w:w="344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w w:val="96"/>
              </w:rPr>
              <w:t>Principal Amount of</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3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3"/>
          </w:tcPr>
          <w:p>
            <w:pPr>
              <w:ind w:left="240"/>
              <w:spacing w:after="0" w:line="158" w:lineRule="exact"/>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03"/>
        </w:trPr>
        <w:tc>
          <w:tcPr>
            <w:tcW w:w="2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3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64,000,000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366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66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366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366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366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366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366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366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366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366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4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400,000,000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Sch. I to Exhibit A</w:t>
      </w:r>
    </w:p>
    <w:p>
      <w:pPr>
        <w:sectPr>
          <w:pgSz w:w="11900" w:h="16838" w:orient="portrait"/>
          <w:cols w:equalWidth="0" w:num="1">
            <w:col w:w="9019"/>
          </w:cols>
          <w:pgMar w:left="1440" w:top="274" w:right="1440" w:bottom="1440" w:gutter="0" w:footer="0" w:header="0"/>
        </w:sectPr>
      </w:pPr>
    </w:p>
    <w:bookmarkStart w:id="39" w:name="page40"/>
    <w:bookmarkEnd w:id="39"/>
    <w:p>
      <w:pPr>
        <w:jc w:val="center"/>
        <w:ind w:right="-3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1.250% Notes due 2026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$400,000,000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99.339% of the principal amount of the Designated Securities, plus accrued interest from October 13,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98.739% of the principal amount of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February 15, 2026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1.250% per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February 15 and August 15, beginning on February 15,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 and the Issuer Free Writing Prospectus</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Sch. II to Exhibit A, Page 1</w:t>
      </w:r>
    </w:p>
    <w:p>
      <w:pPr>
        <w:sectPr>
          <w:pgSz w:w="11900" w:h="16838" w:orient="portrait"/>
          <w:cols w:equalWidth="0" w:num="1">
            <w:col w:w="10600"/>
          </w:cols>
          <w:pgMar w:left="440" w:top="274" w:right="8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Sinking Fund Provisions: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defeasance and covenant defeasance provisions of the Indenture apply to the Designated Securities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3:00 p.m. (Eastern time) on October 8, 2020 or such other time as agreed by the Company and the Representatives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October 13,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Sidley Austin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1540 Broadway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NY8-540-26-02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(646) 855-5958</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High Grade Transaction Management/Legal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dg.hg_ua_notices@bofa.com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Debt Capital Markets Syndicate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(212) 469-4877, with a copy to:</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(646) 374-1071</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10179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(212) 834-6081</w:t>
      </w:r>
    </w:p>
    <w:p>
      <w:pPr>
        <w:spacing w:after="0" w:line="14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Sch. II to Exhibit A, Page 2</w:t>
      </w:r>
    </w:p>
    <w:p>
      <w:pPr>
        <w:sectPr>
          <w:pgSz w:w="11900" w:h="16838" w:orient="portrait"/>
          <w:cols w:equalWidth="0" w:num="1">
            <w:col w:w="10019"/>
          </w:cols>
          <w:pgMar w:left="440" w:top="270" w:right="1440"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Attention: Investment Grade Syndicate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550 South Tryon Street, 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Transaction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tmgcapitalmarkets@wellsfargo.com</w:t>
      </w:r>
    </w:p>
    <w:p>
      <w:pPr>
        <w:spacing w:after="0" w:line="143" w:lineRule="exact"/>
        <w:rPr>
          <w:sz w:val="20"/>
          <w:szCs w:val="20"/>
          <w:color w:val="auto"/>
        </w:rPr>
      </w:pPr>
    </w:p>
    <w:p>
      <w:pPr>
        <w:jc w:val="right"/>
        <w:ind w:right="3519"/>
        <w:spacing w:after="0"/>
        <w:rPr>
          <w:sz w:val="20"/>
          <w:szCs w:val="20"/>
          <w:color w:val="auto"/>
        </w:rPr>
      </w:pPr>
      <w:r>
        <w:rPr>
          <w:rFonts w:ascii="Arial" w:cs="Arial" w:eastAsia="Arial" w:hAnsi="Arial"/>
          <w:sz w:val="18"/>
          <w:szCs w:val="18"/>
          <w:color w:val="auto"/>
        </w:rPr>
        <w:t>Sch. II to Exhibit A, Page 3</w:t>
      </w:r>
    </w:p>
    <w:p>
      <w:pPr>
        <w:sectPr>
          <w:pgSz w:w="11900" w:h="16838" w:orient="portrait"/>
          <w:cols w:equalWidth="0" w:num="1">
            <w:col w:w="9579"/>
          </w:cols>
          <w:pgMar w:left="880" w:top="274"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5" w:lineRule="exact"/>
        <w:rPr>
          <w:sz w:val="20"/>
          <w:szCs w:val="20"/>
          <w:color w:val="auto"/>
        </w:rPr>
      </w:pPr>
    </w:p>
    <w:p>
      <w:pPr>
        <w:ind w:left="1624"/>
        <w:spacing w:after="0"/>
        <w:rPr>
          <w:sz w:val="20"/>
          <w:szCs w:val="20"/>
          <w:color w:val="auto"/>
        </w:rPr>
      </w:pPr>
      <w:r>
        <w:rPr>
          <w:rFonts w:ascii="Arial" w:cs="Arial" w:eastAsia="Arial" w:hAnsi="Arial"/>
          <w:sz w:val="18"/>
          <w:szCs w:val="18"/>
          <w:b w:val="1"/>
          <w:bCs w:val="1"/>
          <w:color w:val="auto"/>
        </w:rPr>
        <w:t>Schedule of Issuer Free Writing Prospectuses Included in the General Disclosure Package</w:t>
      </w:r>
    </w:p>
    <w:p>
      <w:pPr>
        <w:spacing w:after="0" w:line="229" w:lineRule="exact"/>
        <w:rPr>
          <w:sz w:val="20"/>
          <w:szCs w:val="20"/>
          <w:color w:val="auto"/>
        </w:rPr>
      </w:pPr>
    </w:p>
    <w:p>
      <w:pPr>
        <w:ind w:left="324" w:hanging="324"/>
        <w:spacing w:after="0"/>
        <w:tabs>
          <w:tab w:leader="none" w:pos="3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Final Term Sheet, attached hereto as Schedule I to this Exhibit B</w:t>
      </w:r>
    </w:p>
    <w:p>
      <w:pPr>
        <w:spacing w:after="0" w:line="158"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Ex. B-1</w:t>
      </w:r>
    </w:p>
    <w:p>
      <w:pPr>
        <w:sectPr>
          <w:pgSz w:w="11900" w:h="16838" w:orient="portrait"/>
          <w:cols w:equalWidth="0" w:num="1">
            <w:col w:w="10584"/>
          </w:cols>
          <w:pgMar w:left="876" w:top="270" w:right="43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Price/Yield: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Spread to Benchmark Treasury: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Re-Offer Yield: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Coupon (Interest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Schedule I to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-213360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October 8, 2020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333-224701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Relating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Preliminary Prospectus Supplement Dated October 8, 2020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Prospectus dated May 7, 2018</w:t>
      </w:r>
    </w:p>
    <w:p>
      <w:pPr>
        <w:spacing w:after="0" w:line="200" w:lineRule="exact"/>
        <w:rPr>
          <w:sz w:val="20"/>
          <w:szCs w:val="20"/>
          <w:color w:val="auto"/>
        </w:rPr>
      </w:pPr>
    </w:p>
    <w:p>
      <w:pPr>
        <w:spacing w:after="0" w:line="223" w:lineRule="exact"/>
        <w:rPr>
          <w:sz w:val="20"/>
          <w:szCs w:val="20"/>
          <w:color w:val="auto"/>
        </w:rPr>
      </w:pPr>
    </w:p>
    <w:p>
      <w:pPr>
        <w:jc w:val="center"/>
        <w:ind w:right="4260"/>
        <w:spacing w:after="0"/>
        <w:rPr>
          <w:sz w:val="20"/>
          <w:szCs w:val="20"/>
          <w:color w:val="auto"/>
        </w:rPr>
      </w:pPr>
      <w:r>
        <w:rPr>
          <w:rFonts w:ascii="Arial" w:cs="Arial" w:eastAsia="Arial" w:hAnsi="Arial"/>
          <w:sz w:val="16"/>
          <w:szCs w:val="16"/>
          <w:b w:val="1"/>
          <w:bCs w:val="1"/>
          <w:color w:val="auto"/>
        </w:rPr>
        <w:t>Federal Realty Investment Trust</w:t>
      </w:r>
    </w:p>
    <w:p>
      <w:pPr>
        <w:spacing w:after="0" w:line="50" w:lineRule="exact"/>
        <w:rPr>
          <w:sz w:val="20"/>
          <w:szCs w:val="20"/>
          <w:color w:val="auto"/>
        </w:rPr>
      </w:pPr>
    </w:p>
    <w:p>
      <w:pPr>
        <w:jc w:val="center"/>
        <w:ind w:right="4260"/>
        <w:spacing w:after="0"/>
        <w:rPr>
          <w:sz w:val="20"/>
          <w:szCs w:val="20"/>
          <w:color w:val="auto"/>
        </w:rPr>
      </w:pPr>
      <w:r>
        <w:rPr>
          <w:rFonts w:ascii="Arial" w:cs="Arial" w:eastAsia="Arial" w:hAnsi="Arial"/>
          <w:sz w:val="18"/>
          <w:szCs w:val="18"/>
          <w:b w:val="1"/>
          <w:bCs w:val="1"/>
          <w:color w:val="auto"/>
        </w:rPr>
        <w:t>1.250% Notes due 2026</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Term Sheet dated October 8, 2020</w:t>
      </w:r>
    </w:p>
    <w:p>
      <w:pPr>
        <w:spacing w:after="0" w:line="25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Federal Realty Investment Trust</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1.250% Notes due 2026 (the “Notes”)</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$400,000,000</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October 8, 2020</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October 13, 2020 (T+2)</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February 15, 2026</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February 15 and August 15, beginning on February 15, 2021</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0.250% due September 30, 2025</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99-19+ / 0.329%</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+105 basis points</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1.379%</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1.250% per year</w:t>
      </w:r>
    </w:p>
    <w:p>
      <w:pPr>
        <w:spacing w:after="0" w:line="117" w:lineRule="exact"/>
        <w:rPr>
          <w:sz w:val="20"/>
          <w:szCs w:val="20"/>
          <w:color w:val="auto"/>
        </w:rPr>
      </w:pPr>
    </w:p>
    <w:p>
      <w:pPr>
        <w:ind w:left="1480" w:right="420"/>
        <w:spacing w:after="0" w:line="277" w:lineRule="auto"/>
        <w:rPr>
          <w:sz w:val="20"/>
          <w:szCs w:val="20"/>
          <w:color w:val="auto"/>
        </w:rPr>
      </w:pPr>
      <w:r>
        <w:rPr>
          <w:rFonts w:ascii="Arial" w:cs="Arial" w:eastAsia="Arial" w:hAnsi="Arial"/>
          <w:sz w:val="18"/>
          <w:szCs w:val="18"/>
          <w:color w:val="auto"/>
        </w:rPr>
        <w:t>99.339% of the principal amount, plus accrued interest, if any, from October 13, 2020</w:t>
      </w:r>
    </w:p>
    <w:p>
      <w:pPr>
        <w:spacing w:after="0" w:line="62" w:lineRule="exact"/>
        <w:rPr>
          <w:sz w:val="20"/>
          <w:szCs w:val="20"/>
          <w:color w:val="auto"/>
        </w:rPr>
      </w:pPr>
    </w:p>
    <w:p>
      <w:pPr>
        <w:ind w:left="1480" w:right="180"/>
        <w:spacing w:after="0" w:line="257" w:lineRule="auto"/>
        <w:rPr>
          <w:sz w:val="20"/>
          <w:szCs w:val="20"/>
          <w:color w:val="auto"/>
        </w:rPr>
      </w:pPr>
      <w:r>
        <w:rPr>
          <w:rFonts w:ascii="Arial" w:cs="Arial" w:eastAsia="Arial" w:hAnsi="Arial"/>
          <w:sz w:val="18"/>
          <w:szCs w:val="18"/>
          <w:color w:val="auto"/>
        </w:rPr>
        <w:t>At any time before January 15, 2026, make-whole call based on U.S. Treasury plus 20 basis points (0.20%); if redeemed on or after January 15, 2026, at 100% of the principal amount of the notes being redeemed, in each case plus accrued and unpaid interest thereon to, but excluding, the redemption date</w:t>
      </w:r>
    </w:p>
    <w:p>
      <w:pPr>
        <w:spacing w:after="0" w:line="12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Sch. I to Exhibit B, Page 1</w:t>
      </w:r>
    </w:p>
    <w:p>
      <w:pPr>
        <w:sectPr>
          <w:pgSz w:w="11900" w:h="16838" w:orient="portrait"/>
          <w:cols w:equalWidth="0" w:num="2">
            <w:col w:w="3540" w:space="720"/>
            <w:col w:w="6760"/>
          </w:cols>
          <w:pgMar w:left="440" w:top="270" w:right="43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313747 BB2 / US313747BB27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-201295</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5020" w:space="720"/>
            <w:col w:w="5220"/>
          </w:cols>
          <w:pgMar w:left="440" w:top="274" w:right="499" w:bottom="1440" w:gutter="0" w:footer="0" w:header="0"/>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Deutsche Bank Securities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Citigroup Global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U.S. Bancorp Investments, Inc.</w:t>
      </w:r>
    </w:p>
    <w:p>
      <w:pPr>
        <w:spacing w:after="0" w:line="126" w:lineRule="exact"/>
        <w:rPr>
          <w:sz w:val="20"/>
          <w:szCs w:val="20"/>
          <w:color w:val="auto"/>
        </w:rPr>
      </w:pPr>
    </w:p>
    <w:p>
      <w:pPr>
        <w:sectPr>
          <w:pgSz w:w="11900" w:h="16838" w:orient="portrait"/>
          <w:cols w:equalWidth="0" w:num="2">
            <w:col w:w="5020" w:space="720"/>
            <w:col w:w="5220"/>
          </w:cols>
          <w:pgMar w:left="44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Regions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Scotia Capital (USA)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TD Securities (USA)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-886460</wp:posOffset>
            </wp:positionH>
            <wp:positionV relativeFrom="paragraph">
              <wp:posOffset>228600</wp:posOffset>
            </wp:positionV>
            <wp:extent cx="1474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220"/>
          </w:cols>
          <w:pgMar w:left="440" w:top="274" w:right="499" w:bottom="1440" w:gutter="0" w:footer="0" w:header="0"/>
          <w:type w:val="continuous"/>
        </w:sectPr>
      </w:pPr>
    </w:p>
    <w:p>
      <w:pPr>
        <w:spacing w:after="0" w:line="371"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w:t>
      </w:r>
      <w:r>
        <w:rPr>
          <w:rFonts w:ascii="Arial" w:cs="Arial" w:eastAsia="Arial" w:hAnsi="Arial"/>
          <w:sz w:val="16"/>
          <w:szCs w:val="16"/>
          <w:color w:val="auto"/>
        </w:rPr>
        <w:t>A</w:t>
      </w:r>
      <w:r>
        <w:rPr>
          <w:rFonts w:ascii="Arial" w:cs="Arial" w:eastAsia="Arial" w:hAnsi="Arial"/>
          <w:sz w:val="16"/>
          <w:szCs w:val="16"/>
          <w:b w:val="1"/>
          <w:bCs w:val="1"/>
          <w:color w:val="auto"/>
        </w:rPr>
        <w:t>lternatively, the issuer, any underwriter or any dealer participating in the offering will arrange to send you the prospectus supplement and prospectus if you request it from (i) BofA Securities, Inc. toll-free at 1-800-294-1322, (ii) Deutsche Bank Securities Inc. toll-free at 1-800-503-4611, (iii) J.P. Morgan Securities LLC collect at 1-212-834-4533 or (iv) Wells Fargo Securities, LLC toll-free at 1-800-645-3751.</w:t>
      </w:r>
    </w:p>
    <w:p>
      <w:pPr>
        <w:spacing w:after="0" w:line="161"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 I to Exhibit B, Page 2</w:t>
      </w:r>
    </w:p>
    <w:p>
      <w:pPr>
        <w:sectPr>
          <w:pgSz w:w="11900" w:h="16838" w:orient="portrait"/>
          <w:cols w:equalWidth="0" w:num="1">
            <w:col w:w="10960"/>
          </w:cols>
          <w:pgMar w:left="440" w:top="274" w:right="49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1.250% Note due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CUSIP No. 313747 BB2</w:t>
            </w:r>
          </w:p>
        </w:tc>
        <w:tc>
          <w:tcPr>
            <w:tcW w:w="5120" w:type="dxa"/>
            <w:vAlign w:val="bottom"/>
          </w:tcPr>
          <w:p>
            <w:pPr>
              <w:jc w:val="right"/>
              <w:spacing w:after="0"/>
              <w:rPr>
                <w:sz w:val="20"/>
                <w:szCs w:val="20"/>
                <w:color w:val="auto"/>
              </w:rPr>
            </w:pPr>
            <w:r>
              <w:rPr>
                <w:rFonts w:ascii="Arial" w:cs="Arial" w:eastAsia="Arial" w:hAnsi="Arial"/>
                <w:sz w:val="18"/>
                <w:szCs w:val="18"/>
                <w:color w:val="auto"/>
              </w:rPr>
              <w:t>$400,000,000</w:t>
            </w:r>
          </w:p>
        </w:tc>
      </w:tr>
    </w:tbl>
    <w:p>
      <w:pPr>
        <w:spacing w:after="0" w:line="19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(THE “DEPOSITORY”)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8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80"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$2,000 AND INTEGRAL MULTIPLES OF $1,000 IN EXCESS THEREOF.</w:t>
      </w:r>
    </w:p>
    <w:p>
      <w:pPr>
        <w:spacing w:after="0" w:line="166" w:lineRule="exact"/>
        <w:rPr>
          <w:sz w:val="20"/>
          <w:szCs w:val="20"/>
          <w:color w:val="auto"/>
        </w:rPr>
      </w:pPr>
    </w:p>
    <w:p>
      <w:pPr>
        <w:ind w:right="120" w:firstLine="991"/>
        <w:spacing w:after="0" w:line="287" w:lineRule="auto"/>
        <w:rPr>
          <w:sz w:val="20"/>
          <w:szCs w:val="20"/>
          <w:color w:val="auto"/>
        </w:rPr>
      </w:pPr>
      <w:r>
        <w:rPr>
          <w:rFonts w:ascii="Arial" w:cs="Arial" w:eastAsia="Arial" w:hAnsi="Arial"/>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Four Hundred Million Dollars ($400,000,000) on February 15, 2026 (the “Stated Maturity Date”) or the date fixed for earlier redemption (the “Redemption Date,” and together with the Stated Maturity Date with respect to principal repayable on such date, the “Maturity Date”), and to pay interest on the outstanding principal amount thereof from October 13, 2020 or from the most recent interest payment date to which interest has been paid or duly provided for, semi-annually on February 15 and August 15 in each year (each, an “Interest Payment Date”), commencing February 15, 2021, at the rate of 1.250%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February 1 and August 1 (whether or not a Business Day, as defined below), as the case may be, next preceding such Interest Payment Date at the office or agency of the Company maintained for such purpose; provided, however, that such interest may be paid, at the Company’s option, by mailing a check to such Holder at its registered address or by transfer of funds to an account maintained by such</w:t>
      </w:r>
    </w:p>
    <w:p>
      <w:pPr>
        <w:sectPr>
          <w:pgSz w:w="11900" w:h="16838" w:orient="portrait"/>
          <w:cols w:equalWidth="0" w:num="1">
            <w:col w:w="11020"/>
          </w:cols>
          <w:pgMar w:left="440" w:top="121" w:right="439" w:bottom="1440" w:gutter="0" w:footer="0" w:header="0"/>
        </w:sectPr>
      </w:pPr>
    </w:p>
    <w:bookmarkStart w:id="46" w:name="page47"/>
    <w:bookmarkEnd w:id="46"/>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95" w:lineRule="exact"/>
        <w:rPr>
          <w:sz w:val="20"/>
          <w:szCs w:val="20"/>
          <w:color w:val="auto"/>
        </w:rPr>
      </w:pPr>
    </w:p>
    <w:p>
      <w:pPr>
        <w:jc w:val="both"/>
        <w:ind w:right="60" w:firstLine="991"/>
        <w:spacing w:after="0" w:line="259"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87" w:lineRule="exact"/>
        <w:rPr>
          <w:sz w:val="20"/>
          <w:szCs w:val="20"/>
          <w:color w:val="auto"/>
        </w:rPr>
      </w:pPr>
    </w:p>
    <w:p>
      <w:pPr>
        <w:ind w:right="20" w:firstLine="991"/>
        <w:spacing w:after="0" w:line="290" w:lineRule="auto"/>
        <w:rPr>
          <w:sz w:val="20"/>
          <w:szCs w:val="20"/>
          <w:color w:val="auto"/>
        </w:rPr>
      </w:pPr>
      <w:r>
        <w:rPr>
          <w:rFonts w:ascii="Arial" w:cs="Arial" w:eastAsia="Arial" w:hAnsi="Arial"/>
          <w:sz w:val="16"/>
          <w:szCs w:val="16"/>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October 13, 2020, if no interest has been paid on this Note) to but excluding such Interest Payment Date or the Maturity Date, as the case may be. If any Interest Payment Date or the Maturity Date falls on a day that is not a Business Day,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All payments of principal, premium, if any, and interest in respect of this Note will be made by the Company in immediately available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funds.</w:t>
      </w:r>
    </w:p>
    <w:p>
      <w:pPr>
        <w:spacing w:after="0" w:line="211"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47" w:name="page48"/>
    <w:bookmarkEnd w:id="4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13,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Donald C. Wood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Daniel Guglielmone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Executive Vice President-Chief Financial Officer and</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27946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President-General Counsel and Secretary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is the Note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13,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820"/>
          </w:cols>
          <w:pgMar w:left="440" w:top="274" w:right="639"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[Reverse of Security]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1.250% Note due 2026</w:t>
      </w:r>
    </w:p>
    <w:p>
      <w:pPr>
        <w:spacing w:after="0" w:line="225"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“1.250% Notes due 2026” (collectively, the “Notes”), and the aggregate principal amount of the Notes to be issued under such series is limited to $400,000,000 as of the date hereof (except for Notes authenticated and delivered upon transfer of, or in exchange for, or in lieu of other Notes).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68"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If an Event of Default, as defined herein, shall occur and be continuing, the principal of the Securities of this series may be declared due and payable in the manner and with the effect provided in the Indenture.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40" w:right="36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76" w:lineRule="exact"/>
        <w:rPr>
          <w:sz w:val="20"/>
          <w:szCs w:val="20"/>
          <w:color w:val="auto"/>
        </w:rPr>
      </w:pPr>
    </w:p>
    <w:p>
      <w:pPr>
        <w:ind w:left="440" w:right="740" w:firstLine="419"/>
        <w:spacing w:after="0" w:line="277" w:lineRule="auto"/>
        <w:tabs>
          <w:tab w:leader="none" w:pos="12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in the payment of any interest upon or any Additional Amounts payable in respect of the Notes when such interest or Additional Amounts becomes due and payable, and continuance of such default for a period of 30 days;</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default in the payment of the principal of (or premium, if any, on) the Notes when it becomes due and payable at its Maturity;</w:t>
      </w:r>
    </w:p>
    <w:p>
      <w:pPr>
        <w:spacing w:after="0" w:line="128" w:lineRule="exact"/>
        <w:rPr>
          <w:rFonts w:ascii="Arial" w:cs="Arial" w:eastAsia="Arial" w:hAnsi="Arial"/>
          <w:sz w:val="17"/>
          <w:szCs w:val="17"/>
          <w:color w:val="auto"/>
        </w:rPr>
      </w:pPr>
    </w:p>
    <w:p>
      <w:pPr>
        <w:ind w:left="1240" w:hanging="381"/>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the Notes;</w:t>
      </w:r>
    </w:p>
    <w:p>
      <w:pPr>
        <w:sectPr>
          <w:pgSz w:w="11900" w:h="16838" w:orient="portrait"/>
          <w:cols w:equalWidth="0" w:num="1">
            <w:col w:w="10940"/>
          </w:cols>
          <w:pgMar w:left="440" w:top="274" w:right="519" w:bottom="1440" w:gutter="0" w:footer="0" w:header="0"/>
        </w:sectPr>
      </w:pPr>
    </w:p>
    <w:bookmarkStart w:id="49" w:name="page50"/>
    <w:bookmarkEnd w:id="49"/>
    <w:p>
      <w:pPr>
        <w:ind w:right="60" w:firstLine="419"/>
        <w:spacing w:after="0" w:line="296" w:lineRule="auto"/>
        <w:tabs>
          <w:tab w:leader="none" w:pos="813"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default in the performance, or a breach, of any covenant or agreement by the Company under the Indenture (other than a covenant or agreement a default in whose performance or whose breach is elsewhere in this definition of Event of Default specifically dealt with), and continuance of such default or breach for a period of 60 days after there has been given, by registered or certified mail, to the Company by the Trustee or to the Company and the Trustee by the Holders of at least 25% in aggregate principal amount of the outstanding Notes a written notice specifying such default or breach and requiring it to be remedied and stating that such notice is a “Notice of Default” under the Indenture;</w:t>
      </w:r>
    </w:p>
    <w:p>
      <w:pPr>
        <w:spacing w:after="0" w:line="53" w:lineRule="exact"/>
        <w:rPr>
          <w:rFonts w:ascii="Arial" w:cs="Arial" w:eastAsia="Arial" w:hAnsi="Arial"/>
          <w:sz w:val="16"/>
          <w:szCs w:val="16"/>
          <w:color w:val="auto"/>
        </w:rPr>
      </w:pPr>
    </w:p>
    <w:p>
      <w:pPr>
        <w:ind w:firstLine="419"/>
        <w:spacing w:after="0" w:line="270" w:lineRule="auto"/>
        <w:tabs>
          <w:tab w:leader="none" w:pos="813"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default under any bond, debenture, note or other evidence of indebtedness for money borrowed by the Company (including obligations under leases required to be reflected on the balance sheet of the lessee as financing lease liabilities under generally accepted accounting principles but not including any indebtedness or obligations for which recourse is limited to one or more properties) in an aggregate principal amount in excess of $50,000,000 or under any mortgage, indenture or instrument under which there may be issued or by which there may be secured or evidenced any indebtedness for money borrowed by the Company (including such leases but not including such indebtedness or obligations for which recourse is limited to one or more properties) in an aggregate principal amount in excess of $50,000,000 by the Company,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w:t>
      </w:r>
    </w:p>
    <w:p>
      <w:pPr>
        <w:spacing w:after="0" w:line="72" w:lineRule="exact"/>
        <w:rPr>
          <w:rFonts w:ascii="Arial" w:cs="Arial" w:eastAsia="Arial" w:hAnsi="Arial"/>
          <w:sz w:val="17"/>
          <w:szCs w:val="17"/>
          <w:color w:val="auto"/>
        </w:rPr>
      </w:pPr>
    </w:p>
    <w:p>
      <w:pPr>
        <w:ind w:left="800" w:hanging="38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360" w:hanging="372"/>
        <w:spacing w:after="0"/>
        <w:tabs>
          <w:tab w:leader="none" w:pos="13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117" w:lineRule="exact"/>
        <w:rPr>
          <w:rFonts w:ascii="Arial" w:cs="Arial" w:eastAsia="Arial" w:hAnsi="Arial"/>
          <w:sz w:val="18"/>
          <w:szCs w:val="18"/>
          <w:color w:val="auto"/>
        </w:rPr>
      </w:pPr>
    </w:p>
    <w:p>
      <w:pPr>
        <w:ind w:left="1380" w:hanging="392"/>
        <w:spacing w:after="0"/>
        <w:tabs>
          <w:tab w:leader="none" w:pos="138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appoints a Custodian of the Company or any Significant Subsidiary or for all or substantially all of either of its property, or</w:t>
      </w:r>
    </w:p>
    <w:p>
      <w:pPr>
        <w:spacing w:after="0" w:line="128" w:lineRule="exact"/>
        <w:rPr>
          <w:rFonts w:ascii="Arial" w:cs="Arial" w:eastAsia="Arial" w:hAnsi="Arial"/>
          <w:sz w:val="17"/>
          <w:szCs w:val="17"/>
          <w:color w:val="auto"/>
        </w:rPr>
      </w:pPr>
    </w:p>
    <w:p>
      <w:pPr>
        <w:ind w:left="980" w:right="20" w:firstLine="8"/>
        <w:spacing w:after="0" w:line="277" w:lineRule="auto"/>
        <w:tabs>
          <w:tab w:leader="none" w:pos="13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orders the liquidation of the Company or any Significant Subsidiary, and the order or decree remains unstayed and in effect for 90 days; or</w:t>
      </w:r>
    </w:p>
    <w:p>
      <w:pPr>
        <w:spacing w:after="0" w:line="62" w:lineRule="exact"/>
        <w:rPr>
          <w:rFonts w:ascii="Arial" w:cs="Arial" w:eastAsia="Arial" w:hAnsi="Arial"/>
          <w:sz w:val="18"/>
          <w:szCs w:val="18"/>
          <w:color w:val="auto"/>
        </w:rPr>
      </w:pPr>
    </w:p>
    <w:p>
      <w:pPr>
        <w:ind w:left="800" w:hanging="38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117" w:lineRule="exact"/>
        <w:rPr>
          <w:rFonts w:ascii="Arial" w:cs="Arial" w:eastAsia="Arial" w:hAnsi="Arial"/>
          <w:sz w:val="18"/>
          <w:szCs w:val="18"/>
          <w:color w:val="auto"/>
        </w:rPr>
      </w:pPr>
    </w:p>
    <w:p>
      <w:pPr>
        <w:ind w:left="1360" w:hanging="372"/>
        <w:spacing w:after="0"/>
        <w:tabs>
          <w:tab w:leader="none" w:pos="13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117" w:lineRule="exact"/>
        <w:rPr>
          <w:rFonts w:ascii="Arial" w:cs="Arial" w:eastAsia="Arial" w:hAnsi="Arial"/>
          <w:sz w:val="18"/>
          <w:szCs w:val="18"/>
          <w:color w:val="auto"/>
        </w:rPr>
      </w:pPr>
    </w:p>
    <w:p>
      <w:pPr>
        <w:ind w:left="1380" w:hanging="392"/>
        <w:spacing w:after="0"/>
        <w:tabs>
          <w:tab w:leader="none" w:pos="13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117" w:lineRule="exact"/>
        <w:rPr>
          <w:rFonts w:ascii="Arial" w:cs="Arial" w:eastAsia="Arial" w:hAnsi="Arial"/>
          <w:sz w:val="18"/>
          <w:szCs w:val="18"/>
          <w:color w:val="auto"/>
        </w:rPr>
      </w:pPr>
    </w:p>
    <w:p>
      <w:pPr>
        <w:ind w:left="1360" w:hanging="372"/>
        <w:spacing w:after="0"/>
        <w:tabs>
          <w:tab w:leader="none" w:pos="13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117" w:lineRule="exact"/>
        <w:rPr>
          <w:rFonts w:ascii="Arial" w:cs="Arial" w:eastAsia="Arial" w:hAnsi="Arial"/>
          <w:sz w:val="18"/>
          <w:szCs w:val="18"/>
          <w:color w:val="auto"/>
        </w:rPr>
      </w:pPr>
    </w:p>
    <w:p>
      <w:pPr>
        <w:ind w:left="1380" w:hanging="392"/>
        <w:spacing w:after="0"/>
        <w:tabs>
          <w:tab w:leader="none" w:pos="13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20"/>
          </w:cols>
          <w:pgMar w:left="880" w:top="274" w:right="499" w:bottom="1440" w:gutter="0" w:footer="0" w:header="0"/>
        </w:sectPr>
      </w:pPr>
    </w:p>
    <w:bookmarkStart w:id="50" w:name="page51"/>
    <w:bookmarkEnd w:id="50"/>
    <w:p>
      <w:pPr>
        <w:ind w:right="2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defeasance and covenant defeasance provisions of the Indenture apply to the Notes. The Notes will not be entitled to the benefits of any sinking fund.</w:t>
      </w:r>
    </w:p>
    <w:p>
      <w:pPr>
        <w:spacing w:after="0" w:line="170"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The Notes are subject to redemption at any time, in whole or in part, at the election of the Company, at a redemption price equal to (x) if the Notes are redeemed before January 15, 2026 (the “Par Call Date”), the sum of (1) 100% of the principal amount of the Notes being redeemed plus accrued and unpaid interest thereon up to, but excluding, the Redemption Date, and (2) the Make-Whole Amount or (y) if the Notes are redeemed on or after the Par Call Date, 100% of the principal amount of the Notes to be redeemed plus accrued and unpaid interest to, but excluding,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40" w:firstLine="42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Make-Whole Amount</w:t>
      </w:r>
      <w:r>
        <w:rPr>
          <w:rFonts w:ascii="Arial" w:cs="Arial" w:eastAsia="Arial" w:hAnsi="Arial"/>
          <w:sz w:val="16"/>
          <w:szCs w:val="16"/>
          <w:color w:val="auto"/>
        </w:rPr>
        <w:t>” means, in connection with any redemption of the Notes, the excess, if any, of (x) the aggregate present value as of the Redemption Date of each dollar of principal being redeemed and the amount of interest, calculated by the Company, excluding interest accrued to the Redemption Date, that would have been payable in respect of such dollar if such redemption had been made on the Par Call Date, determined by discounting, on a semi-annual basis, such principal and interest at the Reinvestment Rate, determined on the third Business Day preceding the date notice of such redemption is given, from the respective dates on which the principal and interest would have been payable if such redemption had been made on the Par Call Date, over (y) the aggregate principal amount of the Notes being redeemed.</w:t>
      </w:r>
    </w:p>
    <w:p>
      <w:pPr>
        <w:spacing w:after="0" w:line="56" w:lineRule="exact"/>
        <w:rPr>
          <w:sz w:val="20"/>
          <w:szCs w:val="20"/>
          <w:color w:val="auto"/>
        </w:rPr>
      </w:pPr>
    </w:p>
    <w:p>
      <w:pPr>
        <w:ind w:left="440" w:right="2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Reinvestment Rate</w:t>
      </w:r>
      <w:r>
        <w:rPr>
          <w:rFonts w:ascii="Arial" w:cs="Arial" w:eastAsia="Arial" w:hAnsi="Arial"/>
          <w:sz w:val="17"/>
          <w:szCs w:val="17"/>
          <w:color w:val="auto"/>
        </w:rPr>
        <w:t>” means a rate per annum equal to the sum of twenty basis points (0.20%) plus the yield on treasury securities at constant maturity under the heading “Week Ending” published in the Statistical Release under the caption “Treasury Constant Maturities” for the maturity (rounded to the nearest month) corresponding to the remaining life to maturity of the Notes (which maturity shall be deemed to be the Par Call Date) as of the payment date of the principal being redeemed. If no maturity exactly corresponds to such maturity, yields for the two published maturities most closely corresponding to such maturity shall be calculated pursuant to the immediately preceding sentence and the Reinvestment Rate shall be interpolated or extrapolated from such yields on a straight-line basis, rounding in each of such relevant periods to the nearest month. For purposes of calculating the Reinvestment Rate, the most recent Statistical Release published prior to the date of determination of the Make-Whole Amount shall be used. If the format or content of the Statistical Release changes in a manner that precludes determination of the yield on treasury in the above manner, then the yield on treasury will be determined in the manner that most closely approximates the above manner, as the Company reasonably determines.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51" w:name="page52"/>
    <w:bookmarkEnd w:id="51"/>
    <w:p>
      <w:pPr>
        <w:jc w:val="both"/>
        <w:ind w:left="440" w:right="40" w:firstLine="423"/>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i w:val="1"/>
          <w:iCs w:val="1"/>
          <w:color w:val="auto"/>
        </w:rPr>
        <w:t>Statistical Release</w:t>
      </w:r>
      <w:r>
        <w:rPr>
          <w:rFonts w:ascii="Arial" w:cs="Arial" w:eastAsia="Arial" w:hAnsi="Arial"/>
          <w:sz w:val="16"/>
          <w:szCs w:val="16"/>
          <w:color w:val="auto"/>
        </w:rPr>
        <w:t>” means the statistical release designated “Selected Interest Rates (Daily)—H.15” or any successor publication which is published by the Federal Reserve System and which establishes yields on actively traded United States government securities adjusted to constant maturities or, if such statistical release is not published at the time of any determination under the Indenture, then any publicly available source of similar market data used for this purpose in accordance with customary market practice which the Company shall designate.</w:t>
      </w:r>
    </w:p>
    <w:p>
      <w:pPr>
        <w:spacing w:after="0" w:line="157"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Notice of any redemption of the Notes will be given by mail to Holders of Securities, not less than 15 nor more than 60 days prior to the Redemption Date, all as provided in the Indenture.</w:t>
      </w:r>
    </w:p>
    <w:p>
      <w:pPr>
        <w:spacing w:after="0" w:line="170"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70" w:lineRule="exact"/>
        <w:rPr>
          <w:sz w:val="20"/>
          <w:szCs w:val="20"/>
          <w:color w:val="auto"/>
        </w:rPr>
      </w:pPr>
    </w:p>
    <w:p>
      <w:pPr>
        <w:ind w:right="120" w:firstLine="991"/>
        <w:spacing w:after="0" w:line="269"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85"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Company will not, and will not permit any Subsidiary to, incur any Debt (as defined below) if, immediately after giving effect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incurrence of such Debt and the application of the proceeds thereof, the aggregate principal amount of all outstanding Debt of the Company and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Subsidiaries on a consolidated basis determined in accordance with generally accepted accounting principles is greater than 60% of the sum of (without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duplication) (i) Total Assets as of the end of the calendar quarter covered in the Company’s Annual Report on Form 10-K or Quarterly Report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Form 10-Q, as the case may be, most recently filed with the Securities and Exchange Commission (or, if such filing is not permitted under the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Act of 1934, with the Trustee) prior to the incurrence of such additional Debt and (ii) the purchase price of any real estate assets or mortgages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receivable acquired, and the amount of any securities offering proceeds received (to the extent such proceeds were not used to acquire real estate assets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52" w:name="page53"/>
    <w:bookmarkEnd w:id="52"/>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mortgages receivable or used to reduce Debt), by the Company or any Subsidiary since the end of such calendar quarter, including those proceeds obtained in connection with the incurrence of such additional Debt.</w:t>
      </w:r>
    </w:p>
    <w:p>
      <w:pPr>
        <w:spacing w:after="0" w:line="170" w:lineRule="exact"/>
        <w:rPr>
          <w:sz w:val="20"/>
          <w:szCs w:val="20"/>
          <w:color w:val="auto"/>
        </w:rPr>
      </w:pPr>
    </w:p>
    <w:p>
      <w:pPr>
        <w:ind w:right="40" w:firstLine="991"/>
        <w:spacing w:after="0" w:line="287" w:lineRule="auto"/>
        <w:rPr>
          <w:sz w:val="20"/>
          <w:szCs w:val="20"/>
          <w:color w:val="auto"/>
        </w:rPr>
      </w:pPr>
      <w:r>
        <w:rPr>
          <w:rFonts w:ascii="Arial" w:cs="Arial" w:eastAsia="Arial" w:hAnsi="Arial"/>
          <w:sz w:val="16"/>
          <w:szCs w:val="16"/>
          <w:color w:val="auto"/>
        </w:rPr>
        <w:t>In addition to the foregoing limitation on the incurrence of Debt, the Company will not, and will not permit any Subsidiary to, incur any Debt secured by any mortgage, lien, charge, pledge, encumbrance or security interest of any kind upon any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from Total Assets.</w:t>
      </w:r>
    </w:p>
    <w:p>
      <w:pPr>
        <w:spacing w:after="0" w:line="168"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53" w:name="page54"/>
    <w:bookmarkEnd w:id="53"/>
    <w:p>
      <w:pPr>
        <w:ind w:right="4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4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79" w:lineRule="exact"/>
        <w:rPr>
          <w:sz w:val="20"/>
          <w:szCs w:val="20"/>
          <w:color w:val="auto"/>
        </w:rPr>
      </w:pPr>
    </w:p>
    <w:p>
      <w:pPr>
        <w:ind w:left="44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76" w:lineRule="exact"/>
        <w:rPr>
          <w:sz w:val="20"/>
          <w:szCs w:val="20"/>
          <w:color w:val="auto"/>
        </w:rPr>
      </w:pPr>
    </w:p>
    <w:p>
      <w:pPr>
        <w:ind w:left="440" w:right="4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76" w:lineRule="exact"/>
        <w:rPr>
          <w:sz w:val="20"/>
          <w:szCs w:val="20"/>
          <w:color w:val="auto"/>
        </w:rPr>
      </w:pPr>
    </w:p>
    <w:p>
      <w:pPr>
        <w:ind w:left="440" w:right="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Funds from Operations (as defined below) of the Company and its Subsidiaries plus amounts which have been deducted for interest on Debt of the Company and its Subsidiaries.</w:t>
      </w:r>
    </w:p>
    <w:p>
      <w:pPr>
        <w:spacing w:after="0" w:line="62" w:lineRule="exact"/>
        <w:rPr>
          <w:sz w:val="20"/>
          <w:szCs w:val="20"/>
          <w:color w:val="auto"/>
        </w:rPr>
      </w:pPr>
    </w:p>
    <w:p>
      <w:pPr>
        <w:ind w:left="440" w:firstLine="42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Company or any Subsidiary with respect to redemption, repayment or other repurchase of any Disqualified Stock or (v) any lease of property by the Company or any Subsidiary as lessee which is reflected on the Company’s consolidated balance sheet as a financing lease liability in accordance with generally accepted accounting principles to the extent, in the case of items of indebtedness under (i) through (iii) above, that any such items (other than letters of credit) would appear as a liability on the Company’s consolidated balance sheet in accordance with generally accepted accounting principles,</w:t>
      </w:r>
    </w:p>
    <w:p>
      <w:pPr>
        <w:spacing w:after="0" w:line="1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40" w:top="274" w:right="539" w:bottom="1440" w:gutter="0" w:footer="0" w:header="0"/>
        </w:sectPr>
      </w:pPr>
    </w:p>
    <w:bookmarkStart w:id="54" w:name="page55"/>
    <w:bookmarkEnd w:id="54"/>
    <w:p>
      <w:pPr>
        <w:ind w:left="4"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70" w:lineRule="exact"/>
        <w:rPr>
          <w:sz w:val="20"/>
          <w:szCs w:val="20"/>
          <w:color w:val="auto"/>
        </w:rPr>
      </w:pPr>
    </w:p>
    <w:p>
      <w:pPr>
        <w:ind w:left="4" w:right="40" w:firstLine="42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w:t>
      </w:r>
    </w:p>
    <w:p>
      <w:pPr>
        <w:ind w:left="4" w:hanging="4"/>
        <w:spacing w:after="0" w:line="255" w:lineRule="auto"/>
        <w:tabs>
          <w:tab w:leader="none" w:pos="218"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82" w:lineRule="exact"/>
        <w:rPr>
          <w:sz w:val="20"/>
          <w:szCs w:val="20"/>
          <w:color w:val="auto"/>
        </w:rPr>
      </w:pPr>
    </w:p>
    <w:p>
      <w:pPr>
        <w:ind w:left="4" w:right="4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62" w:lineRule="exact"/>
        <w:rPr>
          <w:sz w:val="20"/>
          <w:szCs w:val="20"/>
          <w:color w:val="auto"/>
        </w:rPr>
      </w:pPr>
    </w:p>
    <w:p>
      <w:pPr>
        <w:ind w:left="4" w:right="240" w:firstLine="42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Assets</w:t>
      </w:r>
      <w:r>
        <w:rPr>
          <w:rFonts w:ascii="Arial" w:cs="Arial" w:eastAsia="Arial" w:hAnsi="Arial"/>
          <w:sz w:val="16"/>
          <w:szCs w:val="16"/>
          <w:color w:val="auto"/>
        </w:rPr>
        <w:t>”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16" w:lineRule="exact"/>
        <w:rPr>
          <w:sz w:val="20"/>
          <w:szCs w:val="20"/>
          <w:color w:val="auto"/>
        </w:rPr>
      </w:pPr>
    </w:p>
    <w:p>
      <w:pPr>
        <w:ind w:left="4" w:right="8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the cost (original cost plus capital improvements) of real estate assets and finance lease right of use assets of the Company and its Subsidiaries on such date, before depreciation and amortization determined on a consolidated basis in accordance with generally accepted accounting principles.</w:t>
      </w:r>
    </w:p>
    <w:p>
      <w:pPr>
        <w:spacing w:after="0" w:line="76" w:lineRule="exact"/>
        <w:rPr>
          <w:sz w:val="20"/>
          <w:szCs w:val="20"/>
          <w:color w:val="auto"/>
        </w:rPr>
      </w:pPr>
    </w:p>
    <w:p>
      <w:pPr>
        <w:ind w:left="4" w:right="100" w:firstLine="42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Unencumbered Total Asset Value</w:t>
      </w:r>
      <w:r>
        <w:rPr>
          <w:rFonts w:ascii="Arial" w:cs="Arial" w:eastAsia="Arial" w:hAnsi="Arial"/>
          <w:sz w:val="16"/>
          <w:szCs w:val="16"/>
          <w:color w:val="auto"/>
        </w:rPr>
        <w:t>”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 provided, however, that in determining Unencumbered Total Asset Value for purposes of the covenant relating to the maintenance of Unencumbered Total Asset Value, all investments by the Company and any of the Company’s subsidiaries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98"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4"/>
          </w:cols>
          <w:pgMar w:left="876" w:top="274" w:right="479" w:bottom="1440" w:gutter="0" w:footer="0" w:header="0"/>
        </w:sectPr>
      </w:pPr>
    </w:p>
    <w:bookmarkStart w:id="55" w:name="page56"/>
    <w:bookmarkEnd w:id="55"/>
    <w:p>
      <w:pPr>
        <w:ind w:right="40"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Administrative Agent (as such term is defined in the Amended and Restated Credit Agreement dated as of July 25, 2019, between the Company and the various financial institutions named therein,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78"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92"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84"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Securities of this series are issuable only in registered form without coupons in denominations of $2,000 and any integral multiples of $1,000 in excess thereof.</w:t>
      </w:r>
    </w:p>
    <w:p>
      <w:pPr>
        <w:spacing w:after="0" w:line="170"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4"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4" w:right="51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OF</w:t>
      </w:r>
      <w:r>
        <w:rPr>
          <w:rFonts w:ascii="Arial" w:cs="Arial" w:eastAsia="Arial" w:hAnsi="Arial"/>
          <w:sz w:val="18"/>
          <w:szCs w:val="18"/>
          <w:color w:val="auto"/>
        </w:rPr>
        <w:t>A S</w:t>
      </w:r>
      <w:r>
        <w:rPr>
          <w:rFonts w:ascii="Arial" w:cs="Arial" w:eastAsia="Arial" w:hAnsi="Arial"/>
          <w:sz w:val="14"/>
          <w:szCs w:val="14"/>
          <w:color w:val="auto"/>
        </w:rPr>
        <w:t>ECURITIES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EUTSCHE</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LLC</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c/o</w:t>
        <w:tab/>
        <w:t>BofA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color w:val="auto"/>
        </w:rPr>
        <w:t>Federal Realty Investment Trust, a Maryland real estate investment trust (the “Company”), proposes, subject to the terms and conditions stated herein and in the Underwriting Agreement, dated October 8, 2020 (the “Underwriting Agreement”), between the Company on the one hand and BofA Securities, Inc., Deutsche Bank Securities Inc., J.P. Morgan Securities, LLC and Wells Fargo Securities, LLC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w:t>
      </w:r>
    </w:p>
    <w:p>
      <w:pPr>
        <w:sectPr>
          <w:pgSz w:w="11900" w:h="16838" w:orient="portrait"/>
          <w:cols w:equalWidth="0" w:num="1">
            <w:col w:w="11020"/>
          </w:cols>
          <w:pgMar w:left="440" w:top="121" w:right="439" w:bottom="1440" w:gutter="0" w:footer="0" w:header="0"/>
        </w:sectPr>
      </w:pPr>
    </w:p>
    <w:bookmarkStart w:id="57" w:name="page58"/>
    <w:bookmarkEnd w:id="57"/>
    <w:p>
      <w:pPr>
        <w:ind w:left="4" w:right="2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46"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A supplement to the Prospectus relating to the Designated Securities, in the form heretofore delivered to you, is now proposed to be filed with the Commission.</w:t>
      </w:r>
    </w:p>
    <w:p>
      <w:pPr>
        <w:spacing w:after="0" w:line="170" w:lineRule="exact"/>
        <w:rPr>
          <w:sz w:val="20"/>
          <w:szCs w:val="20"/>
          <w:color w:val="auto"/>
        </w:rPr>
      </w:pPr>
    </w:p>
    <w:p>
      <w:pPr>
        <w:jc w:val="both"/>
        <w:ind w:left="4" w:right="100" w:firstLine="440"/>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87" w:lineRule="exact"/>
        <w:rPr>
          <w:sz w:val="20"/>
          <w:szCs w:val="20"/>
          <w:color w:val="auto"/>
        </w:rPr>
      </w:pPr>
    </w:p>
    <w:p>
      <w:pPr>
        <w:jc w:val="both"/>
        <w:ind w:left="4" w:right="180" w:firstLine="440"/>
        <w:spacing w:after="0" w:line="286" w:lineRule="auto"/>
        <w:rPr>
          <w:sz w:val="20"/>
          <w:szCs w:val="20"/>
          <w:color w:val="auto"/>
        </w:rPr>
      </w:pPr>
      <w:r>
        <w:rPr>
          <w:rFonts w:ascii="Arial" w:cs="Arial" w:eastAsia="Arial" w:hAnsi="Arial"/>
          <w:sz w:val="17"/>
          <w:szCs w:val="17"/>
          <w:color w:val="auto"/>
        </w:rPr>
        <w:t>In the event that any Underwriter that is a Covered Entity becomes subject to a proceeding under a U.S. Special Resolution Regime, the transfer from such Underwriter of this Underwriting Agreement, and any interest and obligation in or under this Underwriting Agreement, will be effective to the same extent as the transfer would be effective under the U.S. Special Resolution Regime.</w:t>
      </w:r>
    </w:p>
    <w:p>
      <w:pPr>
        <w:spacing w:after="0" w:line="165"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7"/>
          <w:szCs w:val="17"/>
          <w:color w:val="auto"/>
        </w:rPr>
        <w:t>In the event that any Underwriter that is a Covered Entity or a BHC Act Affiliate of such Underwriter becomes subject to a proceeding under a U.S. Special Resolution Regime, Default Rights under this Underwriting Agreement that may be exercised against such Underwriter are permitted to be exercised to no greater extent than such Default Rights could be exercised under the U.S. Special Resolution Regime.</w:t>
      </w:r>
    </w:p>
    <w:p>
      <w:pPr>
        <w:spacing w:after="0" w:line="165"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For purposes of foregoing two paragraphs, “</w:t>
      </w:r>
      <w:r>
        <w:rPr>
          <w:rFonts w:ascii="Arial" w:cs="Arial" w:eastAsia="Arial" w:hAnsi="Arial"/>
          <w:sz w:val="16"/>
          <w:szCs w:val="16"/>
          <w:u w:val="single" w:color="auto"/>
          <w:color w:val="auto"/>
        </w:rPr>
        <w:t>BHC Act Affiliate</w:t>
      </w:r>
      <w:r>
        <w:rPr>
          <w:rFonts w:ascii="Arial" w:cs="Arial" w:eastAsia="Arial" w:hAnsi="Arial"/>
          <w:sz w:val="16"/>
          <w:szCs w:val="16"/>
          <w:color w:val="auto"/>
        </w:rPr>
        <w:t>” has the meaning assigned to the term “affiliate” in, and shall be interpreted in accordance with, 12 U.S.C. § 1841(k); “</w:t>
      </w:r>
      <w:r>
        <w:rPr>
          <w:rFonts w:ascii="Arial" w:cs="Arial" w:eastAsia="Arial" w:hAnsi="Arial"/>
          <w:sz w:val="16"/>
          <w:szCs w:val="16"/>
          <w:u w:val="single" w:color="auto"/>
          <w:color w:val="auto"/>
        </w:rPr>
        <w:t>Covered Entity</w:t>
      </w:r>
      <w:r>
        <w:rPr>
          <w:rFonts w:ascii="Arial" w:cs="Arial" w:eastAsia="Arial" w:hAnsi="Arial"/>
          <w:sz w:val="16"/>
          <w:szCs w:val="16"/>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 47.2 or 382.1, as applicable; and “</w:t>
      </w:r>
      <w:r>
        <w:rPr>
          <w:rFonts w:ascii="Arial" w:cs="Arial" w:eastAsia="Arial" w:hAnsi="Arial"/>
          <w:sz w:val="16"/>
          <w:szCs w:val="16"/>
          <w:u w:val="single" w:color="auto"/>
          <w:color w:val="auto"/>
        </w:rPr>
        <w:t>U.S. Special Resolution Regime</w:t>
      </w:r>
      <w:r>
        <w:rPr>
          <w:rFonts w:ascii="Arial" w:cs="Arial" w:eastAsia="Arial" w:hAnsi="Arial"/>
          <w:sz w:val="16"/>
          <w:szCs w:val="16"/>
          <w:color w:val="auto"/>
        </w:rPr>
        <w:t>” means each of</w:t>
      </w:r>
    </w:p>
    <w:p>
      <w:pPr>
        <w:spacing w:after="0" w:line="2" w:lineRule="exact"/>
        <w:rPr>
          <w:sz w:val="20"/>
          <w:szCs w:val="20"/>
          <w:color w:val="auto"/>
        </w:rPr>
      </w:pPr>
    </w:p>
    <w:p>
      <w:pPr>
        <w:ind w:left="4" w:right="100" w:hanging="4"/>
        <w:spacing w:after="0" w:line="260" w:lineRule="auto"/>
        <w:tabs>
          <w:tab w:leader="none" w:pos="21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ectPr>
          <w:pgSz w:w="11900" w:h="16838" w:orient="portrait"/>
          <w:cols w:equalWidth="0" w:num="1">
            <w:col w:w="10984"/>
          </w:cols>
          <w:pgMar w:left="436" w:top="274" w:right="47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[REMAINDER OF THIS PAGE INTENTIONALLY LEFT BLANK]</w:t>
      </w:r>
    </w:p>
    <w:p>
      <w:pPr>
        <w:sectPr>
          <w:pgSz w:w="11900" w:h="16838" w:orient="portrait"/>
          <w:cols w:equalWidth="0" w:num="1">
            <w:col w:w="9019"/>
          </w:cols>
          <w:pgMar w:left="1440" w:top="274" w:right="1440" w:bottom="1440" w:gutter="0" w:footer="0" w:header="0"/>
        </w:sectPr>
      </w:pPr>
    </w:p>
    <w:bookmarkStart w:id="59" w:name="page60"/>
    <w:bookmarkEnd w:id="59"/>
    <w:p>
      <w:pPr>
        <w:ind w:left="9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1.2</w:t>
      </w:r>
    </w:p>
    <w:p>
      <w:pPr>
        <w:spacing w:after="0" w:line="229"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Daniel Guglielmone</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Executive Vice President-Chief Financial</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Officer and Treasurer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020"/>
          </w:cols>
          <w:pgMar w:left="440" w:top="270" w:right="4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OF</w:t>
      </w:r>
      <w:r>
        <w:rPr>
          <w:rFonts w:ascii="Arial" w:cs="Arial" w:eastAsia="Arial" w:hAnsi="Arial"/>
          <w:sz w:val="18"/>
          <w:szCs w:val="18"/>
          <w:color w:val="auto"/>
        </w:rPr>
        <w:t>A S</w:t>
      </w:r>
      <w:r>
        <w:rPr>
          <w:rFonts w:ascii="Arial" w:cs="Arial" w:eastAsia="Arial" w:hAnsi="Arial"/>
          <w:sz w:val="14"/>
          <w:szCs w:val="14"/>
          <w:color w:val="auto"/>
        </w:rPr>
        <w:t>ECURITIES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EUTSCHE</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Hicham Hamdouch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Hicham Hamdouch</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Lourdes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Lourdes Fisher</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Anguel Zaprianov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Anguel Zaprianov</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Maria Sramek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Maria Sramek</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Carolyn Hurley</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Underwriters named in Schedule I to this Pricing Agreement.</w:t>
      </w:r>
    </w:p>
    <w:p>
      <w:pPr>
        <w:spacing w:after="0" w:line="158"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020"/>
          </w:cols>
          <w:pgMar w:left="440" w:top="270" w:right="439" w:bottom="1440" w:gutter="0" w:footer="0" w:header="0"/>
        </w:sectPr>
      </w:pPr>
    </w:p>
    <w:bookmarkStart w:id="61" w:name="page62"/>
    <w:bookmarkEnd w:id="61"/>
    <w:tbl>
      <w:tblPr>
        <w:tblLayout w:type="fixed"/>
        <w:tblInd w:w="7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660" w:type="dxa"/>
            <w:vAlign w:val="bottom"/>
            <w:gridSpan w:val="2"/>
          </w:tcPr>
          <w:p>
            <w:pPr>
              <w:ind w:left="480"/>
              <w:spacing w:after="0"/>
              <w:rPr>
                <w:sz w:val="20"/>
                <w:szCs w:val="20"/>
                <w:color w:val="auto"/>
              </w:rPr>
            </w:pPr>
            <w:r>
              <w:rPr>
                <w:rFonts w:ascii="Arial" w:cs="Arial" w:eastAsia="Arial" w:hAnsi="Arial"/>
                <w:sz w:val="18"/>
                <w:szCs w:val="18"/>
                <w:color w:val="auto"/>
              </w:rPr>
              <w:t>SCHEDULE I</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1960" w:type="dxa"/>
            <w:vAlign w:val="bottom"/>
            <w:vMerge w:val="restart"/>
          </w:tcPr>
          <w:p>
            <w:pPr>
              <w:spacing w:after="0"/>
              <w:rPr>
                <w:sz w:val="24"/>
                <w:szCs w:val="24"/>
                <w:color w:val="auto"/>
              </w:rPr>
            </w:pPr>
          </w:p>
        </w:tc>
        <w:tc>
          <w:tcPr>
            <w:tcW w:w="344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w w:val="96"/>
              </w:rPr>
              <w:t>Principal Amount of</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3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3"/>
          </w:tcPr>
          <w:p>
            <w:pPr>
              <w:ind w:left="240"/>
              <w:spacing w:after="0" w:line="158" w:lineRule="exact"/>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03"/>
        </w:trPr>
        <w:tc>
          <w:tcPr>
            <w:tcW w:w="2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3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64,000,000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366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66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366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366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366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366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366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366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366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366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4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400,000,000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Sch. I</w:t>
      </w:r>
    </w:p>
    <w:p>
      <w:pPr>
        <w:sectPr>
          <w:pgSz w:w="11900" w:h="16838" w:orient="portrait"/>
          <w:cols w:equalWidth="0" w:num="1">
            <w:col w:w="9019"/>
          </w:cols>
          <w:pgMar w:left="1440" w:top="274" w:right="1440" w:bottom="1440" w:gutter="0" w:footer="0" w:header="0"/>
        </w:sectPr>
      </w:pPr>
    </w:p>
    <w:bookmarkStart w:id="62" w:name="page63"/>
    <w:bookmarkEnd w:id="62"/>
    <w:p>
      <w:pPr>
        <w:jc w:val="center"/>
        <w:ind w:right="-3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1.250% Notes due 2026 (the “Designated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$400,000,000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99.339% of the principal amount of the Designated Securities, plus accrued interest from October 13,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98.739% of the principal amount of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February 15, 2026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1.250% per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February 15 and August 15, beginning on February 15,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 and the Issuer Free Writing Prospectus</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Sch. II, Page 1</w:t>
      </w:r>
    </w:p>
    <w:p>
      <w:pPr>
        <w:sectPr>
          <w:pgSz w:w="11900" w:h="16838" w:orient="portrait"/>
          <w:cols w:equalWidth="0" w:num="1">
            <w:col w:w="10600"/>
          </w:cols>
          <w:pgMar w:left="440" w:top="274" w:right="8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Sinking Fund Provisions: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defeasance and covenant defeasance provisions of the Indenture apply to the Designated Securities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3:00 p.m. (Eastern time) on October 8, 2020 or such other time as agreed by the Company and the Representatives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October 13,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Sidley Austin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1540 Broadway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NY8-540-26-02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(646) 855-5958</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High Grade Transaction Management/Legal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dg.hg_ua_notices@bofa.com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Debt Capital Markets Syndicate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(212) 469-4877, with a copy to:</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(646) 374-1071</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10179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(212) 834-6081</w:t>
      </w:r>
    </w:p>
    <w:p>
      <w:pPr>
        <w:spacing w:after="0" w:line="14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Sch. II, Page 2</w:t>
      </w:r>
    </w:p>
    <w:p>
      <w:pPr>
        <w:sectPr>
          <w:pgSz w:w="11900" w:h="16838" w:orient="portrait"/>
          <w:cols w:equalWidth="0" w:num="1">
            <w:col w:w="10019"/>
          </w:cols>
          <w:pgMar w:left="440" w:top="270" w:right="1440"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Attention: Investment Grade Syndicate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550 South Tryon Street, 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Transaction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tmgcapitalmarkets@wellsfargo.com</w:t>
      </w:r>
    </w:p>
    <w:p>
      <w:pPr>
        <w:spacing w:after="0" w:line="143" w:lineRule="exact"/>
        <w:rPr>
          <w:sz w:val="20"/>
          <w:szCs w:val="20"/>
          <w:color w:val="auto"/>
        </w:rPr>
      </w:pPr>
    </w:p>
    <w:p>
      <w:pPr>
        <w:jc w:val="right"/>
        <w:ind w:right="3979"/>
        <w:spacing w:after="0"/>
        <w:rPr>
          <w:sz w:val="20"/>
          <w:szCs w:val="20"/>
          <w:color w:val="auto"/>
        </w:rPr>
      </w:pPr>
      <w:r>
        <w:rPr>
          <w:rFonts w:ascii="Arial" w:cs="Arial" w:eastAsia="Arial" w:hAnsi="Arial"/>
          <w:sz w:val="18"/>
          <w:szCs w:val="18"/>
          <w:color w:val="auto"/>
        </w:rPr>
        <w:t>Sch. II, Page 3</w:t>
      </w:r>
    </w:p>
    <w:p>
      <w:pPr>
        <w:sectPr>
          <w:pgSz w:w="11900" w:h="16838" w:orient="portrait"/>
          <w:cols w:equalWidth="0" w:num="1">
            <w:col w:w="9579"/>
          </w:cols>
          <w:pgMar w:left="880" w:top="274" w:right="1440"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13,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acting as counsel for Federal Realty Investment Trust, a Maryland real estate investment trust (the “Company”), in connection with the issuance and sale of $400,000,000 aggregate principal amount of 1.250% Notes due 2026 (the “Notes”) of the Company, pursuant to the Underwriting Agreement and related Pricing Agreement, each dated October 8, 2020, between the several underwriters listed in Schedule I to the Pricing Agreement (the “Underwriters”) and the Company (collectively, the “Agreement”). The Notes are being issued under the Indenture dated as of September 1, 1998 between the Company and U.S. Bank National Association (successor trustee to Wachovia Bank, National Association (successor trustee to First Union National Bank)), as Trustee (together with the officers’ certificate dated October 13, 2020 setting forth the terms of the Notes, the “Indenture”).</w:t>
      </w:r>
    </w:p>
    <w:p>
      <w:pPr>
        <w:spacing w:after="0" w:line="16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reviewed (a) the Agreement, (b) the Indenture, (c) the Registration Statement on Form S-3 (File No. 333-224701) (the “Registration Statement”) filed by the Company to register the offer and sale of the Notes with the Securities and Exchange Commission (the “Commission”) under the Securities Act of 1933 (the “Securities Act”), (d) the Prospectus dated May 7, 2018, as supplemented by the Prospectus Supplement dated October 8, 2020, relating to the offer and sale of the Notes (the “Prospectus”), filed by the Company with the Commission pursuant to Rule 424(b)(5) under the Securities Act. We have also reviewed such other agreements, documents, records, certificates and other materials, and have satisfied ourselves as to such other matters, as we have considered relevant or necessary as a basis for this opinion.</w:t>
      </w:r>
    </w:p>
    <w:p>
      <w:pPr>
        <w:spacing w:after="0" w:line="17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 In delivering this opinion, we have relied, without independent verification, as to factual matters, on certificates and other written or oral statements of governmental and other public officials and of officers and representatives of the Company, the Underwriters and the Trustee.</w:t>
      </w:r>
    </w:p>
    <w:p>
      <w:pPr>
        <w:spacing w:after="0" w:line="16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On the basis of the assumptions and subject to the qualifications and limitations set forth herein, we are of the opinion that the Notes constitute the valid and legally binding obligations of the Company enforceable against the Company in accordance with their terms, except as may be subject to and limited by the effect of (a) applicable bankruptcy, insolvency, reorganization, fraudulent conveyance and other similar laws affecting creditors’ rights generally, (b) general equitable principles (whether considered in a proceeding in equity or at law) and (c) requirements of reasonableness, good faith, materiality and fair dealing and the discretion of the court before which any matter may be brought.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limited to the law of the States of New York and Maryland, in each case as in effect on the date hereof.</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hereby consent to the filing of this opinion as Exhibit 5.1 to the Company’s Current Report on Form 8-K filed by the Company with the Commission on October 13, 2020 and the incorporation thereof in the Registration Statement and to the use of our name under the captions “Legal Matters” in the Prospectus Supplement. In giving this consent, we do not thereby admit that we are within the category of persons whose consent is required under Section 7 of the Securities Act or the rules and regulations of the Commission promulgated thereunder.</w:t>
      </w:r>
    </w:p>
    <w:p>
      <w:pPr>
        <w:sectPr>
          <w:pgSz w:w="11900" w:h="16838" w:orient="portrait"/>
          <w:cols w:equalWidth="0" w:num="1">
            <w:col w:w="11020"/>
          </w:cols>
          <w:pgMar w:left="440" w:top="121" w:right="4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pacing w:after="0" w:line="158"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19"/>
          </w:cols>
          <w:pgMar w:left="440" w:top="274" w:right="1440" w:bottom="1440" w:gutter="0" w:footer="0" w:header="0"/>
        </w:sectPr>
      </w:pPr>
    </w:p>
    <w:bookmarkStart w:id="67" w:name="page68"/>
    <w:bookmarkEnd w:id="67"/>
    <w:p>
      <w:pPr>
        <w:ind w:left="10184"/>
        <w:spacing w:after="0"/>
        <w:rPr>
          <w:sz w:val="20"/>
          <w:szCs w:val="20"/>
          <w:color w:val="auto"/>
        </w:rPr>
      </w:pPr>
      <w:r>
        <w:rPr>
          <w:rFonts w:ascii="Arial" w:cs="Arial" w:eastAsia="Arial" w:hAnsi="Arial"/>
          <w:sz w:val="16"/>
          <w:szCs w:val="16"/>
          <w:b w:val="1"/>
          <w:bCs w:val="1"/>
          <w:color w:val="auto"/>
        </w:rPr>
        <w:t>Exhibit 8.1</w:t>
      </w:r>
    </w:p>
    <w:p>
      <w:pPr>
        <w:sectPr>
          <w:pgSz w:w="11900" w:h="16838" w:orient="portrait"/>
          <w:cols w:equalWidth="0" w:num="1">
            <w:col w:w="11024"/>
          </w:cols>
          <w:pgMar w:left="436" w:top="121" w:right="439" w:bottom="1440" w:gutter="0" w:footer="0" w:header="0"/>
        </w:sectPr>
      </w:pPr>
    </w:p>
    <w:p>
      <w:pPr>
        <w:spacing w:after="0" w:line="279" w:lineRule="exact"/>
        <w:rPr>
          <w:sz w:val="20"/>
          <w:szCs w:val="20"/>
          <w:color w:val="auto"/>
        </w:rPr>
      </w:pPr>
    </w:p>
    <w:p>
      <w:pPr>
        <w:ind w:left="6844"/>
        <w:spacing w:after="0"/>
        <w:rPr>
          <w:sz w:val="20"/>
          <w:szCs w:val="20"/>
          <w:color w:val="auto"/>
        </w:rPr>
      </w:pPr>
      <w:r>
        <w:rPr>
          <w:rFonts w:ascii="Arial" w:cs="Arial" w:eastAsia="Arial" w:hAnsi="Arial"/>
          <w:sz w:val="16"/>
          <w:szCs w:val="16"/>
          <w:color w:val="auto"/>
        </w:rPr>
        <w:t>1200 Seventeenth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857250" cy="548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0" cy="548640"/>
                    </a:xfrm>
                    <a:prstGeom prst="rect">
                      <a:avLst/>
                    </a:prstGeom>
                    <a:noFill/>
                  </pic:spPr>
                </pic:pic>
              </a:graphicData>
            </a:graphic>
          </wp:anchor>
        </w:drawing>
      </w:r>
    </w:p>
    <w:p>
      <w:pPr>
        <w:spacing w:after="0" w:line="26" w:lineRule="exact"/>
        <w:rPr>
          <w:sz w:val="20"/>
          <w:szCs w:val="20"/>
          <w:color w:val="auto"/>
        </w:rPr>
      </w:pPr>
    </w:p>
    <w:p>
      <w:pPr>
        <w:ind w:left="6844"/>
        <w:spacing w:after="0"/>
        <w:rPr>
          <w:sz w:val="20"/>
          <w:szCs w:val="20"/>
          <w:color w:val="auto"/>
        </w:rPr>
      </w:pPr>
      <w:r>
        <w:rPr>
          <w:rFonts w:ascii="Arial" w:cs="Arial" w:eastAsia="Arial" w:hAnsi="Arial"/>
          <w:sz w:val="16"/>
          <w:szCs w:val="16"/>
          <w:color w:val="auto"/>
        </w:rPr>
        <w:t>Washington, DC 20036-3006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Tel 202.663.8000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 202.663.8007</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www.pillsburylaw.com</w:t>
      </w:r>
    </w:p>
    <w:p>
      <w:pPr>
        <w:spacing w:after="0" w:line="200" w:lineRule="exact"/>
        <w:rPr>
          <w:sz w:val="20"/>
          <w:szCs w:val="20"/>
          <w:color w:val="auto"/>
        </w:rPr>
      </w:pPr>
    </w:p>
    <w:p>
      <w:pPr>
        <w:sectPr>
          <w:pgSz w:w="11900" w:h="16838" w:orient="portrait"/>
          <w:cols w:equalWidth="0" w:num="2">
            <w:col w:w="8964" w:space="180"/>
            <w:col w:w="1880"/>
          </w:cols>
          <w:pgMar w:left="436" w:top="121" w:right="439" w:bottom="1440" w:gutter="0" w:footer="0" w:header="0"/>
          <w:type w:val="continuous"/>
        </w:sectPr>
      </w:pPr>
    </w:p>
    <w:p>
      <w:pPr>
        <w:spacing w:after="0" w:line="252"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October 8,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October 8, 2020 (the “Prospectus Supplement”) to a prospectus (the “Base Prospectus”) filed as part of a registration statement on Form S-3 (File No. 333-224701, the “Registration Statement,” which term includes the Base Prospectus, Prospectus Supplement, and all documents incorporated and deemed to be incorporated by reference therein) with the Securities and Exchange Commission.</w:t>
      </w:r>
    </w:p>
    <w:p>
      <w:pPr>
        <w:spacing w:after="0" w:line="188" w:lineRule="exact"/>
        <w:rPr>
          <w:sz w:val="20"/>
          <w:szCs w:val="20"/>
          <w:color w:val="auto"/>
        </w:rPr>
      </w:pPr>
    </w:p>
    <w:p>
      <w:pPr>
        <w:jc w:val="both"/>
        <w:ind w:left="4" w:right="40" w:firstLine="440"/>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spacing w:after="0" w:line="2" w:lineRule="exact"/>
        <w:rPr>
          <w:sz w:val="20"/>
          <w:szCs w:val="20"/>
          <w:color w:val="auto"/>
        </w:rPr>
      </w:pPr>
    </w:p>
    <w:p>
      <w:pPr>
        <w:ind w:left="4" w:right="160" w:hanging="4"/>
        <w:spacing w:after="0" w:line="268" w:lineRule="auto"/>
        <w:tabs>
          <w:tab w:leader="none" w:pos="259" w:val="left"/>
        </w:tabs>
        <w:numPr>
          <w:ilvl w:val="0"/>
          <w:numId w:val="47"/>
        </w:numPr>
        <w:rPr>
          <w:rFonts w:ascii="Arial" w:cs="Arial" w:eastAsia="Arial" w:hAnsi="Arial"/>
          <w:sz w:val="17"/>
          <w:szCs w:val="17"/>
          <w:color w:val="auto"/>
        </w:rPr>
      </w:pPr>
      <w:r>
        <w:rPr>
          <w:rFonts w:ascii="Arial" w:cs="Arial" w:eastAsia="Arial" w:hAnsi="Arial"/>
          <w:sz w:val="17"/>
          <w:szCs w:val="17"/>
          <w:color w:val="auto"/>
        </w:rPr>
        <w:t>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83"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024"/>
          </w:cols>
          <w:pgMar w:left="436" w:top="121" w:right="439" w:bottom="1440" w:gutter="0" w:footer="0" w:header="0"/>
          <w:type w:val="continuous"/>
        </w:sectPr>
      </w:pPr>
    </w:p>
    <w:bookmarkStart w:id="68" w:name="page69"/>
    <w:bookmarkEnd w:id="6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92"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2020;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(2020) taxable year and for future taxable years, and (iii) the discussions in (x) the Base Prospectus under the caption “Material Federal Income Tax Considerations,” (y) the Prospectus Supplement under the caption “Additional Material Federal Income Tax Considerations,” and (z) the Company’s Annual Report on Form 10-K for the year ended December 31, 2019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“Risk Factors–To maintain our status as a REIT, we limit the amount of shares any one shareholder can own,” and “Risk Factors–U.S. federal tax reform legislation now and in the future could affect REITs, both positively and negatively, in ways that are difficult to anticipate,” which are incorporated by reference into the Registration Statement, to the extent that they discuss matters of law or legal conclusions or purport to describe certain provisions of the federal tax laws, are correct summaries of the matters discussed therein.</w:t>
      </w:r>
    </w:p>
    <w:p>
      <w:pPr>
        <w:spacing w:after="0" w:line="186"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w:t>
      </w:r>
    </w:p>
    <w:p>
      <w:pPr>
        <w:sectPr>
          <w:pgSz w:w="11900" w:h="16838" w:orient="portrait"/>
          <w:cols w:equalWidth="0" w:num="1">
            <w:col w:w="11000"/>
          </w:cols>
          <w:pgMar w:left="440" w:top="274" w:right="459" w:bottom="1440" w:gutter="0" w:footer="0" w:header="0"/>
        </w:sectPr>
      </w:pPr>
    </w:p>
    <w:bookmarkStart w:id="69" w:name="page70"/>
    <w:bookmarkEnd w:id="69"/>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assurance can be given as to whether, for any given taxable year, the actual ownership of the Company’s stock and its actual operating results and distributions satisfy the tests necessary to achieve and maintain its status as a REIT.</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PILLSBURY WINTHROP SHAW PITTMAN LLP</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
    </w:lvl>
    <w:lvl w:ilvl="1">
      <w:lvlJc w:val="left"/>
      <w:lvlText w:val="(%2)"/>
      <w:numFmt w:val="lowerLetter"/>
      <w:start w:val="1"/>
    </w:lvl>
  </w:abstractNum>
  <w:abstractNum w:abstractNumId="2">
    <w:nsid w:val="79838CB2"/>
    <w:multiLevelType w:val="hybridMultilevel"/>
    <w:lvl w:ilvl="0">
      <w:lvlJc w:val="left"/>
      <w:lvlText w:val="(%1)"/>
      <w:numFmt w:val="lowerLetter"/>
      <w:start w:val="2"/>
    </w:lvl>
  </w:abstractNum>
  <w:abstractNum w:abstractNumId="3">
    <w:nsid w:val="4353D0CD"/>
    <w:multiLevelType w:val="hybridMultilevel"/>
    <w:lvl w:ilvl="0">
      <w:lvlJc w:val="left"/>
      <w:lvlText w:val="(%1)"/>
      <w:numFmt w:val="lowerLetter"/>
      <w:start w:val="3"/>
    </w:lvl>
  </w:abstractNum>
  <w:abstractNum w:abstractNumId="4">
    <w:nsid w:val="B03E0C6"/>
    <w:multiLevelType w:val="hybridMultilevel"/>
    <w:lvl w:ilvl="0">
      <w:lvlJc w:val="left"/>
      <w:lvlText w:val="(%1)"/>
      <w:numFmt w:val="upperLetter"/>
      <w:start w:val="1"/>
    </w:lvl>
  </w:abstractNum>
  <w:abstractNum w:abstractNumId="5">
    <w:nsid w:val="189A769B"/>
    <w:multiLevelType w:val="hybridMultilevel"/>
    <w:lvl w:ilvl="0">
      <w:lvlJc w:val="left"/>
      <w:lvlText w:val="(%1)"/>
      <w:numFmt w:val="lowerLetter"/>
      <w:start w:val="4"/>
    </w:lvl>
  </w:abstractNum>
  <w:abstractNum w:abstractNumId="6">
    <w:nsid w:val="54E49EB4"/>
    <w:multiLevelType w:val="hybridMultilevel"/>
    <w:lvl w:ilvl="0">
      <w:lvlJc w:val="left"/>
      <w:lvlText w:val="(%1)"/>
      <w:numFmt w:val="lowerLetter"/>
      <w:start w:val="7"/>
    </w:lvl>
  </w:abstractNum>
  <w:abstractNum w:abstractNumId="7">
    <w:nsid w:val="71F32454"/>
    <w:multiLevelType w:val="hybridMultilevel"/>
    <w:lvl w:ilvl="0">
      <w:lvlJc w:val="left"/>
      <w:lvlText w:val="%1"/>
      <w:numFmt w:val="lowerLetter"/>
      <w:start w:val="1"/>
    </w:lvl>
    <w:lvl w:ilvl="1">
      <w:lvlJc w:val="left"/>
      <w:lvlText w:val="(%2)"/>
      <w:numFmt w:val="lowerLetter"/>
      <w:start w:val="9"/>
    </w:lvl>
  </w:abstractNum>
  <w:abstractNum w:abstractNumId="8">
    <w:nsid w:val="2CA88611"/>
    <w:multiLevelType w:val="hybridMultilevel"/>
    <w:lvl w:ilvl="0">
      <w:lvlJc w:val="left"/>
      <w:lvlText w:val="(%1)"/>
      <w:numFmt w:val="lowerLetter"/>
      <w:start w:val="61"/>
    </w:lvl>
    <w:lvl w:ilvl="1">
      <w:lvlJc w:val="left"/>
      <w:lvlText w:val="%2"/>
      <w:numFmt w:val="lowerLetter"/>
      <w:start w:val="1"/>
    </w:lvl>
  </w:abstractNum>
  <w:abstractNum w:abstractNumId="9">
    <w:nsid w:val="836C40E"/>
    <w:multiLevelType w:val="hybridMultilevel"/>
    <w:lvl w:ilvl="0">
      <w:lvlJc w:val="left"/>
      <w:lvlText w:val="(%1)"/>
      <w:numFmt w:val="lowerLetter"/>
      <w:start w:val="12"/>
    </w:lvl>
  </w:abstractNum>
  <w:abstractNum w:abstractNumId="10">
    <w:nsid w:val="2901D82"/>
    <w:multiLevelType w:val="hybridMultilevel"/>
    <w:lvl w:ilvl="0">
      <w:lvlJc w:val="left"/>
      <w:lvlText w:val="(%1)"/>
      <w:numFmt w:val="lowerLetter"/>
      <w:start w:val="15"/>
    </w:lvl>
  </w:abstractNum>
  <w:abstractNum w:abstractNumId="11">
    <w:nsid w:val="3A95F874"/>
    <w:multiLevelType w:val="hybridMultilevel"/>
    <w:lvl w:ilvl="0">
      <w:lvlJc w:val="left"/>
      <w:lvlText w:val="(%1)"/>
      <w:numFmt w:val="lowerLetter"/>
      <w:start w:val="20"/>
    </w:lvl>
  </w:abstractNum>
  <w:abstractNum w:abstractNumId="12">
    <w:nsid w:val="8138641"/>
    <w:multiLevelType w:val="hybridMultilevel"/>
    <w:lvl w:ilvl="0">
      <w:lvlJc w:val="left"/>
      <w:lvlText w:val="(%1)"/>
      <w:numFmt w:val="lowerLetter"/>
      <w:start w:val="24"/>
    </w:lvl>
  </w:abstractNum>
  <w:abstractNum w:abstractNumId="13">
    <w:nsid w:val="1E7FF521"/>
    <w:multiLevelType w:val="hybridMultilevel"/>
    <w:lvl w:ilvl="0">
      <w:lvlJc w:val="left"/>
      <w:lvlText w:val="(%1)"/>
      <w:numFmt w:val="lowerLetter"/>
      <w:start w:val="27"/>
    </w:lvl>
  </w:abstractNum>
  <w:abstractNum w:abstractNumId="14">
    <w:nsid w:val="7C3DBD3D"/>
    <w:multiLevelType w:val="hybridMultilevel"/>
    <w:lvl w:ilvl="0">
      <w:lvlJc w:val="left"/>
      <w:lvlText w:val="%1."/>
      <w:numFmt w:val="decimal"/>
      <w:start w:val="3"/>
    </w:lvl>
  </w:abstractNum>
  <w:abstractNum w:abstractNumId="15">
    <w:nsid w:val="737B8DDC"/>
    <w:multiLevelType w:val="hybridMultilevel"/>
    <w:lvl w:ilvl="0">
      <w:lvlJc w:val="left"/>
      <w:lvlText w:val="%1."/>
      <w:numFmt w:val="decimal"/>
      <w:start w:val="4"/>
    </w:lvl>
    <w:lvl w:ilvl="1">
      <w:lvlJc w:val="left"/>
      <w:lvlText w:val="(%2)"/>
      <w:numFmt w:val="lowerLetter"/>
      <w:start w:val="1"/>
    </w:lvl>
  </w:abstractNum>
  <w:abstractNum w:abstractNumId="16">
    <w:nsid w:val="6CEAF087"/>
    <w:multiLevelType w:val="hybridMultilevel"/>
    <w:lvl w:ilvl="0">
      <w:lvlJc w:val="left"/>
      <w:lvlText w:val="(%1)"/>
      <w:numFmt w:val="lowerLetter"/>
      <w:start w:val="2"/>
    </w:lvl>
  </w:abstractNum>
  <w:abstractNum w:abstractNumId="17">
    <w:nsid w:val="22221A70"/>
    <w:multiLevelType w:val="hybridMultilevel"/>
    <w:lvl w:ilvl="0">
      <w:lvlJc w:val="left"/>
      <w:lvlText w:val="(%1)"/>
      <w:numFmt w:val="lowerLetter"/>
      <w:start w:val="5"/>
    </w:lvl>
  </w:abstractNum>
  <w:abstractNum w:abstractNumId="18">
    <w:nsid w:val="4516DDE9"/>
    <w:multiLevelType w:val="hybridMultilevel"/>
    <w:lvl w:ilvl="0">
      <w:lvlJc w:val="left"/>
      <w:lvlText w:val="(%1)"/>
      <w:numFmt w:val="lowerLetter"/>
      <w:start w:val="8"/>
    </w:lvl>
  </w:abstractNum>
  <w:abstractNum w:abstractNumId="19">
    <w:nsid w:val="3006C83E"/>
    <w:multiLevelType w:val="hybridMultilevel"/>
    <w:lvl w:ilvl="0">
      <w:lvlJc w:val="left"/>
      <w:lvlText w:val="%1"/>
      <w:numFmt w:val="decimal"/>
      <w:start w:val="1"/>
    </w:lvl>
    <w:lvl w:ilvl="1">
      <w:lvlJc w:val="left"/>
      <w:lvlText w:val="(%2)"/>
      <w:numFmt w:val="lowerLetter"/>
      <w:start w:val="10"/>
    </w:lvl>
  </w:abstractNum>
  <w:abstractNum w:abstractNumId="20">
    <w:nsid w:val="614FD4A1"/>
    <w:multiLevelType w:val="hybridMultilevel"/>
    <w:lvl w:ilvl="0">
      <w:lvlJc w:val="left"/>
      <w:lvlText w:val="%1."/>
      <w:numFmt w:val="decimal"/>
      <w:start w:val="6"/>
    </w:lvl>
    <w:lvl w:ilvl="1">
      <w:lvlJc w:val="left"/>
      <w:lvlText w:val="%2"/>
      <w:numFmt w:val="lowerLetter"/>
      <w:start w:val="1"/>
    </w:lvl>
  </w:abstractNum>
  <w:abstractNum w:abstractNumId="21">
    <w:nsid w:val="419AC241"/>
    <w:multiLevelType w:val="hybridMultilevel"/>
    <w:lvl w:ilvl="0">
      <w:lvlJc w:val="left"/>
      <w:lvlText w:val="%1."/>
      <w:numFmt w:val="decimal"/>
      <w:start w:val="7"/>
    </w:lvl>
    <w:lvl w:ilvl="1">
      <w:lvlJc w:val="left"/>
      <w:lvlText w:val="(%2)"/>
      <w:numFmt w:val="lowerLetter"/>
      <w:start w:val="1"/>
    </w:lvl>
  </w:abstractNum>
  <w:abstractNum w:abstractNumId="22">
    <w:nsid w:val="5577F8E1"/>
    <w:multiLevelType w:val="hybridMultilevel"/>
    <w:lvl w:ilvl="0">
      <w:lvlJc w:val="left"/>
      <w:lvlText w:val="(%1)"/>
      <w:numFmt w:val="lowerLetter"/>
      <w:start w:val="3"/>
    </w:lvl>
  </w:abstractNum>
  <w:abstractNum w:abstractNumId="23">
    <w:nsid w:val="440BADFC"/>
    <w:multiLevelType w:val="hybridMultilevel"/>
    <w:lvl w:ilvl="0">
      <w:lvlJc w:val="left"/>
      <w:lvlText w:val="%1"/>
      <w:numFmt w:val="upperLetter"/>
      <w:start w:val="1"/>
    </w:lvl>
    <w:lvl w:ilvl="1">
      <w:lvlJc w:val="left"/>
      <w:lvlText w:val="(%2)"/>
      <w:numFmt w:val="lowerLetter"/>
      <w:start w:val="6"/>
    </w:lvl>
  </w:abstractNum>
  <w:abstractNum w:abstractNumId="24">
    <w:nsid w:val="5072367"/>
    <w:multiLevelType w:val="hybridMultilevel"/>
    <w:lvl w:ilvl="0">
      <w:lvlJc w:val="left"/>
      <w:lvlText w:val="(%1)"/>
      <w:numFmt w:val="upperLetter"/>
      <w:start w:val="2"/>
    </w:lvl>
    <w:lvl w:ilvl="1">
      <w:lvlJc w:val="left"/>
      <w:lvlText w:val="%2"/>
      <w:numFmt w:val="lowerLetter"/>
      <w:start w:val="1"/>
    </w:lvl>
  </w:abstractNum>
  <w:abstractNum w:abstractNumId="25">
    <w:nsid w:val="3804823E"/>
    <w:multiLevelType w:val="hybridMultilevel"/>
    <w:lvl w:ilvl="0">
      <w:lvlJc w:val="left"/>
      <w:lvlText w:val="%1"/>
      <w:numFmt w:val="lowerLetter"/>
      <w:start w:val="1"/>
    </w:lvl>
    <w:lvl w:ilvl="1">
      <w:lvlJc w:val="left"/>
      <w:lvlText w:val="(%2)"/>
      <w:numFmt w:val="lowerLetter"/>
      <w:start w:val="7"/>
    </w:lvl>
  </w:abstractNum>
  <w:abstractNum w:abstractNumId="26">
    <w:nsid w:val="77465F01"/>
    <w:multiLevelType w:val="hybridMultilevel"/>
    <w:lvl w:ilvl="0">
      <w:lvlJc w:val="left"/>
      <w:lvlText w:val="(%1)"/>
      <w:numFmt w:val="lowerLetter"/>
      <w:start w:val="9"/>
    </w:lvl>
    <w:lvl w:ilvl="1">
      <w:lvlJc w:val="left"/>
      <w:lvlText w:val="(%2)"/>
      <w:numFmt w:val="lowerLetter"/>
      <w:start w:val="9"/>
    </w:lvl>
  </w:abstractNum>
  <w:abstractNum w:abstractNumId="27">
    <w:nsid w:val="7724C67E"/>
    <w:multiLevelType w:val="hybridMultilevel"/>
    <w:lvl w:ilvl="0">
      <w:lvlJc w:val="left"/>
      <w:lvlText w:val="(%1)"/>
      <w:numFmt w:val="lowerLetter"/>
      <w:start w:val="1"/>
    </w:lvl>
    <w:lvl w:ilvl="1">
      <w:lvlJc w:val="left"/>
      <w:lvlText w:val="%2"/>
      <w:numFmt w:val="lowerLetter"/>
      <w:start w:val="1"/>
    </w:lvl>
  </w:abstractNum>
  <w:abstractNum w:abstractNumId="28">
    <w:nsid w:val="5C482A97"/>
    <w:multiLevelType w:val="hybridMultilevel"/>
    <w:lvl w:ilvl="0">
      <w:lvlJc w:val="left"/>
      <w:lvlText w:val="%1."/>
      <w:numFmt w:val="decimal"/>
      <w:start w:val="8"/>
    </w:lvl>
  </w:abstractNum>
  <w:abstractNum w:abstractNumId="29">
    <w:nsid w:val="2463B9EA"/>
    <w:multiLevelType w:val="hybridMultilevel"/>
    <w:lvl w:ilvl="0">
      <w:lvlJc w:val="left"/>
      <w:lvlText w:val="(%1)"/>
      <w:numFmt w:val="lowerLetter"/>
      <w:start w:val="2"/>
    </w:lvl>
  </w:abstractNum>
  <w:abstractNum w:abstractNumId="30">
    <w:nsid w:val="5E884ADC"/>
    <w:multiLevelType w:val="hybridMultilevel"/>
    <w:lvl w:ilvl="0">
      <w:lvlJc w:val="left"/>
      <w:lvlText w:val="%1"/>
      <w:numFmt w:val="lowerLetter"/>
      <w:start w:val="1"/>
    </w:lvl>
    <w:lvl w:ilvl="1">
      <w:lvlJc w:val="left"/>
      <w:lvlText w:val="(%2)"/>
      <w:numFmt w:val="lowerLetter"/>
      <w:start w:val="3"/>
    </w:lvl>
  </w:abstractNum>
  <w:abstractNum w:abstractNumId="31">
    <w:nsid w:val="51EAD36B"/>
    <w:multiLevelType w:val="hybridMultilevel"/>
    <w:lvl w:ilvl="0">
      <w:lvlJc w:val="left"/>
      <w:lvlText w:val="(%1)"/>
      <w:numFmt w:val="lowerLetter"/>
      <w:start w:val="1"/>
    </w:lvl>
    <w:lvl w:ilvl="1">
      <w:lvlJc w:val="left"/>
      <w:lvlText w:val="%2"/>
      <w:numFmt w:val="lowerLetter"/>
      <w:start w:val="1"/>
    </w:lvl>
  </w:abstractNum>
  <w:abstractNum w:abstractNumId="32">
    <w:nsid w:val="2D517796"/>
    <w:multiLevelType w:val="hybridMultilevel"/>
    <w:lvl w:ilvl="0">
      <w:lvlJc w:val="left"/>
      <w:lvlText w:val="(%1)"/>
      <w:numFmt w:val="lowerLetter"/>
      <w:start w:val="4"/>
    </w:lvl>
    <w:lvl w:ilvl="1">
      <w:lvlJc w:val="left"/>
      <w:lvlText w:val="(%2)"/>
      <w:numFmt w:val="lowerLetter"/>
      <w:start w:val="5"/>
    </w:lvl>
  </w:abstractNum>
  <w:abstractNum w:abstractNumId="33">
    <w:nsid w:val="580BD78F"/>
    <w:multiLevelType w:val="hybridMultilevel"/>
    <w:lvl w:ilvl="0">
      <w:lvlJc w:val="left"/>
      <w:lvlText w:val="%1."/>
      <w:numFmt w:val="decimal"/>
      <w:start w:val="9"/>
    </w:lvl>
  </w:abstractNum>
  <w:abstractNum w:abstractNumId="34">
    <w:nsid w:val="153EA438"/>
    <w:multiLevelType w:val="hybridMultilevel"/>
    <w:lvl w:ilvl="0">
      <w:lvlJc w:val="left"/>
      <w:lvlText w:val="(%1)"/>
      <w:numFmt w:val="lowerLetter"/>
      <w:start w:val="2"/>
    </w:lvl>
  </w:abstractNum>
  <w:abstractNum w:abstractNumId="35">
    <w:nsid w:val="3855585C"/>
    <w:multiLevelType w:val="hybridMultilevel"/>
    <w:lvl w:ilvl="0">
      <w:lvlJc w:val="left"/>
      <w:lvlText w:val="%1."/>
      <w:numFmt w:val="decimal"/>
      <w:start w:val="10"/>
    </w:lvl>
  </w:abstractNum>
  <w:abstractNum w:abstractNumId="36">
    <w:nsid w:val="70A64E2A"/>
    <w:multiLevelType w:val="hybridMultilevel"/>
    <w:lvl w:ilvl="0">
      <w:lvlJc w:val="left"/>
      <w:lvlText w:val="%1."/>
      <w:numFmt w:val="decimal"/>
      <w:start w:val="11"/>
    </w:lvl>
  </w:abstractNum>
  <w:abstractNum w:abstractNumId="37">
    <w:nsid w:val="6A2342EC"/>
    <w:multiLevelType w:val="hybridMultilevel"/>
    <w:lvl w:ilvl="0">
      <w:lvlJc w:val="left"/>
      <w:lvlText w:val="%1."/>
      <w:numFmt w:val="decimal"/>
      <w:start w:val="13"/>
    </w:lvl>
  </w:abstractNum>
  <w:abstractNum w:abstractNumId="38">
    <w:nsid w:val="2A487CB0"/>
    <w:multiLevelType w:val="hybridMultilevel"/>
    <w:lvl w:ilvl="0">
      <w:lvlJc w:val="left"/>
      <w:lvlText w:val="%1."/>
      <w:numFmt w:val="decimal"/>
      <w:start w:val="15"/>
    </w:lvl>
  </w:abstractNum>
  <w:abstractNum w:abstractNumId="39">
    <w:nsid w:val="1D4ED43B"/>
    <w:multiLevelType w:val="hybridMultilevel"/>
    <w:lvl w:ilvl="0">
      <w:lvlJc w:val="left"/>
      <w:lvlText w:val="(%1)"/>
      <w:numFmt w:val="lowerRoman"/>
      <w:start w:val="3"/>
    </w:lvl>
    <w:lvl w:ilvl="1">
      <w:lvlJc w:val="left"/>
      <w:lvlText w:val="%2."/>
      <w:numFmt w:val="decimal"/>
      <w:start w:val="18"/>
    </w:lvl>
  </w:abstractNum>
  <w:abstractNum w:abstractNumId="40">
    <w:nsid w:val="725A06FB"/>
    <w:multiLevelType w:val="hybridMultilevel"/>
    <w:lvl w:ilvl="0">
      <w:lvlJc w:val="left"/>
      <w:lvlText w:val="(%1)"/>
      <w:numFmt w:val="lowerRoman"/>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4"/>
    </w:lvl>
    <w:lvl w:ilvl="1">
      <w:lvlJc w:val="left"/>
      <w:lvlText w:val="(%2)"/>
      <w:numFmt w:val="lowerLetter"/>
      <w:start w:val="1"/>
    </w:lvl>
  </w:abstractNum>
  <w:abstractNum w:abstractNumId="44">
    <w:nsid w:val="4B588F54"/>
    <w:multiLevelType w:val="hybridMultilevel"/>
    <w:lvl w:ilvl="0">
      <w:lvlJc w:val="left"/>
      <w:lvlText w:val="(%1)"/>
      <w:numFmt w:val="lowerRoman"/>
      <w:start w:val="1"/>
    </w:lvl>
  </w:abstractNum>
  <w:abstractNum w:abstractNumId="45">
    <w:nsid w:val="542289EC"/>
    <w:multiLevelType w:val="hybridMultilevel"/>
    <w:lvl w:ilvl="0">
      <w:lvlJc w:val="left"/>
      <w:lvlText w:val="(%1)"/>
      <w:numFmt w:val="lowerRoman"/>
      <w:start w:val="1"/>
    </w:lvl>
  </w:abstractNum>
  <w:abstractNum w:abstractNumId="46">
    <w:nsid w:val="6DE91B1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2020-10-13T15:07:50Z</dcterms:created>
  <dcterms:modified xsi:type="dcterms:W3CDTF">2020-10-13T15:07:50Z</dcterms:modified>
</cp:coreProperties>
</file>