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Date of Report (Date of earliest event reported): July 12,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720" w:type="dxa"/>
            <w:vAlign w:val="bottom"/>
          </w:tcPr>
          <w:p>
            <w:pPr>
              <w:jc w:val="center"/>
              <w:ind w:right="1106"/>
              <w:spacing w:after="0"/>
              <w:rPr>
                <w:sz w:val="20"/>
                <w:szCs w:val="20"/>
                <w:color w:val="auto"/>
              </w:rPr>
            </w:pPr>
            <w:r>
              <w:rPr>
                <w:rFonts w:ascii="Arial" w:cs="Arial" w:eastAsia="Arial" w:hAnsi="Arial"/>
                <w:sz w:val="18"/>
                <w:szCs w:val="18"/>
                <w:b w:val="1"/>
                <w:bCs w:val="1"/>
                <w:color w:val="auto"/>
                <w:w w:val="93"/>
              </w:rPr>
              <w:t>Maryland</w:t>
            </w:r>
          </w:p>
        </w:tc>
        <w:tc>
          <w:tcPr>
            <w:tcW w:w="3940" w:type="dxa"/>
            <w:vAlign w:val="bottom"/>
          </w:tcPr>
          <w:p>
            <w:pPr>
              <w:jc w:val="right"/>
              <w:ind w:right="1622"/>
              <w:spacing w:after="0"/>
              <w:rPr>
                <w:sz w:val="20"/>
                <w:szCs w:val="20"/>
                <w:color w:val="auto"/>
              </w:rPr>
            </w:pPr>
            <w:r>
              <w:rPr>
                <w:rFonts w:ascii="Arial" w:cs="Arial" w:eastAsia="Arial" w:hAnsi="Arial"/>
                <w:sz w:val="18"/>
                <w:szCs w:val="18"/>
                <w:b w:val="1"/>
                <w:bCs w:val="1"/>
                <w:color w:val="auto"/>
              </w:rPr>
              <w:t>1-07533</w:t>
            </w:r>
          </w:p>
        </w:tc>
        <w:tc>
          <w:tcPr>
            <w:tcW w:w="2280" w:type="dxa"/>
            <w:vAlign w:val="bottom"/>
          </w:tcPr>
          <w:p>
            <w:pPr>
              <w:jc w:val="center"/>
              <w:ind w:left="1166"/>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2720" w:type="dxa"/>
            <w:vAlign w:val="bottom"/>
          </w:tcPr>
          <w:p>
            <w:pPr>
              <w:jc w:val="center"/>
              <w:ind w:right="110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280" w:type="dxa"/>
            <w:vAlign w:val="bottom"/>
          </w:tcPr>
          <w:p>
            <w:pPr>
              <w:jc w:val="center"/>
              <w:ind w:left="116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720" w:type="dxa"/>
            <w:vAlign w:val="bottom"/>
          </w:tcPr>
          <w:p>
            <w:pPr>
              <w:jc w:val="center"/>
              <w:ind w:right="1106"/>
              <w:spacing w:after="0"/>
              <w:rPr>
                <w:sz w:val="20"/>
                <w:szCs w:val="20"/>
                <w:color w:val="auto"/>
              </w:rPr>
            </w:pPr>
            <w:r>
              <w:rPr>
                <w:rFonts w:ascii="Arial" w:cs="Arial" w:eastAsia="Arial" w:hAnsi="Arial"/>
                <w:sz w:val="14"/>
                <w:szCs w:val="14"/>
                <w:b w:val="1"/>
                <w:bCs w:val="1"/>
                <w:color w:val="auto"/>
                <w:w w:val="87"/>
              </w:rPr>
              <w:t>of incorporation)</w:t>
            </w:r>
          </w:p>
        </w:tc>
        <w:tc>
          <w:tcPr>
            <w:tcW w:w="3940" w:type="dxa"/>
            <w:vAlign w:val="bottom"/>
          </w:tcPr>
          <w:p>
            <w:pPr>
              <w:spacing w:after="0"/>
              <w:rPr>
                <w:sz w:val="15"/>
                <w:szCs w:val="15"/>
                <w:color w:val="auto"/>
              </w:rPr>
            </w:pPr>
          </w:p>
        </w:tc>
        <w:tc>
          <w:tcPr>
            <w:tcW w:w="2280" w:type="dxa"/>
            <w:vAlign w:val="bottom"/>
          </w:tcPr>
          <w:p>
            <w:pPr>
              <w:jc w:val="center"/>
              <w:ind w:left="11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1626 East Jefferson Street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(301) 998-8100</w:t>
      </w:r>
    </w:p>
    <w:p>
      <w:pPr>
        <w:spacing w:after="0" w:line="9" w:lineRule="exact"/>
        <w:rPr>
          <w:sz w:val="24"/>
          <w:szCs w:val="24"/>
          <w:color w:val="auto"/>
        </w:rPr>
      </w:pPr>
    </w:p>
    <w:p>
      <w:pPr>
        <w:ind w:left="240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34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197485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exhibits listed in the following index relate to an offering under the Registrant’s Registration Statement on Form S-3 (No. 333-135159) and each is filed herewith for incorporation by reference in such Registration Statement.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Exhibit No.</w:t>
            </w:r>
          </w:p>
        </w:tc>
        <w:tc>
          <w:tcPr>
            <w:tcW w:w="440" w:type="dxa"/>
            <w:vAlign w:val="bottom"/>
          </w:tcPr>
          <w:p>
            <w:pPr>
              <w:spacing w:after="0"/>
              <w:rPr>
                <w:sz w:val="15"/>
                <w:szCs w:val="15"/>
                <w:color w:val="auto"/>
              </w:rPr>
            </w:pPr>
          </w:p>
        </w:tc>
        <w:tc>
          <w:tcPr>
            <w:tcW w:w="10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660" w:type="dxa"/>
            <w:vAlign w:val="bottom"/>
          </w:tcPr>
          <w:p>
            <w:pPr>
              <w:spacing w:after="0" w:line="201" w:lineRule="exact"/>
              <w:rPr>
                <w:sz w:val="20"/>
                <w:szCs w:val="20"/>
                <w:color w:val="auto"/>
              </w:rPr>
            </w:pPr>
            <w:r>
              <w:rPr>
                <w:rFonts w:ascii="Arial" w:cs="Arial" w:eastAsia="Arial" w:hAnsi="Arial"/>
                <w:sz w:val="18"/>
                <w:szCs w:val="18"/>
                <w:color w:val="auto"/>
              </w:rPr>
              <w:t>1.1</w:t>
            </w:r>
          </w:p>
        </w:tc>
        <w:tc>
          <w:tcPr>
            <w:tcW w:w="440" w:type="dxa"/>
            <w:vAlign w:val="bottom"/>
          </w:tcPr>
          <w:p>
            <w:pPr>
              <w:spacing w:after="0"/>
              <w:rPr>
                <w:sz w:val="17"/>
                <w:szCs w:val="17"/>
                <w:color w:val="auto"/>
              </w:rPr>
            </w:pPr>
          </w:p>
        </w:tc>
        <w:tc>
          <w:tcPr>
            <w:tcW w:w="10320" w:type="dxa"/>
            <w:vAlign w:val="bottom"/>
          </w:tcPr>
          <w:p>
            <w:pPr>
              <w:spacing w:after="0" w:line="201" w:lineRule="exact"/>
              <w:rPr>
                <w:sz w:val="20"/>
                <w:szCs w:val="20"/>
                <w:color w:val="auto"/>
              </w:rPr>
            </w:pPr>
            <w:r>
              <w:rPr>
                <w:rFonts w:ascii="Arial" w:cs="Arial" w:eastAsia="Arial" w:hAnsi="Arial"/>
                <w:sz w:val="18"/>
                <w:szCs w:val="18"/>
                <w:color w:val="auto"/>
                <w:w w:val="90"/>
              </w:rPr>
              <w:t>Underwriting Agreement, dated July 12, 2006, by and among the Registrant and Wachovia Capital Markets, LLC, Citigroup Global Markets Inc.,</w:t>
            </w:r>
          </w:p>
        </w:tc>
      </w:tr>
      <w:tr>
        <w:trPr>
          <w:trHeight w:val="216"/>
        </w:trPr>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1"/>
              </w:rPr>
              <w:t>Bear, Stearns &amp; Co. Inc., Commerzbank Capital Markets Corp., Piper Jaffray &amp; Co., PNC Capital Markets LLC and SunTrust Capital Markets,</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Inc.</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Pricing Agreement, dated July 12, 2006, by and between the Registrant and certain underwriters named therein</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Form of 6.00% Note due 2012</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Form of 6.20% Note due 2017</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Opinion of Pillsbury Winthrop Shaw Pittman LLP relating to legality of 6.00% Notes due 2012 and 6.20% Notes due 2017</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8.1</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Opinion of Pillsbury Winthrop Shaw Pittman LLP relating to material tax matters relating to the Registrant</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Consents of Pillsbury Winthrop Shaw Pittman LLP (contained in the opinions filed as Exhibits 5.1 and 8.1 hereto)</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July 14, 2006</w:t>
      </w:r>
      <w:r>
        <w:rPr>
          <w:sz w:val="20"/>
          <w:szCs w:val="20"/>
          <w:color w:val="auto"/>
        </w:rPr>
        <w:tab/>
      </w:r>
      <w:r>
        <w:rPr>
          <w:rFonts w:ascii="Arial" w:cs="Arial" w:eastAsia="Arial" w:hAnsi="Arial"/>
          <w:sz w:val="16"/>
          <w:szCs w:val="16"/>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400"/>
          </w:cols>
          <w:pgMar w:left="240" w:top="280"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12, 2006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ACHOVIA</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ITIGROUP</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LOBAL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EAR</w:t>
      </w:r>
      <w:r>
        <w:rPr>
          <w:rFonts w:ascii="Arial" w:cs="Arial" w:eastAsia="Arial" w:hAnsi="Arial"/>
          <w:sz w:val="18"/>
          <w:szCs w:val="18"/>
          <w:b w:val="1"/>
          <w:bCs w:val="1"/>
          <w:color w:val="auto"/>
        </w:rPr>
        <w:t>, S</w:t>
      </w:r>
      <w:r>
        <w:rPr>
          <w:rFonts w:ascii="Arial" w:cs="Arial" w:eastAsia="Arial" w:hAnsi="Arial"/>
          <w:sz w:val="14"/>
          <w:szCs w:val="14"/>
          <w:b w:val="1"/>
          <w:bCs w:val="1"/>
          <w:color w:val="auto"/>
        </w:rPr>
        <w:t>TEARNS</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OMMERZBANK</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IPER</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AFFRAY</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UN</w:t>
      </w:r>
      <w:r>
        <w:rPr>
          <w:rFonts w:ascii="Arial" w:cs="Arial" w:eastAsia="Arial" w:hAnsi="Arial"/>
          <w:sz w:val="18"/>
          <w:szCs w:val="18"/>
          <w:b w:val="1"/>
          <w:bCs w:val="1"/>
          <w:color w:val="auto"/>
        </w:rPr>
        <w:t>T</w:t>
      </w:r>
      <w:r>
        <w:rPr>
          <w:rFonts w:ascii="Arial" w:cs="Arial" w:eastAsia="Arial" w:hAnsi="Arial"/>
          <w:sz w:val="14"/>
          <w:szCs w:val="14"/>
          <w:b w:val="1"/>
          <w:bCs w:val="1"/>
          <w:color w:val="auto"/>
        </w:rPr>
        <w:t>RUST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C</w:t>
      </w:r>
      <w:r>
        <w:rPr>
          <w:rFonts w:ascii="Arial" w:cs="Arial" w:eastAsia="Arial" w:hAnsi="Arial"/>
          <w:sz w:val="17"/>
          <w:szCs w:val="17"/>
          <w:color w:val="auto"/>
        </w:rPr>
        <w:t>/</w:t>
      </w:r>
      <w:r>
        <w:rPr>
          <w:rFonts w:ascii="Arial" w:cs="Arial" w:eastAsia="Arial" w:hAnsi="Arial"/>
          <w:sz w:val="15"/>
          <w:szCs w:val="15"/>
          <w:color w:val="auto"/>
        </w:rPr>
        <w:t>O</w:t>
      </w:r>
      <w:r>
        <w:rPr>
          <w:sz w:val="20"/>
          <w:szCs w:val="20"/>
          <w:color w:val="auto"/>
        </w:rPr>
        <w:tab/>
      </w:r>
      <w:r>
        <w:rPr>
          <w:rFonts w:ascii="Arial" w:cs="Arial" w:eastAsia="Arial" w:hAnsi="Arial"/>
          <w:sz w:val="16"/>
          <w:szCs w:val="16"/>
          <w:color w:val="auto"/>
        </w:rPr>
        <w:t>Wachovia Capital Markets, LLC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Saint Paul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Baltimore, MD 21202</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10013</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From time to time Federal Realty Investment Trust, a Maryland real estate investment trust (the “Company”), proposes to enter into one or more Pricing Agreements (each a “Pricing Agreement”) in substantially the form of Exhibit A hereto, with such additions and deletions as the parties thereto may determine and, subject to the terms and conditions stated herein and therein, to issue and sell to the firms named in Schedule I to the applicable Pricing Agreement (such firms constituting the “Underwriters” with respect to such Pricing Agreement and the securities specified therein) certain of its debt securities (the “Securities”) specified in Schedule II to such Pricing Agreement (with respect to such Pricing Agreement, the “Designated Securities”).</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terms and rights of any particular issuance of Designated Securities shall be as specified in the Pricing Agreement relating thereto and in or pursuant to the indenture (the “Indenture”) identified in such Pricing Agreement and resolutions of the board of trustees of the Company or a duly appointed committee thereof.</w:t>
      </w:r>
    </w:p>
    <w:p>
      <w:pPr>
        <w:sectPr>
          <w:pgSz w:w="11900" w:h="16838" w:orient="portrait"/>
          <w:cols w:equalWidth="0" w:num="1">
            <w:col w:w="11420"/>
          </w:cols>
          <w:pgMar w:left="240" w:top="125" w:right="239" w:bottom="1440" w:gutter="0" w:footer="0" w:header="0"/>
        </w:sectPr>
      </w:pPr>
    </w:p>
    <w:bookmarkStart w:id="4" w:name="page5"/>
    <w:bookmarkEnd w:id="4"/>
    <w:p>
      <w:pPr>
        <w:ind w:left="-20" w:firstLine="464"/>
        <w:spacing w:after="0" w:line="306" w:lineRule="auto"/>
        <w:tabs>
          <w:tab w:leader="none" w:pos="612" w:val="left"/>
        </w:tabs>
        <w:numPr>
          <w:ilvl w:val="0"/>
          <w:numId w:val="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Particular sales of Designated Securities may be made from time to time to the Underwriters of such Securities, for whom the firms designated as representatives of the Underwriters of such Securities in the Pricing Agreement relating thereto will act as representatives (the “Representatives”). The term “Representatives” also refers to a single firm acting as sole representative of the Underwriters and to Underwriters who act without any firm being designated as their representative. This Underwriting Agreement shall not be construed as an obligation of the Company to sell any of the Securities or as an obligation of any of the Underwriters to purchase the Securities. The obligation of the Company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Designated Securities, the initial public offering price of such Designated Securities, the purchase price to the Underwriters of such Designated Securities, the names of the Underwriters of such Designated Securities, the names of the Representatives of such Underwriters and the principal amount of such Designated Securities to be purchased by each Underwriter and shall set forth the date, time and manner of delivery of such Designated Securities and payment therefor. The Pricing Agreement shall also specify (to the extent not set forth in the Indenture and the registration statement and prospectus with respect thereto) the terms of such Designated Securities. A Pricing Agreement shall be in the form of an executed writing (which may be in counterparts), and may be evidenced by an exchange of telecopied communications or any other rapid transmission device designed to produce a written record of communications transmitted. The obligations of the Underwriters under this Underwriting Agreement and each Pricing Agreement shall be several and not joint.</w:t>
      </w:r>
    </w:p>
    <w:p>
      <w:pPr>
        <w:spacing w:after="0" w:line="112" w:lineRule="exact"/>
        <w:rPr>
          <w:rFonts w:ascii="Arial" w:cs="Arial" w:eastAsia="Arial" w:hAnsi="Arial"/>
          <w:sz w:val="15"/>
          <w:szCs w:val="15"/>
          <w:color w:val="auto"/>
        </w:rPr>
      </w:pPr>
    </w:p>
    <w:p>
      <w:pPr>
        <w:ind w:left="-20" w:right="40" w:firstLine="464"/>
        <w:spacing w:after="0" w:line="268" w:lineRule="auto"/>
        <w:tabs>
          <w:tab w:leader="none" w:pos="61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of the Underwriters as of the date hereof, the Applicable Time referred to in Section 2(c) hereof and the Time of Delivery referred to in Section 4 hereof that:</w:t>
      </w:r>
    </w:p>
    <w:p>
      <w:pPr>
        <w:spacing w:after="0" w:line="50" w:lineRule="exact"/>
        <w:rPr>
          <w:rFonts w:ascii="Arial" w:cs="Arial" w:eastAsia="Arial" w:hAnsi="Arial"/>
          <w:sz w:val="18"/>
          <w:szCs w:val="18"/>
          <w:color w:val="auto"/>
        </w:rPr>
      </w:pPr>
    </w:p>
    <w:p>
      <w:pPr>
        <w:ind w:left="440" w:right="40" w:firstLine="443"/>
        <w:spacing w:after="0" w:line="287" w:lineRule="auto"/>
        <w:tabs>
          <w:tab w:leader="none" w:pos="1117"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Company has filed with the Securities and Exchange Commission (the “Commission”) an automatic shelf registration statement on Form S-3 (No. 333-135159), including the related preliminary prospectus, which registration statement became effective upon filing under Rule 462(e) of the rules and regulations of the Commission under the Securities Act of 1933, as amended (the “Act”). Such registration statement covers the registration of the Securities under the Act. Promptly after execution and delivery of a Pricing Agreement with respect to the Designated Securities specified therein, the Company will prepare and file a prospectus in accordance with the provisions of Rule 430B under the Act (“Rule 430B”) and paragraph (b) of Rule 424 under the Act (“Rule 424(b)”). Any information included in such prospectus that was omitted from such registration statement at the time it became effective but that is deemed to be part of and included in such registration statement pursuant to Rule 430B is referred to herein as “Rule 430B Information.” Each prospectus used in connection with the offering of Designated Securities that omitted Rule 430B Information is herein called a “preliminary prospectus.” Such registration statement, at any given time, including the amendments thereto at such time, the exhibits and any schedules thereto at such time, the documents incorporated by reference therein pursuant to</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80" w:right="239" w:bottom="1440" w:gutter="0" w:footer="0" w:header="0"/>
        </w:sectPr>
      </w:pPr>
    </w:p>
    <w:bookmarkStart w:id="5" w:name="page6"/>
    <w:bookmarkEnd w:id="5"/>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12 of Form S-3 under the Act at such time and the documents otherwise deemed to be a part thereof or included therein by the rules and regulations under the Act at such time, is herein called the “Registration Statement.” The Registration Statement at the time it originally became effective is herein called the “Original Registration Statement.” The final prospectus in the form first furnished to the Underwriters for use in connection with an offering of Designated Securities, including the documents incorporated by reference therein pursuant to Item 12 of Form S-3 under the Act at the time of the execution of the related Pricing Agreement, is herein called the “Prospectus.” For purposes of this Underwriting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(“EDGAR”).</w:t>
      </w:r>
    </w:p>
    <w:p>
      <w:pPr>
        <w:spacing w:after="0" w:line="37"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All references in this Underwriting Agreement to financial statements and schedules and other information which is “contained,” “included” or “stated” in the Registration Statement, any preliminary prospectus or the Prospectus (or other references of like import) shall be deemed to mean and include all such financial statements and schedules and other information which is incorporated by reference in or otherwise deemed by the rules and regulations under the Act to be a part of or included in the Registration Statement, any preliminary prospectus or the Prospectus, as the case may be; and all references in this Underwriting Agreement to amendments or supplements to the Registration Statement, any preliminary prospectus or the Prospectus shall be deemed to mean and include the filing of any document under the Securities Exchange Act of 1934 (the “Exchange Act”) which is incorporated by reference in or otherwise deemed by the rules and regulations under the Act to be a part of or included in the Registration Statement, such preliminary prospectus or the Prospectus, as the case may be.</w:t>
      </w:r>
    </w:p>
    <w:p>
      <w:pPr>
        <w:spacing w:after="0" w:line="37" w:lineRule="exact"/>
        <w:rPr>
          <w:sz w:val="20"/>
          <w:szCs w:val="20"/>
          <w:color w:val="auto"/>
        </w:rPr>
      </w:pPr>
    </w:p>
    <w:p>
      <w:pPr>
        <w:ind w:right="80" w:firstLine="443"/>
        <w:spacing w:after="0" w:line="288" w:lineRule="auto"/>
        <w:tabs>
          <w:tab w:leader="none" w:pos="687" w:val="left"/>
        </w:tabs>
        <w:numPr>
          <w:ilvl w:val="0"/>
          <w:numId w:val="3"/>
        </w:numPr>
        <w:rPr>
          <w:rFonts w:ascii="Arial" w:cs="Arial" w:eastAsia="Arial" w:hAnsi="Arial"/>
          <w:sz w:val="16"/>
          <w:szCs w:val="16"/>
          <w:color w:val="auto"/>
        </w:rPr>
      </w:pPr>
      <w:r>
        <w:rPr>
          <w:rFonts w:ascii="Arial" w:cs="Arial" w:eastAsia="Arial" w:hAnsi="Arial"/>
          <w:sz w:val="16"/>
          <w:szCs w:val="16"/>
          <w:color w:val="auto"/>
        </w:rPr>
        <w:t>(A) At the time of filing the Original Registration Statement, (B) at the time of the most recent amendment thereto for the purposes of complying with Section 10(a)(3) of the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Act) made any offer relating to Designated Securities in reliance on the exemption of Rule 163 under the Act (“Rule 163”), (D) at the earliest time that the Company or another offering participant made a bona fide offer (within the meaning of Rule 164(h)(2) under the Act) of the Designated Securities, (E) at the date hereof and (F) at the date of each Pricing Agreement the Company was, is and will be a “well-known seasoned issuer” as defined in Rule 405 under the Act (“Rule 405”), including not having been and not being an “ineligible issuer” as defined in 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w:t>
      </w:r>
    </w:p>
    <w:p>
      <w:pPr>
        <w:spacing w:after="0" w:line="10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6" w:name="page7"/>
    <w:bookmarkEnd w:id="6"/>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statement.” The Company has not received from the Commission any notice pursuant to Rule 401(g)(2) under the Act objecting to the use of the automatic shelf registration statement form.</w:t>
      </w:r>
    </w:p>
    <w:p>
      <w:pPr>
        <w:spacing w:after="0" w:line="51" w:lineRule="exact"/>
        <w:rPr>
          <w:sz w:val="20"/>
          <w:szCs w:val="20"/>
          <w:color w:val="auto"/>
        </w:rPr>
      </w:pPr>
    </w:p>
    <w:p>
      <w:pPr>
        <w:ind w:right="80" w:firstLine="443"/>
        <w:spacing w:after="0" w:line="298" w:lineRule="auto"/>
        <w:tabs>
          <w:tab w:leader="none" w:pos="67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Original Registration Statement became effective upon filing under Rule 462(e) under the Act (“Rule 462(e)”) on June 20, 2006, and any post-effective amendment thereto also became effective upon filing under Rule 462(e). No stop order suspending the effectiveness of the Registration Statement has been issued under the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32"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color w:val="auto"/>
        </w:rPr>
        <w:t>Any offer that is a written communication relating to the Securities made prior to the filing of the Original Registration Statement by the Company or any person acting on its behalf (within the meaning, for this paragraph only, of Rule 163(c)) has been filed (unless exempt from filing pursuant to Rule</w:t>
      </w:r>
    </w:p>
    <w:p>
      <w:pPr>
        <w:ind w:right="160" w:firstLine="4"/>
        <w:spacing w:after="0" w:line="323" w:lineRule="auto"/>
        <w:tabs>
          <w:tab w:leader="none" w:pos="366" w:val="left"/>
        </w:tabs>
        <w:numPr>
          <w:ilvl w:val="0"/>
          <w:numId w:val="5"/>
        </w:numPr>
        <w:rPr>
          <w:rFonts w:ascii="Arial" w:cs="Arial" w:eastAsia="Arial" w:hAnsi="Arial"/>
          <w:sz w:val="16"/>
          <w:szCs w:val="16"/>
          <w:color w:val="auto"/>
        </w:rPr>
      </w:pPr>
      <w:r>
        <w:rPr>
          <w:rFonts w:ascii="Arial" w:cs="Arial" w:eastAsia="Arial" w:hAnsi="Arial"/>
          <w:sz w:val="16"/>
          <w:szCs w:val="16"/>
          <w:color w:val="auto"/>
        </w:rPr>
        <w:t>with the Commission in accordance with the exemption provided by Rule 163 and otherwise complied with the requirements of Rule 163, including without limitation the legending requirement, to qualify such offer for the exemption from Section 5(c) of the Act provided by Rule 163.</w:t>
      </w:r>
    </w:p>
    <w:p>
      <w:pPr>
        <w:spacing w:after="0" w:line="11" w:lineRule="exact"/>
        <w:rPr>
          <w:rFonts w:ascii="Arial" w:cs="Arial" w:eastAsia="Arial" w:hAnsi="Arial"/>
          <w:sz w:val="16"/>
          <w:szCs w:val="16"/>
          <w:color w:val="auto"/>
        </w:rPr>
      </w:pPr>
    </w:p>
    <w:p>
      <w:pPr>
        <w:ind w:right="160" w:firstLine="443"/>
        <w:spacing w:after="0" w:line="294" w:lineRule="auto"/>
        <w:tabs>
          <w:tab w:leader="none" w:pos="726" w:val="left"/>
        </w:tabs>
        <w:numPr>
          <w:ilvl w:val="1"/>
          <w:numId w:val="5"/>
        </w:numPr>
        <w:rPr>
          <w:rFonts w:ascii="Arial" w:cs="Arial" w:eastAsia="Arial" w:hAnsi="Arial"/>
          <w:sz w:val="16"/>
          <w:szCs w:val="16"/>
          <w:color w:val="auto"/>
        </w:rPr>
      </w:pPr>
      <w:r>
        <w:rPr>
          <w:rFonts w:ascii="Arial" w:cs="Arial" w:eastAsia="Arial" w:hAnsi="Arial"/>
          <w:sz w:val="16"/>
          <w:szCs w:val="16"/>
          <w:color w:val="auto"/>
        </w:rPr>
        <w:t>At the respective times the Original Registration Statement and each amendment thereto became effective, (B) at each deemed effective date with respect to the Underwriters pursuant to Rule 430B(f)(2) under the Act and (C) at the Time of Delivery, the Registration Statement complied and will comply in all material respects with the requirements of the Act, the Trust Indenture Act of 1939, as amended (the “Trust Indenture Act”), and the respective rules and regulations of the Commission thereunder, and did not and will not contain an untrue statement of a material fact or omit to state a material fact required to be stated therein or necessary to make the statements therein not misleading.</w:t>
      </w:r>
    </w:p>
    <w:p>
      <w:pPr>
        <w:spacing w:after="0" w:line="35" w:lineRule="exact"/>
        <w:rPr>
          <w:sz w:val="20"/>
          <w:szCs w:val="20"/>
          <w:color w:val="auto"/>
        </w:rPr>
      </w:pPr>
    </w:p>
    <w:p>
      <w:pPr>
        <w:ind w:firstLine="438"/>
        <w:spacing w:after="0" w:line="306" w:lineRule="auto"/>
        <w:rPr>
          <w:sz w:val="20"/>
          <w:szCs w:val="20"/>
          <w:color w:val="auto"/>
        </w:rPr>
      </w:pPr>
      <w:r>
        <w:rPr>
          <w:rFonts w:ascii="Arial" w:cs="Arial" w:eastAsia="Arial" w:hAnsi="Arial"/>
          <w:sz w:val="16"/>
          <w:szCs w:val="16"/>
          <w:color w:val="auto"/>
        </w:rPr>
        <w:t>Neither the Prospectus nor any amendments or supplements thereto, at the time the Prospectus or any such amendment or supplement was issued and at the Time of Delivery, included or will include an untrue statement of a material fact or omitted or will omit to state a material fact necessary in order to make the statements therein, in the light of the circumstances under which they were made, not misleading.</w:t>
      </w:r>
    </w:p>
    <w:p>
      <w:pPr>
        <w:spacing w:after="0" w:line="26"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Each preliminary prospectus (including the prospectus filed as part of the Original Registration Statement or any amendment thereto) complied when so filed in all material respects with the rules and regulations under the Act and each preliminary prospectus and the Prospectus delivered to the Underwriters for use in connection with each offering of Designated Securities will be identical to the electronically transmitted copies thereof filed with the Commission pursuant to EDGAR, except to the extent permitted by Regulation S-T.</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7" w:name="page8"/>
    <w:bookmarkEnd w:id="7"/>
    <w:p>
      <w:pPr>
        <w:ind w:right="140" w:firstLine="438"/>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the Applicable Time (as defined below), the Statutory Prospectus (as defined below), when considered together with the Issuer Free Writing Prospectus(es) (as defined below) issued at or prior to the Applicable Time, will not include any untrue statement of a material fact or omit to state any material fact necessary in order to make the statements therein, in the light of the circumstances under which they were made, not misleading. The Statutory Prospectus and the Issuer Free Writing Prospectus(es) are collectively referred to herein as the “General Disclosure Package.”</w:t>
      </w:r>
    </w:p>
    <w:p>
      <w:pPr>
        <w:spacing w:after="0" w:line="32" w:lineRule="exact"/>
        <w:rPr>
          <w:sz w:val="20"/>
          <w:szCs w:val="20"/>
          <w:color w:val="auto"/>
        </w:rPr>
      </w:pPr>
    </w:p>
    <w:p>
      <w:pPr>
        <w:ind w:firstLine="438"/>
        <w:spacing w:after="0" w:line="298" w:lineRule="auto"/>
        <w:rPr>
          <w:sz w:val="20"/>
          <w:szCs w:val="20"/>
          <w:color w:val="auto"/>
        </w:rPr>
      </w:pPr>
      <w:r>
        <w:rPr>
          <w:rFonts w:ascii="Arial" w:cs="Arial" w:eastAsia="Arial" w:hAnsi="Arial"/>
          <w:sz w:val="16"/>
          <w:szCs w:val="16"/>
          <w:color w:val="auto"/>
        </w:rPr>
        <w:t>The representations and warranties in the preceding four paragraphs shall not apply to statements in or omissions from the Registration Statement or any post-effective amendment thereto, or the Prospectus or any amendments or supplements thereto, or the General Disclosure Package made in reliance upon and in conformity with information furnished to the Company in writing by the Underwriters expressly for use in the Registration Statement or any post-effective amendment thereto, or the Prospectus or any amendments or supplements thereto, or the General Disclosure Package.</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subsection and elsewhere in this Underwriting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“Applicable Time” shall have the meaning set forth in the Pricing Agreement with respect to the Designated Securities specified therein.</w:t>
      </w:r>
    </w:p>
    <w:p>
      <w:pPr>
        <w:spacing w:after="0" w:line="113" w:lineRule="exact"/>
        <w:rPr>
          <w:sz w:val="20"/>
          <w:szCs w:val="20"/>
          <w:color w:val="auto"/>
        </w:rPr>
      </w:pPr>
    </w:p>
    <w:p>
      <w:pPr>
        <w:ind w:right="60" w:firstLine="438"/>
        <w:spacing w:after="0" w:line="291" w:lineRule="auto"/>
        <w:rPr>
          <w:sz w:val="20"/>
          <w:szCs w:val="20"/>
          <w:color w:val="auto"/>
        </w:rPr>
      </w:pPr>
      <w:r>
        <w:rPr>
          <w:rFonts w:ascii="Arial" w:cs="Arial" w:eastAsia="Arial" w:hAnsi="Arial"/>
          <w:sz w:val="16"/>
          <w:szCs w:val="16"/>
          <w:color w:val="auto"/>
        </w:rPr>
        <w:t>“Issuer Free Writing Prospectus” means any “issuer free writing prospectus,” as defined in Rule 433 under the Act (“Rule 433”), relating to any particular issuance of Designated Securities (including any identified on Exhibit B hereto)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a particular issuance of Designated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39" w:lineRule="exact"/>
        <w:rPr>
          <w:sz w:val="20"/>
          <w:szCs w:val="20"/>
          <w:color w:val="auto"/>
        </w:rPr>
      </w:pPr>
    </w:p>
    <w:p>
      <w:pPr>
        <w:ind w:right="60" w:firstLine="438"/>
        <w:spacing w:after="0" w:line="259" w:lineRule="auto"/>
        <w:rPr>
          <w:sz w:val="20"/>
          <w:szCs w:val="20"/>
          <w:color w:val="auto"/>
        </w:rPr>
      </w:pPr>
      <w:r>
        <w:rPr>
          <w:rFonts w:ascii="Arial" w:cs="Arial" w:eastAsia="Arial" w:hAnsi="Arial"/>
          <w:sz w:val="18"/>
          <w:szCs w:val="18"/>
          <w:color w:val="auto"/>
        </w:rPr>
        <w:t>“Statutory Prospectus” as of any time means the prospectus relating to a particular issuance of Designated Securities that is included in the Registration Statement immediately prior to that time, including the documents incorporated by reference therein and any preliminary or other prospectus deemed to be a part thereof.</w:t>
      </w:r>
    </w:p>
    <w:p>
      <w:pPr>
        <w:spacing w:after="0" w:line="59" w:lineRule="exact"/>
        <w:rPr>
          <w:sz w:val="20"/>
          <w:szCs w:val="20"/>
          <w:color w:val="auto"/>
        </w:rPr>
      </w:pPr>
    </w:p>
    <w:p>
      <w:pPr>
        <w:jc w:val="both"/>
        <w:ind w:right="60" w:firstLine="443"/>
        <w:spacing w:after="0" w:line="306" w:lineRule="auto"/>
        <w:tabs>
          <w:tab w:leader="none" w:pos="68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documents incorporated by reference in the Registration Statement, the General Disclosure Package and the Prospectus, when they became effective or at the time they were or hereafter are filed with the Commission, as the case may be, conformed or will conform in all material respects to the requirements of the Act or the Exchange Act, as applicable, and the rules and regulations of the Commission thereunder.</w:t>
      </w:r>
    </w:p>
    <w:p>
      <w:pPr>
        <w:spacing w:after="0" w:line="9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60"/>
          </w:cols>
          <w:pgMar w:left="700" w:top="280" w:right="339" w:bottom="1440" w:gutter="0" w:footer="0" w:header="0"/>
        </w:sectPr>
      </w:pPr>
    </w:p>
    <w:bookmarkStart w:id="8" w:name="page9"/>
    <w:bookmarkEnd w:id="8"/>
    <w:p>
      <w:pPr>
        <w:ind w:right="100" w:firstLine="443"/>
        <w:spacing w:after="0" w:line="314" w:lineRule="auto"/>
        <w:tabs>
          <w:tab w:leader="none" w:pos="677" w:val="left"/>
        </w:tabs>
        <w:numPr>
          <w:ilvl w:val="0"/>
          <w:numId w:val="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Issuer Free Writing Prospectus identified on Exhibit B hereto, as of its issue date and at all subsequent times through the completion of the public offer and sale of the Designated Securities or until any earlier date that the Company notified or notifies the Underwriters as described in Section 5(g) hereof, did not, does not and will not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The foregoing sentence does not apply to statements in or omissions from any Issuer Free Writing Prospectus made in reliance upon and in conformity with written information furnished to the Company by the Underwriters specifically for use therein.</w:t>
      </w:r>
    </w:p>
    <w:p>
      <w:pPr>
        <w:spacing w:after="0" w:line="23" w:lineRule="exact"/>
        <w:rPr>
          <w:rFonts w:ascii="Arial" w:cs="Arial" w:eastAsia="Arial" w:hAnsi="Arial"/>
          <w:sz w:val="15"/>
          <w:szCs w:val="15"/>
          <w:color w:val="auto"/>
        </w:rPr>
      </w:pPr>
    </w:p>
    <w:p>
      <w:pPr>
        <w:ind w:firstLine="443"/>
        <w:spacing w:after="0" w:line="286" w:lineRule="auto"/>
        <w:tabs>
          <w:tab w:leader="none" w:pos="65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has been duly organized and is validly existing and in good standing as a real estate investment trust under the laws of the State of Maryland, with full power and authority to own, lease and operate its properties and conduct its business as described in the Registration Statement, the General Disclosure Package and the Prospectus; the Company has interests in a number of entities (collectively, the “Entities”), identified on Exhibit D, which have been duly organized and are validly existing as corporations, partnerships, limited liability companies or joint ventures, as the case may be, in good standing under the laws of the jurisdiction of their organization (except for joint ventures, which have no good standing certificate requirements), with full power and authority to own, lease and operate their properties and conduct their business as described in the Registration Statement, the General Disclosure Package and the Prospectus; except as otherwise denoted in Exhibit D hereto, all of the equity interests in the Entities are owned by the Company free and clear of all pledges, liens, encumbrances, claims, security interests and defects; all of the issued and outstanding stock of each Entity that is a corporation has been duly authorized and validly issued and is fully paid and non-assessable; no options, warrants or other rights to convert any obligations into partnership or other ownership interests in the Entities are outstanding; and the Company and the Entities are duly qualified to transact business in all jurisdictions in which the Company and the Entities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the Entities considered as one enterprise.</w:t>
      </w:r>
    </w:p>
    <w:p>
      <w:pPr>
        <w:spacing w:after="0" w:line="39" w:lineRule="exact"/>
        <w:rPr>
          <w:rFonts w:ascii="Arial" w:cs="Arial" w:eastAsia="Arial" w:hAnsi="Arial"/>
          <w:sz w:val="16"/>
          <w:szCs w:val="16"/>
          <w:color w:val="auto"/>
        </w:rPr>
      </w:pPr>
    </w:p>
    <w:p>
      <w:pPr>
        <w:ind w:right="300" w:firstLine="443"/>
        <w:spacing w:after="0" w:line="255" w:lineRule="auto"/>
        <w:tabs>
          <w:tab w:leader="none" w:pos="687" w:val="left"/>
        </w:tabs>
        <w:numPr>
          <w:ilvl w:val="0"/>
          <w:numId w:val="7"/>
        </w:numPr>
        <w:rPr>
          <w:rFonts w:ascii="Arial" w:cs="Arial" w:eastAsia="Arial" w:hAnsi="Arial"/>
          <w:sz w:val="18"/>
          <w:szCs w:val="18"/>
          <w:color w:val="auto"/>
        </w:rPr>
      </w:pPr>
      <w:r>
        <w:rPr>
          <w:rFonts w:ascii="Arial" w:cs="Arial" w:eastAsia="Arial" w:hAnsi="Arial"/>
          <w:sz w:val="18"/>
          <w:szCs w:val="18"/>
          <w:color w:val="auto"/>
        </w:rPr>
        <w:t>Neither the Company nor any of the Entities has sustained since the date of the latest audited financial statements included or incorporated by reference in the Registration Statement, the General Disclosure Package and the Prospectus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the General Disclosure Package and the Prospectus; and, since the date as of which information is given</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9" w:name="page10"/>
    <w:bookmarkEnd w:id="9"/>
    <w:p>
      <w:pPr>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General Disclosure Package and the Prospectus, there has not been any change in the authorized, issued or outstanding capital shares of the Company (except for subsequent issuances, if any, of common shares of beneficial interest (“Common Shares”) pursuant to (x) the Company’s Dividend Reinvestment and Share Purchase Plan as in effect on the date of the applicable Pricing Agreement, (y) any of the Company’s employee or trustee benefits plans, including upon exercise of share options granted pursuant thereto, as such plans are in effect on the date of the applicable Pricing Agreement or</w:t>
      </w:r>
    </w:p>
    <w:p>
      <w:pPr>
        <w:spacing w:after="0" w:line="3" w:lineRule="exact"/>
        <w:rPr>
          <w:sz w:val="20"/>
          <w:szCs w:val="20"/>
          <w:color w:val="auto"/>
        </w:rPr>
      </w:pPr>
    </w:p>
    <w:p>
      <w:pPr>
        <w:ind w:right="140" w:firstLine="4"/>
        <w:spacing w:after="0" w:line="292" w:lineRule="auto"/>
        <w:tabs>
          <w:tab w:leader="none" w:pos="239"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exercise of contractual rights existing on the date of the applicable Pricing Agreement by the current and former holders of partnership or other interests in certain of the “DownREIT” and other Entities listed in Exhibit D hereto which may result in the issuance of Common Shares of the Company) or any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the Entities taken as a whole, otherwise than as set forth or contemplated in the General Disclosure Package and the Prospectus.</w:t>
      </w:r>
    </w:p>
    <w:p>
      <w:pPr>
        <w:spacing w:after="0" w:line="35" w:lineRule="exact"/>
        <w:rPr>
          <w:rFonts w:ascii="Arial" w:cs="Arial" w:eastAsia="Arial" w:hAnsi="Arial"/>
          <w:sz w:val="16"/>
          <w:szCs w:val="16"/>
          <w:color w:val="auto"/>
        </w:rPr>
      </w:pPr>
    </w:p>
    <w:p>
      <w:pPr>
        <w:jc w:val="both"/>
        <w:ind w:right="180" w:firstLine="443"/>
        <w:spacing w:after="0" w:line="306" w:lineRule="auto"/>
        <w:tabs>
          <w:tab w:leader="none" w:pos="687"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Company has an authorized capitalization as set forth in the General Disclosure Package and the Prospectus, all of the issued capital shares of the Company have been duly and validly authorized and issued and are fully paid and non-assessable, and none of the outstanding capital shares of the Company was issued in violation of any preemptive or other similar rights of any securityholder of the Company.</w:t>
      </w:r>
    </w:p>
    <w:p>
      <w:pPr>
        <w:spacing w:after="0" w:line="25" w:lineRule="exact"/>
        <w:rPr>
          <w:rFonts w:ascii="Arial" w:cs="Arial" w:eastAsia="Arial" w:hAnsi="Arial"/>
          <w:sz w:val="16"/>
          <w:szCs w:val="16"/>
          <w:color w:val="auto"/>
        </w:rPr>
      </w:pPr>
    </w:p>
    <w:p>
      <w:pPr>
        <w:ind w:right="80" w:firstLine="443"/>
        <w:spacing w:after="0" w:line="289" w:lineRule="auto"/>
        <w:tabs>
          <w:tab w:leader="none" w:pos="648"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Securities have been duly and validly authorized, and, when Designated Securities are issued and delivered pursuant to this Underwriting Agreement and the Pricing Agreement with respect to such Designated Securities, such Designated Securities will have been duly executed, authenticated, issued and delivered and will constitute valid and legally binding obligations of the Company entitled to the benefits provided by the Indenture, which will be substantially in the form filed as an exhibit to the Registration Statement; the Indenture has been duly authorized and duly qualified under the Trust Indenture Act and, at the Time of Delivery for such Designated Securities, the Indenture will constitute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conforms, and the Designated Securities will conform, to the descriptions thereof contained in the Prospectus as amended or supplemented with respect to such Designated Securities.</w:t>
      </w:r>
    </w:p>
    <w:p>
      <w:pPr>
        <w:spacing w:after="0" w:line="37" w:lineRule="exact"/>
        <w:rPr>
          <w:rFonts w:ascii="Arial" w:cs="Arial" w:eastAsia="Arial" w:hAnsi="Arial"/>
          <w:sz w:val="16"/>
          <w:szCs w:val="16"/>
          <w:color w:val="auto"/>
        </w:rPr>
      </w:pPr>
    </w:p>
    <w:p>
      <w:pPr>
        <w:ind w:right="240" w:firstLine="443"/>
        <w:spacing w:after="0" w:line="259" w:lineRule="auto"/>
        <w:tabs>
          <w:tab w:leader="none" w:pos="648"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issue and sale of the Designated Securities and the compliance by the Company with all of the provisions of the Designated Securities, this Underwriting Agreement and the Pricing Agreement with respect to such Designated Securities, and the consummation of the transactions herein and therein contemplated, will not conflict with or result in a breach or violation of</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10" w:name="page11"/>
    <w:bookmarkEnd w:id="10"/>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of the terms or provisions of, or constitute a default under, any indenture, mortgage, deed of trust, loan agreement or other agreement or instrument to which the Company or any of the Entities is a party or by which the Company or any of the Entities is bound or to which any of the property or assets of the Company or any of the Entities is subject, nor will such action result in any violation of the provisions of the declaration of trust (“Declaration of Trust”) or bylaws (“Bylaws”) of the Company or any statute or any order, rule or regulation of any court or governmental agency or body having jurisdiction over the Company or any of the Entities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Underwriting Agreement or any Pricing Agreement or the Indenture, except such as have been, or will have been prior to the Time of Delivery, obtained under the Act, the Exchange Act and the Trust Indenture Act and except for the rules of the New York Stock Exchange, Inc. (“NYSE”) and such consents, approvals, authorizations, registrations or qualifications as may be required under state securities or “Blue Sky” laws in connection with the purchase and distribution of the Designated Securities by the Underwriters.</w:t>
      </w:r>
    </w:p>
    <w:p>
      <w:pPr>
        <w:spacing w:after="0" w:line="42" w:lineRule="exact"/>
        <w:rPr>
          <w:sz w:val="20"/>
          <w:szCs w:val="20"/>
          <w:color w:val="auto"/>
        </w:rPr>
      </w:pPr>
    </w:p>
    <w:p>
      <w:pPr>
        <w:ind w:firstLine="443"/>
        <w:spacing w:after="0" w:line="294" w:lineRule="auto"/>
        <w:tabs>
          <w:tab w:leader="none" w:pos="687"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than as set forth in the Registration Statement, the General Disclosure Package and the Prospectus, there are no legal or governmental proceedings pending to which the Company or any of the Entities is a party or of which any property of the Company or any of the Entities is the subject which, if determined adversely to the Company or any of the Entities, would individually or in the aggregate have a material adverse effect on the consolidated financial position, shareholders’ equity or results of operations of the Company and the Entities; and, to the best of the Company’s knowledge, no such proceedings are threatened or contemplated by governmental authorities or threatened by others.</w:t>
      </w:r>
    </w:p>
    <w:p>
      <w:pPr>
        <w:spacing w:after="0" w:line="34" w:lineRule="exact"/>
        <w:rPr>
          <w:rFonts w:ascii="Arial" w:cs="Arial" w:eastAsia="Arial" w:hAnsi="Arial"/>
          <w:sz w:val="16"/>
          <w:szCs w:val="16"/>
          <w:color w:val="auto"/>
        </w:rPr>
      </w:pPr>
    </w:p>
    <w:p>
      <w:pPr>
        <w:ind w:firstLine="443"/>
        <w:spacing w:after="0" w:line="291" w:lineRule="auto"/>
        <w:tabs>
          <w:tab w:leader="none" w:pos="64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consolidated financial statements of the Company and the Entities, together with related notes and schedules as set forth or incorporated by reference in the Registration Statement, the General Disclosure Package and the Prospectus present fairly the financial position and the results of operations of the Company and the Entities at the indicated dates and for the indicated periods. Such consolidated financial statements have been prepared in accordance with generally accepted accounting principles, consistently applied throughout the periods involved, and all adjustments necessary for a fair presentation of results for such periods have been made. The summary financial and statistical data contained in the Prospectus present fairly the information shown therein and have been compiled on a basis consistent with the consolidated financial statements incorporated by reference therein.</w:t>
      </w:r>
    </w:p>
    <w:p>
      <w:pPr>
        <w:spacing w:after="0" w:line="39" w:lineRule="exact"/>
        <w:rPr>
          <w:rFonts w:ascii="Arial" w:cs="Arial" w:eastAsia="Arial" w:hAnsi="Arial"/>
          <w:sz w:val="16"/>
          <w:szCs w:val="16"/>
          <w:color w:val="auto"/>
        </w:rPr>
      </w:pPr>
    </w:p>
    <w:p>
      <w:pPr>
        <w:ind w:right="300" w:firstLine="443"/>
        <w:spacing w:after="0" w:line="259" w:lineRule="auto"/>
        <w:tabs>
          <w:tab w:leader="none" w:pos="73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and the Entities have good and marketable title to, or valid and enforceable leasehold estates in, all items of real and personal property referred to in the Registration Statement, the General Disclosure Package and the Prospectus as owned or leased by the Company or any of the Entities, in</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11" w:name="page12"/>
    <w:bookmarkEnd w:id="11"/>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case free and clear of all pledges, liens, encumbrances, claims, security interests and defects, other than those referred to in the Prospectus or which are not material in amount.</w:t>
      </w:r>
    </w:p>
    <w:p>
      <w:pPr>
        <w:spacing w:after="0" w:line="51" w:lineRule="exact"/>
        <w:rPr>
          <w:sz w:val="20"/>
          <w:szCs w:val="20"/>
          <w:color w:val="auto"/>
        </w:rPr>
      </w:pPr>
    </w:p>
    <w:p>
      <w:pPr>
        <w:ind w:left="700" w:hanging="257"/>
        <w:spacing w:after="0"/>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and the Entities have filed all federal, state, local and foreign income tax returns which have been required to be filed, or</w:t>
      </w:r>
    </w:p>
    <w:p>
      <w:pPr>
        <w:spacing w:after="0" w:line="38" w:lineRule="exact"/>
        <w:rPr>
          <w:rFonts w:ascii="Arial" w:cs="Arial" w:eastAsia="Arial" w:hAnsi="Arial"/>
          <w:sz w:val="16"/>
          <w:szCs w:val="16"/>
          <w:color w:val="auto"/>
        </w:rPr>
      </w:pPr>
    </w:p>
    <w:p>
      <w:pPr>
        <w:ind w:right="40"/>
        <w:spacing w:after="0" w:line="261" w:lineRule="auto"/>
        <w:rPr>
          <w:rFonts w:ascii="Arial" w:cs="Arial" w:eastAsia="Arial" w:hAnsi="Arial"/>
          <w:sz w:val="16"/>
          <w:szCs w:val="16"/>
          <w:color w:val="auto"/>
        </w:rPr>
      </w:pPr>
      <w:r>
        <w:rPr>
          <w:rFonts w:ascii="Arial" w:cs="Arial" w:eastAsia="Arial" w:hAnsi="Arial"/>
          <w:sz w:val="18"/>
          <w:szCs w:val="18"/>
          <w:color w:val="auto"/>
        </w:rPr>
        <w:t>appropriate extensions for such filings have been obtained as required by law, and all federal, state, local and foreign taxes of the Company and the Entities have been paid except such taxes as are not yet due or are being contested in good faith.</w:t>
      </w:r>
    </w:p>
    <w:p>
      <w:pPr>
        <w:spacing w:after="0" w:line="56" w:lineRule="exact"/>
        <w:rPr>
          <w:rFonts w:ascii="Arial" w:cs="Arial" w:eastAsia="Arial" w:hAnsi="Arial"/>
          <w:sz w:val="16"/>
          <w:szCs w:val="16"/>
          <w:color w:val="auto"/>
        </w:rPr>
      </w:pPr>
    </w:p>
    <w:p>
      <w:pPr>
        <w:ind w:right="20" w:firstLine="443"/>
        <w:spacing w:after="0" w:line="259" w:lineRule="auto"/>
        <w:tabs>
          <w:tab w:leader="none" w:pos="6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and each of the Entities hold all material licenses, certificates and permits from governmental authorities which are necessary to the conduct of their respective businesses; and neither the Company nor any of the Entities has infringed any patents, patent rights, trade names, trademarks or copyrights, which infringement is material to the business of the Company.</w:t>
      </w:r>
    </w:p>
    <w:p>
      <w:pPr>
        <w:spacing w:after="0" w:line="59" w:lineRule="exact"/>
        <w:rPr>
          <w:rFonts w:ascii="Arial" w:cs="Arial" w:eastAsia="Arial" w:hAnsi="Arial"/>
          <w:sz w:val="18"/>
          <w:szCs w:val="18"/>
          <w:color w:val="auto"/>
        </w:rPr>
      </w:pPr>
    </w:p>
    <w:p>
      <w:pPr>
        <w:ind w:firstLine="443"/>
        <w:spacing w:after="0" w:line="255" w:lineRule="auto"/>
        <w:tabs>
          <w:tab w:leader="none" w:pos="6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Grant Thornton LLP, which audited the consolidated balance sheets of the Company and subsidiaries as of December 31, 2005 and the consolidated statements of operations, consolidated statements of common shareholders’ equity and consolidated statements of cash flows for the year ended December 31, 2005 incorporated by reference in the Registration Statement and Prospectus, is an independent registered public accounting firm as required by the Act and the rules and regulations of the Commission promulgated thereunder and the Public Company Accounting Oversight Board (United States).</w:t>
      </w:r>
    </w:p>
    <w:p>
      <w:pPr>
        <w:spacing w:after="0" w:line="61" w:lineRule="exact"/>
        <w:rPr>
          <w:rFonts w:ascii="Arial" w:cs="Arial" w:eastAsia="Arial" w:hAnsi="Arial"/>
          <w:sz w:val="18"/>
          <w:szCs w:val="18"/>
          <w:color w:val="auto"/>
        </w:rPr>
      </w:pPr>
    </w:p>
    <w:p>
      <w:pPr>
        <w:ind w:right="540" w:firstLine="443"/>
        <w:spacing w:after="0" w:line="332" w:lineRule="auto"/>
        <w:tabs>
          <w:tab w:leader="none" w:pos="684"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conditions for use of registration statements on Form S-3 set forth in the General Instructions on Form S-3 have been satisfied and the Company is entitled to use such form for the transaction contemplated by this Underwriting Agreement and any Pricing Agreement.</w:t>
      </w:r>
    </w:p>
    <w:p>
      <w:pPr>
        <w:spacing w:after="0" w:line="4" w:lineRule="exact"/>
        <w:rPr>
          <w:rFonts w:ascii="Arial" w:cs="Arial" w:eastAsia="Arial" w:hAnsi="Arial"/>
          <w:sz w:val="16"/>
          <w:szCs w:val="16"/>
          <w:color w:val="auto"/>
        </w:rPr>
      </w:pPr>
    </w:p>
    <w:p>
      <w:pPr>
        <w:ind w:right="20" w:firstLine="443"/>
        <w:spacing w:after="0" w:line="290" w:lineRule="auto"/>
        <w:tabs>
          <w:tab w:leader="none" w:pos="657"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the Entities, the Company represents that, as of the date of this Underwriting Agreement, it has no knowledge of any material failure by the Company or the Entities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37" w:lineRule="exact"/>
        <w:rPr>
          <w:rFonts w:ascii="Arial" w:cs="Arial" w:eastAsia="Arial" w:hAnsi="Arial"/>
          <w:sz w:val="16"/>
          <w:szCs w:val="16"/>
          <w:color w:val="auto"/>
        </w:rPr>
      </w:pPr>
    </w:p>
    <w:p>
      <w:pPr>
        <w:ind w:left="680" w:hanging="237"/>
        <w:spacing w:after="0"/>
        <w:tabs>
          <w:tab w:leader="none" w:pos="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With respect to all tax periods regarding which the Internal Revenue Service is or will be entitled to assert any claim, the Company has met</w:t>
      </w:r>
    </w:p>
    <w:p>
      <w:pPr>
        <w:spacing w:after="0" w:line="18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12" w:name="page13"/>
    <w:bookmarkEnd w:id="12"/>
    <w:p>
      <w:pPr>
        <w:ind w:left="44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requirements for qualification as a real estate investment trust under Sections 856 through 860 of the Internal Revenue Code of 1986, as amended (the “Code”), and the Company’s present and contemplated operations, assets and income continue to meet such requirements; and the Company is neither an “investment company” nor a company “controlled” by an “investment company” within the meaning of the Investment Company Act of 1940, as amended.</w:t>
      </w:r>
    </w:p>
    <w:p>
      <w:pPr>
        <w:spacing w:after="0" w:line="88" w:lineRule="exact"/>
        <w:rPr>
          <w:sz w:val="20"/>
          <w:szCs w:val="20"/>
          <w:color w:val="auto"/>
        </w:rPr>
      </w:pPr>
    </w:p>
    <w:p>
      <w:pPr>
        <w:ind w:left="-20" w:right="180" w:firstLine="464"/>
        <w:spacing w:after="0" w:line="259" w:lineRule="auto"/>
        <w:tabs>
          <w:tab w:leader="none" w:pos="6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140" w:lineRule="exact"/>
        <w:rPr>
          <w:rFonts w:ascii="Arial" w:cs="Arial" w:eastAsia="Arial" w:hAnsi="Arial"/>
          <w:sz w:val="18"/>
          <w:szCs w:val="18"/>
          <w:color w:val="auto"/>
        </w:rPr>
      </w:pPr>
    </w:p>
    <w:p>
      <w:pPr>
        <w:ind w:left="-20" w:right="20" w:firstLine="464"/>
        <w:spacing w:after="0" w:line="290" w:lineRule="auto"/>
        <w:tabs>
          <w:tab w:leader="none" w:pos="6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Designated Securities to be purchased by each Underwriter shall be delivered to the Representatives for the account of such Underwriter in the form of one or more global certificates in aggregate denomination equal to the aggregate principal amount of the Designated Securities upon original issuance and registered in the name of Cede &amp; Co., as nominee for The Depository Trust Company, against payment by such Underwriter or on its behalf of the purchase price therefor by wire transfer of federal or other immediately available funds to an account at a bank located in one of the 48 contiguous states of the United States of America (which account shall be designated by the Company upon at least twenty-four hours’ prior notice to the Representatives), all in the manner and at the place and time and date specified in such Pricing Agreement or at such other place and time and date as the Representatives and the Company may agree upon in writing, such time and date being herein called the “Time of Delivery” for such Securities.</w:t>
      </w:r>
    </w:p>
    <w:p>
      <w:pPr>
        <w:spacing w:after="0" w:line="118" w:lineRule="exact"/>
        <w:rPr>
          <w:rFonts w:ascii="Arial" w:cs="Arial" w:eastAsia="Arial" w:hAnsi="Arial"/>
          <w:sz w:val="16"/>
          <w:szCs w:val="16"/>
          <w:color w:val="auto"/>
        </w:rPr>
      </w:pPr>
    </w:p>
    <w:p>
      <w:pPr>
        <w:ind w:left="620" w:hanging="176"/>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agrees with each of the Underwriters of any Designated Securities that:</w:t>
      </w:r>
    </w:p>
    <w:p>
      <w:pPr>
        <w:spacing w:after="0" w:line="90" w:lineRule="exact"/>
        <w:rPr>
          <w:rFonts w:ascii="Arial" w:cs="Arial" w:eastAsia="Arial" w:hAnsi="Arial"/>
          <w:sz w:val="18"/>
          <w:szCs w:val="18"/>
          <w:color w:val="auto"/>
        </w:rPr>
      </w:pPr>
    </w:p>
    <w:p>
      <w:pPr>
        <w:ind w:left="440" w:firstLine="443"/>
        <w:spacing w:after="0" w:line="288" w:lineRule="auto"/>
        <w:tabs>
          <w:tab w:leader="none" w:pos="1117"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Company, subject to Section 5(b), will comply with the requirements of Rule 430B and will notify the Representatives immediately, and confirm the notice in writing, (i) when any post-effective amendment to the Registration Statement or new registration statement relating to the Designated Securities shall become effective, or any supplement to the Prospectus or any amended Prospectus shall have been filed, (ii) of the receipt of any comments from the Commission, (iii) of any request by the Commission for any amendment to the Registration Statement or the filing of a new registration statement or any amendment or supplement to the Prospectus or any document incorporated by reference therein or otherwise deemed to be a part thereof or for additional information, (iv) of the issuance by the Commission of any stop order suspending the effectiveness of the Registration Statement or such new registration statement or of any order preventing or suspending the use of any preliminary prospectus, or of the suspension of the qualification of the Designated Securities for offering or sale in any jurisdiction, or of the initiation or threatening of any proceedings for any of such purposes or of any examination pursuant to Section 8(e) of the Act concerning the Registration Statement and (v) if the Company becomes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80" w:right="259" w:bottom="1440" w:gutter="0" w:footer="0" w:header="0"/>
        </w:sectPr>
      </w:pPr>
    </w:p>
    <w:bookmarkStart w:id="13" w:name="page14"/>
    <w:bookmarkEnd w:id="13"/>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of a proceeding under Section 8A of the Act in connection with the offering of the Designated Securities. The Company will effect the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 The Company shall pay the required Commission filing fees relating to the Designated Securities within the time required by Rule 456(b)(1)(i) under the Act without regard to the proviso therein and otherwise in accordance with Rules 456(b) and 457(r) under the Act (including, if applicable, by updating the “Calculation of Registration Fee” table in accordance with Rule 456(b)(1)(ii) either in a post-effective amendment to the Registration Statement or on the cover page of a prospectus filed pursuant to Rule 424(b));</w:t>
      </w:r>
    </w:p>
    <w:p>
      <w:pPr>
        <w:spacing w:after="0" w:line="39" w:lineRule="exact"/>
        <w:rPr>
          <w:sz w:val="20"/>
          <w:szCs w:val="20"/>
          <w:color w:val="auto"/>
        </w:rPr>
      </w:pPr>
    </w:p>
    <w:p>
      <w:pPr>
        <w:ind w:right="60" w:firstLine="443"/>
        <w:spacing w:after="0" w:line="307" w:lineRule="auto"/>
        <w:tabs>
          <w:tab w:leader="none" w:pos="687" w:val="left"/>
        </w:tabs>
        <w:numPr>
          <w:ilvl w:val="0"/>
          <w:numId w:val="12"/>
        </w:numPr>
        <w:rPr>
          <w:rFonts w:ascii="Arial" w:cs="Arial" w:eastAsia="Arial" w:hAnsi="Arial"/>
          <w:sz w:val="15"/>
          <w:szCs w:val="15"/>
          <w:color w:val="auto"/>
        </w:rPr>
      </w:pPr>
      <w:r>
        <w:rPr>
          <w:rFonts w:ascii="Arial" w:cs="Arial" w:eastAsia="Arial" w:hAnsi="Arial"/>
          <w:sz w:val="15"/>
          <w:szCs w:val="15"/>
          <w:color w:val="auto"/>
        </w:rPr>
        <w:t>From the Applicable Time to the Time of Delivery, the Company will give the Representatives notice of its intention to file or prepare any amendment to the Registration Statement or new registration statement relating to the Designated Securities or any amendment, supplement or revision to either any preliminary prospectus (including any prospectus included in the Original Registration Statement or amendment thereto at the time it became effective) or to the Prospectus, whether pursuant to the Act, the Exchange Act or otherwise, and the Company will furnish the Representatives with copies of any such documents a reasonable amount of time prior to such proposed filing or use, as the case may be, and will not file or use any such document to which the Representatives or counsel for the Underwriters shall reasonably object. The Company has given the Representatives notice of any filings made pursuant to the Exchange Act or the Commission’s regulations thereunder within 48 hours prior to the Applicable Time. The Company will prepare a final term sheet (the “Final Term Sheet”) reflecting the final terms of the Designated Securities, substantially in the form set forth on Schedule I of Exhibit B hereto, and shall file such Final Term Sheet as an “issuer free writing prospectus” pursuant to Rule 433 prior to the close of business two business days after the date hereof; provided that the Company shall furnish the Representatives with copies of such Final Term Sheet a reasonable amount of time prior to such proposed filing and will not use or file any such document to which the Representatives or counsel to the Underwriters shall reasonably object;</w:t>
      </w:r>
    </w:p>
    <w:p>
      <w:pPr>
        <w:spacing w:after="0" w:line="30" w:lineRule="exact"/>
        <w:rPr>
          <w:rFonts w:ascii="Arial" w:cs="Arial" w:eastAsia="Arial" w:hAnsi="Arial"/>
          <w:sz w:val="15"/>
          <w:szCs w:val="15"/>
          <w:color w:val="auto"/>
        </w:rPr>
      </w:pPr>
    </w:p>
    <w:p>
      <w:pPr>
        <w:ind w:right="160" w:firstLine="443"/>
        <w:spacing w:after="0" w:line="298" w:lineRule="auto"/>
        <w:tabs>
          <w:tab w:leader="none" w:pos="67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represents and agrees that, unless it obtains the prior written consent of the Underwriters, and each Underwriter represents and agrees that, unless it obtains the prior written consent of the Company and the other Underwriters, it has not made and will not make any offer relating to the Designated Securities that would constitute an “issuer free writing prospectus,” as defined in Rule 433, or that would otherwise constitute a “free writing prospectus,” as defined in Rule 405, in each case required to be filed with the</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00" w:top="280" w:right="279" w:bottom="1440" w:gutter="0" w:footer="0" w:header="0"/>
        </w:sectPr>
      </w:pPr>
    </w:p>
    <w:bookmarkStart w:id="14" w:name="page15"/>
    <w:bookmarkEnd w:id="1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Commission;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prior to the preparation of the Final Term Sheet in accordance with Section 5(b) hereof, the Underwriters are authorized to use the information with respect to the final terms of the Designated Securities in communications conveying information relating to the offering to investors. Any such free writing prospectus consented to by the Company and the Underwriters is hereinafter referred to as a “Permitted Free Writing Prospectus.”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p>
      <w:pPr>
        <w:spacing w:after="0" w:line="39" w:lineRule="exact"/>
        <w:rPr>
          <w:sz w:val="20"/>
          <w:szCs w:val="20"/>
          <w:color w:val="auto"/>
        </w:rPr>
      </w:pPr>
    </w:p>
    <w:p>
      <w:pPr>
        <w:ind w:firstLine="443"/>
        <w:spacing w:after="0" w:line="255"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promptly from time to time will take such action as the Representatives may reasonably request to qualify such Designated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Designated Securities, provided that in connection therewith the Company shall not be required to qualify as a foreign corporation or to file a general consent to service of process in any jurisdiction;</w:t>
      </w:r>
    </w:p>
    <w:p>
      <w:pPr>
        <w:spacing w:after="0" w:line="61" w:lineRule="exact"/>
        <w:rPr>
          <w:rFonts w:ascii="Arial" w:cs="Arial" w:eastAsia="Arial" w:hAnsi="Arial"/>
          <w:sz w:val="18"/>
          <w:szCs w:val="18"/>
          <w:color w:val="auto"/>
        </w:rPr>
      </w:pPr>
    </w:p>
    <w:p>
      <w:pPr>
        <w:ind w:right="60" w:firstLine="443"/>
        <w:spacing w:after="0" w:line="290" w:lineRule="auto"/>
        <w:tabs>
          <w:tab w:leader="none" w:pos="67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has furnished or will deliver to the Representatives and counsel for the Underwriters, without charge, signed copies of the Original Registration Statement and of each amendment thereto (including exhibits filed therewith or incorporated by reference therein and documents incorporated or deemed to be incorporated by reference therein or otherwise deemed to be a part thereof) and signed copies of all consents and certificates of experts, and will also deliver to the Representatives, without charge, a conformed copy of the Original Registration Statement and of each amendment thereto (without exhibits) for each of the Underwriters. The copies of the Original Registration Statement and each amendment thereto furnished to the Underwriters will be identical to the electronically transmitted copies thereof filed with the Commission pursuant to EDGAR, except to the extent permitted by Regulation S-T;</w:t>
      </w:r>
    </w:p>
    <w:p>
      <w:pPr>
        <w:spacing w:after="0" w:line="37" w:lineRule="exact"/>
        <w:rPr>
          <w:rFonts w:ascii="Arial" w:cs="Arial" w:eastAsia="Arial" w:hAnsi="Arial"/>
          <w:sz w:val="16"/>
          <w:szCs w:val="16"/>
          <w:color w:val="auto"/>
        </w:rPr>
      </w:pPr>
    </w:p>
    <w:p>
      <w:pPr>
        <w:ind w:right="60" w:firstLine="443"/>
        <w:spacing w:after="0" w:line="290" w:lineRule="auto"/>
        <w:tabs>
          <w:tab w:leader="none" w:pos="65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has delivered to each Underwriter, without charge, as many copies of each preliminary prospectus as such Underwriter reasonably requested, and the Company hereby consents to the use of such copies for purposes permitted by the Act. The Company will furnish to each Underwriter, without charge, during the period when the Prospectus is required to be delivered under the Act in connection with sales of the Designated Securities,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 The Company, during the period when the Prospectus is required to be delivered under the Act, will file all documents</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80" w:right="239" w:bottom="1440" w:gutter="0" w:footer="0" w:header="0"/>
        </w:sectPr>
      </w:pPr>
    </w:p>
    <w:bookmarkStart w:id="15" w:name="page16"/>
    <w:bookmarkEnd w:id="15"/>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required to be filed with the Commission pursuant to the Exchange Act within the time periods required by the Exchange Act and the rules and regulations of the Commission thereunder;</w:t>
      </w:r>
    </w:p>
    <w:p>
      <w:pPr>
        <w:spacing w:after="0" w:line="51" w:lineRule="exact"/>
        <w:rPr>
          <w:sz w:val="20"/>
          <w:szCs w:val="20"/>
          <w:color w:val="auto"/>
        </w:rPr>
      </w:pPr>
    </w:p>
    <w:p>
      <w:pPr>
        <w:ind w:firstLine="443"/>
        <w:spacing w:after="0" w:line="304" w:lineRule="auto"/>
        <w:tabs>
          <w:tab w:leader="none" w:pos="687"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Company will comply with the Act and the rules and regulations of the Commission thereunder, the Exchange Act and the rules and regulations of the Commission thereunder and the Trust Indenture Act and the rules and regulations of the Commission thereunder so as to permit the completion of the distribution of the Designated Securities as contemplated in this Underwriting Agreement, a related Pricing Agreement and in the Prospectus. If at any time when a prospectus is required by the Act to be delivered in connection with sales of the Designated Securities, any event shall occur or condition shall exist as a result of which it is necessary, in the opinion of counsel for the Underwriters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to file a new registration statement or amend or supplement the Prospectus in order to comply with the requirements of the Act or the rules and regulations thereunder, the Company will promptly prepare and file with the Commission, subject to Section 5(b) hereof, such amendment, supplement or new registration statement as may be necessary to correct such statement or omission or to comply with such requirements, the Company will use its reasonable efforts to have such amendment or new registration statement declared effective as soon as practicable (if it is not an automatic shelf registration statement with respect to the Designated Securities) and the Company will furnish to the Underwriters such number of copies of such amendment, supplement or new registration statement as the Representatives may reasonably request. If at any time following issuance of an Issuer Free Writing Prospectus there occurred or occurs an event or development as a result of which such Issuer Free Writing Prospectus conflicted or would conflict with the information contained in the Registration Statement (or any other registration statement relating to the Designated Securities) or the Statutory Prospectus or any preliminary prospectus or included or would include an untrue statement of a material fact or omitted or would omit to state a material fact necessary in order to make the statements therein, in the light of the circumstances prevailing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253" w:lineRule="exact"/>
        <w:rPr>
          <w:rFonts w:ascii="Arial" w:cs="Arial" w:eastAsia="Arial" w:hAnsi="Arial"/>
          <w:sz w:val="15"/>
          <w:szCs w:val="15"/>
          <w:color w:val="auto"/>
        </w:rPr>
      </w:pPr>
    </w:p>
    <w:p>
      <w:pPr>
        <w:ind w:right="180" w:firstLine="443"/>
        <w:spacing w:after="0" w:line="259"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will timely file such reports pursuant to the Exchange Act as are necessary in order to make generally available to its securityholders as soon as practicable an earnings statement for the purposes of, and to provide to the Underwriters the benefits contemplated by, the last paragraph of Section 11(a) of the Act;</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700" w:top="280" w:right="279" w:bottom="1440" w:gutter="0" w:footer="0" w:header="0"/>
        </w:sectPr>
      </w:pPr>
    </w:p>
    <w:bookmarkStart w:id="16" w:name="page17"/>
    <w:bookmarkEnd w:id="16"/>
    <w:p>
      <w:pPr>
        <w:ind w:left="360" w:right="280" w:firstLine="443"/>
        <w:spacing w:after="0" w:line="286" w:lineRule="auto"/>
        <w:tabs>
          <w:tab w:leader="none" w:pos="1008" w:val="left"/>
        </w:tabs>
        <w:numPr>
          <w:ilvl w:val="1"/>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period beginning on and including the date of the Pricing Agreement for such Designated Securities and continuing through and including the earlier of (i) the termination of trading restrictions for such Designated Securities, as notified to the Company by the Representatives and</w:t>
      </w:r>
    </w:p>
    <w:p>
      <w:pPr>
        <w:ind w:left="360" w:right="20" w:firstLine="4"/>
        <w:spacing w:after="0" w:line="302" w:lineRule="auto"/>
        <w:tabs>
          <w:tab w:leader="none" w:pos="619"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Time of Delivery for such Designated Securities, but in no event later than 90 days from the date of the Pricing Agreement, the Company will not offer, sell, contract to sell, pledge or otherwise issue any debt securities of the Company which mature more than one year after such Time of Delivery and which are substantially similar to such Designated Securities, without the prior written consent of the Representatives;</w:t>
      </w:r>
    </w:p>
    <w:p>
      <w:pPr>
        <w:spacing w:after="0" w:line="28" w:lineRule="exact"/>
        <w:rPr>
          <w:sz w:val="20"/>
          <w:szCs w:val="20"/>
          <w:color w:val="auto"/>
        </w:rPr>
      </w:pPr>
    </w:p>
    <w:p>
      <w:pPr>
        <w:ind w:left="360" w:right="100" w:firstLine="443"/>
        <w:spacing w:after="0" w:line="268" w:lineRule="auto"/>
        <w:tabs>
          <w:tab w:leader="none" w:pos="1008"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Company will use the net proceeds received by it from the sale of the Designated Securities in the manner specified in the Prospectus under the caption “Use of Proceeds”;</w:t>
      </w:r>
    </w:p>
    <w:p>
      <w:pPr>
        <w:spacing w:after="0" w:line="50" w:lineRule="exact"/>
        <w:rPr>
          <w:rFonts w:ascii="Arial" w:cs="Arial" w:eastAsia="Arial" w:hAnsi="Arial"/>
          <w:sz w:val="18"/>
          <w:szCs w:val="18"/>
          <w:color w:val="auto"/>
        </w:rPr>
      </w:pPr>
    </w:p>
    <w:p>
      <w:pPr>
        <w:ind w:left="360" w:right="200" w:firstLine="443"/>
        <w:spacing w:after="0" w:line="268" w:lineRule="auto"/>
        <w:tabs>
          <w:tab w:leader="none" w:pos="1047"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Company will qualify as a “real estate investment trust” under the Code, and to use its best efforts to continue to meet the requirements to qualify as a “real estate investment trust”; and</w:t>
      </w:r>
    </w:p>
    <w:p>
      <w:pPr>
        <w:spacing w:after="0" w:line="50" w:lineRule="exact"/>
        <w:rPr>
          <w:rFonts w:ascii="Arial" w:cs="Arial" w:eastAsia="Arial" w:hAnsi="Arial"/>
          <w:sz w:val="18"/>
          <w:szCs w:val="18"/>
          <w:color w:val="auto"/>
        </w:rPr>
      </w:pPr>
    </w:p>
    <w:p>
      <w:pPr>
        <w:ind w:left="360" w:firstLine="443"/>
        <w:spacing w:after="0" w:line="310" w:lineRule="auto"/>
        <w:tabs>
          <w:tab w:leader="none" w:pos="1008" w:val="left"/>
        </w:tabs>
        <w:numPr>
          <w:ilvl w:val="1"/>
          <w:numId w:val="17"/>
        </w:numPr>
        <w:rPr>
          <w:rFonts w:ascii="Arial" w:cs="Arial" w:eastAsia="Arial" w:hAnsi="Arial"/>
          <w:sz w:val="15"/>
          <w:szCs w:val="15"/>
          <w:color w:val="auto"/>
        </w:rPr>
      </w:pPr>
      <w:r>
        <w:rPr>
          <w:rFonts w:ascii="Arial" w:cs="Arial" w:eastAsia="Arial" w:hAnsi="Arial"/>
          <w:sz w:val="15"/>
          <w:szCs w:val="15"/>
          <w:color w:val="auto"/>
        </w:rPr>
        <w:t>The Company acknowledges and agrees that the Underwriters of such Designated Securities are acting solely in the capacity of an arm’s length contractual counterparty to the Company with respect to the offering of such Designated Securities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in any Pricing Agreement, and the Underwriters shall have no responsibility or liability to the Company with respect thereto. Any review by the Underwriters of the Company, the transactions contemplated hereby or in any Pricing Agreement or other matters relating to such transactions will be performed solely for the benefit of the Underwriters and shall not be on behalf of the Company.</w:t>
      </w:r>
    </w:p>
    <w:p>
      <w:pPr>
        <w:spacing w:after="0" w:line="108" w:lineRule="exact"/>
        <w:rPr>
          <w:rFonts w:ascii="Arial" w:cs="Arial" w:eastAsia="Arial" w:hAnsi="Arial"/>
          <w:sz w:val="15"/>
          <w:szCs w:val="15"/>
          <w:color w:val="auto"/>
        </w:rPr>
      </w:pPr>
    </w:p>
    <w:p>
      <w:pPr>
        <w:ind w:left="-100" w:right="60" w:firstLine="464"/>
        <w:spacing w:after="0" w:line="253" w:lineRule="auto"/>
        <w:tabs>
          <w:tab w:leader="none" w:pos="5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and filing of the Registration Statement, any preliminary prospectus, Permitted Free Writing Prospectus and the Prospectus and amendments and supplements thereto and the mailing and delivering of copies thereof to the Underwriters and dealers; (ii) the cost of printing or producing any Agreement Among Underwriters, this Underwriting Agreement, any Pricing Agreement, any Indenture, any Blue Sky and legal investment surveys and any other documents in connection with the offering, purchase, sale and delivery of the Securities; (iii) all expenses in connection with the qualification of the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40" w:top="280" w:right="319" w:bottom="1440" w:gutter="0" w:footer="0" w:header="0"/>
        </w:sectPr>
      </w:pPr>
    </w:p>
    <w:bookmarkStart w:id="17" w:name="page18"/>
    <w:bookmarkEnd w:id="1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for offering and sale under state securities laws as provided in Section 5(d) hereof, including the fees and disbursements of counsel for the Underwriters in connection with such qualification and in connection with the Blue Sky and legal investment surveys; (iv) any fees charged by securities rating services for rating the Securities; (v) any filing fees incident to any required review by the National Association of Securities Dealers, Inc. of the terms of the sale of the Securities; (vi) the fees and expenses of any Trustee and any agent of any Trustee and the fees and disbursements of counsel for any Trustee in connection with any Indenture and the Securities; (vii) all other costs and expenses incident to the performance of its obligations hereunder which are not otherwise specifically provided for in this Section; and (viii) the costs and expenses (including without limitation any damages or other amounts payable in connection with legal or contractual liability) associated with the reforming of any contracts for sale of the Designated Securities made by the Underwriters caused by a breach of the representation contained in the sixth paragraph of Section 2(c) hereof. It is understood, however, that, except as provided in this Section, Section 8 and Section 11 hereof, the Underwriters will pay all of their own costs and expenses, including the fees of their counsel, transfer taxes on resale of any of the Securities by them, and any advertising expenses connected with any offers they may make.</w:t>
      </w:r>
    </w:p>
    <w:p>
      <w:pPr>
        <w:spacing w:after="0" w:line="123" w:lineRule="exact"/>
        <w:rPr>
          <w:sz w:val="20"/>
          <w:szCs w:val="20"/>
          <w:color w:val="auto"/>
        </w:rPr>
      </w:pPr>
    </w:p>
    <w:p>
      <w:pPr>
        <w:ind w:right="40" w:firstLine="464"/>
        <w:spacing w:after="0" w:line="255"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from this Underwriting Agreement into, the Pricing Agreement relating to such Designated Securities are, at and as of the Time of Delivery for such Designated Securities, true and correct, to the condition that the Company shall have performed all of its obligations hereunder theretofore to be performed, and to the following additional conditions:</w:t>
      </w:r>
    </w:p>
    <w:p>
      <w:pPr>
        <w:spacing w:after="0" w:line="61" w:lineRule="exact"/>
        <w:rPr>
          <w:rFonts w:ascii="Arial" w:cs="Arial" w:eastAsia="Arial" w:hAnsi="Arial"/>
          <w:sz w:val="18"/>
          <w:szCs w:val="18"/>
          <w:color w:val="auto"/>
        </w:rPr>
      </w:pPr>
    </w:p>
    <w:p>
      <w:pPr>
        <w:ind w:left="460" w:right="80" w:firstLine="443"/>
        <w:spacing w:after="0" w:line="310" w:lineRule="auto"/>
        <w:tabs>
          <w:tab w:leader="none" w:pos="1137" w:val="left"/>
        </w:tabs>
        <w:numPr>
          <w:ilvl w:val="1"/>
          <w:numId w:val="19"/>
        </w:numPr>
        <w:rPr>
          <w:rFonts w:ascii="Arial" w:cs="Arial" w:eastAsia="Arial" w:hAnsi="Arial"/>
          <w:sz w:val="15"/>
          <w:szCs w:val="15"/>
          <w:color w:val="auto"/>
        </w:rPr>
      </w:pPr>
      <w:r>
        <w:rPr>
          <w:rFonts w:ascii="Arial" w:cs="Arial" w:eastAsia="Arial" w:hAnsi="Arial"/>
          <w:sz w:val="15"/>
          <w:szCs w:val="15"/>
          <w:color w:val="auto"/>
        </w:rPr>
        <w:t>The Prospectus containing the 430B Information as amended or supplemented in relation to the applicable Designated Securities shall have been filed with the Commission in the manner and within the time period required by Rule 424(b) without reliance on Rule 424(b)(8)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 the Company shall have paid the required Commission filing fees relating to the Designated Securities within the time period required by Rule 456(b)(1)(i) under the Act without regard to the proviso therein and otherwise in accordance with Rules 456(b) and 457(r) under the Act and, if applicable, shall have updated the “Calculation of Registration Fee” table in accordance with Rule 456(b)(i)(ii) either in a post-effective amendment to the Registration Statement or on the cover page of a prospectus filed pursuant to Rule 424(b).</w:t>
      </w:r>
    </w:p>
    <w:p>
      <w:pPr>
        <w:spacing w:after="0" w:line="27" w:lineRule="exact"/>
        <w:rPr>
          <w:rFonts w:ascii="Arial" w:cs="Arial" w:eastAsia="Arial" w:hAnsi="Arial"/>
          <w:sz w:val="15"/>
          <w:szCs w:val="15"/>
          <w:color w:val="auto"/>
        </w:rPr>
      </w:pPr>
    </w:p>
    <w:p>
      <w:pPr>
        <w:ind w:left="1160" w:hanging="257"/>
        <w:spacing w:after="0"/>
        <w:tabs>
          <w:tab w:leader="none" w:pos="11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 xml:space="preserve">Sidley Austin </w:t>
      </w:r>
      <w:r>
        <w:rPr>
          <w:rFonts w:ascii="Arial" w:cs="Arial" w:eastAsia="Arial" w:hAnsi="Arial"/>
          <w:sz w:val="13"/>
          <w:szCs w:val="13"/>
          <w:color w:val="auto"/>
        </w:rPr>
        <w:t>LLP</w:t>
      </w:r>
      <w:r>
        <w:rPr>
          <w:rFonts w:ascii="Arial" w:cs="Arial" w:eastAsia="Arial" w:hAnsi="Arial"/>
          <w:sz w:val="16"/>
          <w:szCs w:val="16"/>
          <w:color w:val="auto"/>
        </w:rPr>
        <w:t>, counsel for the Underwriters, shall have furnished to the Representatives such opinion or opinions, dated the Time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8" w:name="page19"/>
    <w:bookmarkEnd w:id="18"/>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Delivery for such Designated Securities, with respect to the organization of the Company, the validity of the Indenture, the Registration Statement, the Prospectus as amended or supplemented and other related matters as the Representatives may reasonably request, and such counsel shall have received such papers and information as it may reasonably request to enable it to pass upon such matters (in rendering such opinion, Sidley Austin </w:t>
      </w:r>
      <w:r>
        <w:rPr>
          <w:rFonts w:ascii="Arial" w:cs="Arial" w:eastAsia="Arial" w:hAnsi="Arial"/>
          <w:sz w:val="13"/>
          <w:szCs w:val="13"/>
          <w:color w:val="auto"/>
        </w:rPr>
        <w:t>LLP</w:t>
      </w:r>
      <w:r>
        <w:rPr>
          <w:rFonts w:ascii="Arial" w:cs="Arial" w:eastAsia="Arial" w:hAnsi="Arial"/>
          <w:sz w:val="16"/>
          <w:szCs w:val="16"/>
          <w:color w:val="auto"/>
        </w:rPr>
        <w:t xml:space="preserve"> may rely, as to all matters arising under or governed by the laws of the State of Maryland, on the opinion of Pillsbury Winthrop Shaw Pittman LLP);</w:t>
      </w:r>
    </w:p>
    <w:p>
      <w:pPr>
        <w:spacing w:after="0" w:line="32" w:lineRule="exact"/>
        <w:rPr>
          <w:sz w:val="20"/>
          <w:szCs w:val="20"/>
          <w:color w:val="auto"/>
        </w:rPr>
      </w:pPr>
    </w:p>
    <w:p>
      <w:pPr>
        <w:ind w:firstLine="443"/>
        <w:spacing w:after="0" w:line="332" w:lineRule="auto"/>
        <w:tabs>
          <w:tab w:leader="none" w:pos="677" w:val="left"/>
        </w:tabs>
        <w:numPr>
          <w:ilvl w:val="0"/>
          <w:numId w:val="20"/>
        </w:numPr>
        <w:rPr>
          <w:rFonts w:ascii="Arial" w:cs="Arial" w:eastAsia="Arial" w:hAnsi="Arial"/>
          <w:sz w:val="16"/>
          <w:szCs w:val="16"/>
          <w:color w:val="auto"/>
        </w:rPr>
      </w:pPr>
      <w:r>
        <w:rPr>
          <w:rFonts w:ascii="Arial" w:cs="Arial" w:eastAsia="Arial" w:hAnsi="Arial"/>
          <w:sz w:val="16"/>
          <w:szCs w:val="16"/>
          <w:color w:val="auto"/>
        </w:rPr>
        <w:t>Pillsbury Winthrop Shaw Pittman LLP, counsel for the Company, shall have furnished to the Representatives their written opinion, dated the Time of Delivery for such Designated Securities, in form and substance satisfactory to the Representatives, to the effect set forth in Exhibit C hereto.</w:t>
      </w:r>
    </w:p>
    <w:p>
      <w:pPr>
        <w:spacing w:after="0" w:line="4" w:lineRule="exact"/>
        <w:rPr>
          <w:rFonts w:ascii="Arial" w:cs="Arial" w:eastAsia="Arial" w:hAnsi="Arial"/>
          <w:sz w:val="16"/>
          <w:szCs w:val="16"/>
          <w:color w:val="auto"/>
        </w:rPr>
      </w:pPr>
    </w:p>
    <w:p>
      <w:pPr>
        <w:ind w:right="20" w:firstLine="443"/>
        <w:spacing w:after="0" w:line="286" w:lineRule="auto"/>
        <w:tabs>
          <w:tab w:leader="none" w:pos="687"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addition to the above opinion, the Representatives shall have received the opinion or opinions of Pillsbury Winthrop Shaw Pittman LLP, Tax Counsel to the Company, dated the Time of Delivery for such Designated Securities, in form and substance satisfactory to the Representatives, to the effect that, subject to customary representations, qualifications and exclusions, (1) the Company qualified as a real estate investment trust (“REIT”) under the Code for its taxable years ending through December 31, 2005, (2) the Company is organized in conformity with the requirements for qualification as a REIT under the Code, and its current method of operation will enable it to meet the requirements for qualification as a REIT for the current taxable year and for future taxable years; and (3) the discussion in (x) the Prospectus under the captions “Certain Federal Income Tax Considerations” and “Federal Income Tax Consequences,” and (y) the Company’s Annual Report on Form 10-K for the year ended December 31, 2005 under the captions “Risk Factors– 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Prospectus, to the extent that it discusses matters of law or legal conclusions or purports to describe certain provisions of the federal tax laws, is a correct summary of the matters discussed therein, and the opinions of such counsel appearing in the Prospectus under “Certain Federal Income Tax Considerations” and “Federal Income Tax Consequences” are hereby confirmed;</w:t>
      </w:r>
    </w:p>
    <w:p>
      <w:pPr>
        <w:spacing w:after="0" w:line="39" w:lineRule="exact"/>
        <w:rPr>
          <w:rFonts w:ascii="Arial" w:cs="Arial" w:eastAsia="Arial" w:hAnsi="Arial"/>
          <w:sz w:val="16"/>
          <w:szCs w:val="16"/>
          <w:color w:val="auto"/>
        </w:rPr>
      </w:pPr>
    </w:p>
    <w:p>
      <w:pPr>
        <w:ind w:right="100" w:firstLine="443"/>
        <w:spacing w:after="0" w:line="259" w:lineRule="auto"/>
        <w:tabs>
          <w:tab w:leader="none" w:pos="6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the date of the Pricing Agreement for such Designated Securities and at the Time of Delivery for such Designated Securities, Grant Thornton LLP, the independent accountants of the Company, shall have furnished to the Underwriters a “comfort letter” in form and substance satisfactory to the Representatives;</w:t>
      </w:r>
    </w:p>
    <w:p>
      <w:pPr>
        <w:spacing w:after="0" w:line="59" w:lineRule="exact"/>
        <w:rPr>
          <w:rFonts w:ascii="Arial" w:cs="Arial" w:eastAsia="Arial" w:hAnsi="Arial"/>
          <w:sz w:val="18"/>
          <w:szCs w:val="18"/>
          <w:color w:val="auto"/>
        </w:rPr>
      </w:pPr>
    </w:p>
    <w:p>
      <w:pPr>
        <w:ind w:left="660" w:hanging="217"/>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At the Time of Delivery for such Designated Securities, the Designated Securities shall be rated at least Baa2 by Moody’s Investor’s Service</w:t>
      </w:r>
    </w:p>
    <w:p>
      <w:pPr>
        <w:spacing w:after="0" w:line="18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80" w:right="239" w:bottom="1440" w:gutter="0" w:footer="0" w:header="0"/>
        </w:sectPr>
      </w:pPr>
    </w:p>
    <w:bookmarkStart w:id="19" w:name="page20"/>
    <w:bookmarkEnd w:id="1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 and BBB+ by Standard &amp; Poor’s Ratings Group, a division of McGraw-Hill, Inc., and the Company shall have delivered to the Representatives a letter dated the Time of Delivery, from each such rating agency, or other evidence satisfactory to the Representatives, confirming that the Designated Securities have such ratings;</w:t>
      </w:r>
    </w:p>
    <w:p>
      <w:pPr>
        <w:spacing w:after="0" w:line="59" w:lineRule="exact"/>
        <w:rPr>
          <w:sz w:val="20"/>
          <w:szCs w:val="20"/>
          <w:color w:val="auto"/>
        </w:rPr>
      </w:pPr>
    </w:p>
    <w:p>
      <w:pPr>
        <w:ind w:right="80" w:firstLine="443"/>
        <w:spacing w:after="0" w:line="301" w:lineRule="auto"/>
        <w:tabs>
          <w:tab w:leader="none" w:pos="687" w:val="left"/>
        </w:tabs>
        <w:numPr>
          <w:ilvl w:val="1"/>
          <w:numId w:val="21"/>
        </w:numPr>
        <w:rPr>
          <w:rFonts w:ascii="Arial" w:cs="Arial" w:eastAsia="Arial" w:hAnsi="Arial"/>
          <w:sz w:val="15"/>
          <w:szCs w:val="15"/>
          <w:color w:val="auto"/>
        </w:rPr>
      </w:pPr>
      <w:r>
        <w:rPr>
          <w:rFonts w:ascii="Arial" w:cs="Arial" w:eastAsia="Arial" w:hAnsi="Arial"/>
          <w:sz w:val="15"/>
          <w:szCs w:val="15"/>
          <w:color w:val="auto"/>
        </w:rPr>
        <w:t>(i) Neither the Company nor any of the Entities shall have sustained since the date of the latest audited financial statements included or incorporated by reference in the Prospectus as amended or supplemented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 (ii) since the respective dates as of which information is given in the Prospectus and the General Disclosure Package, each as amended or supplemented, as the case may be, there shall not have been any change in the authorized, issued or outstanding capital shares of the Company (except for subsequent issuances, if any, of Common Shares pursuant to (x) the Company’s Dividend Reinvestment and Share Purchase Plan as in effect on the date of the applicable Pricing Agreement, (y) any of the Company’s employee or trustee benefits plans, including upon exercise of share options granted pursuant thereto, as such plans are in effect on the date of the applicable Pricing Agreement or</w:t>
      </w:r>
    </w:p>
    <w:p>
      <w:pPr>
        <w:spacing w:after="0" w:line="4" w:lineRule="exact"/>
        <w:rPr>
          <w:rFonts w:ascii="Arial" w:cs="Arial" w:eastAsia="Arial" w:hAnsi="Arial"/>
          <w:sz w:val="15"/>
          <w:szCs w:val="15"/>
          <w:color w:val="auto"/>
        </w:rPr>
      </w:pPr>
    </w:p>
    <w:p>
      <w:pPr>
        <w:ind w:firstLine="4"/>
        <w:spacing w:after="0" w:line="287" w:lineRule="auto"/>
        <w:tabs>
          <w:tab w:leader="none" w:pos="23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exercise of contractual rights existing on the date of the applicable Pricing Agreement by the current and former holders of partnership or other interests in certain of the “DownREIT” and other Entities listed in Exhibit D hereto which may result in the issuance of Common Shares of the Company) or increase in long-term debt of the Company or any of the Entities or any change, or any development involving a prospective change, in or affecting the general affairs, management, financial position, shareholders’ equity or results of operations of the Company and the Entities, otherwise than as set forth or contemplated in the Prospectus and the General Disclosure Package, each as amended or supplemented, as the case may be, the effect of which, in any such case described in clause (i) or (ii), is in the judgment of the Representatives so material and adverse as to make it impracticable or inadvisable to proceed with the public offering or the delivery of the Designated Securities on the terms and in the manner contemplated in the Prospectus as amended or supplemented;</w:t>
      </w:r>
    </w:p>
    <w:p>
      <w:pPr>
        <w:spacing w:after="0" w:line="43" w:lineRule="exact"/>
        <w:rPr>
          <w:rFonts w:ascii="Arial" w:cs="Arial" w:eastAsia="Arial" w:hAnsi="Arial"/>
          <w:sz w:val="16"/>
          <w:szCs w:val="16"/>
          <w:color w:val="auto"/>
        </w:rPr>
      </w:pPr>
    </w:p>
    <w:p>
      <w:pPr>
        <w:jc w:val="both"/>
        <w:ind w:right="100" w:firstLine="443"/>
        <w:spacing w:after="0" w:line="298" w:lineRule="auto"/>
        <w:tabs>
          <w:tab w:leader="none" w:pos="687" w:val="left"/>
        </w:tabs>
        <w:numPr>
          <w:ilvl w:val="1"/>
          <w:numId w:val="22"/>
        </w:numPr>
        <w:rPr>
          <w:rFonts w:ascii="Arial" w:cs="Arial" w:eastAsia="Arial" w:hAnsi="Arial"/>
          <w:sz w:val="16"/>
          <w:szCs w:val="16"/>
          <w:color w:val="auto"/>
        </w:rPr>
      </w:pPr>
      <w:r>
        <w:rPr>
          <w:rFonts w:ascii="Arial" w:cs="Arial" w:eastAsia="Arial" w:hAnsi="Arial"/>
          <w:sz w:val="16"/>
          <w:szCs w:val="16"/>
          <w:color w:val="auto"/>
        </w:rPr>
        <w:t>On or after the date of the Pricing Agreement relating to the Designated Securities (i) no downgrading shall have occurred in the rating accorded the Company’s debt securities or preferred shares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Company’s debt securities or preferred shares;</w:t>
      </w:r>
    </w:p>
    <w:p>
      <w:pPr>
        <w:spacing w:after="0" w:line="31" w:lineRule="exact"/>
        <w:rPr>
          <w:rFonts w:ascii="Arial" w:cs="Arial" w:eastAsia="Arial" w:hAnsi="Arial"/>
          <w:sz w:val="16"/>
          <w:szCs w:val="16"/>
          <w:color w:val="auto"/>
        </w:rPr>
      </w:pPr>
    </w:p>
    <w:p>
      <w:pPr>
        <w:ind w:left="660" w:hanging="217"/>
        <w:spacing w:after="0"/>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On or after the date of the Pricing Agreement relating to the Designated Securities there shall not have occurred any of the following: (i) a</w:t>
      </w:r>
    </w:p>
    <w:p>
      <w:pPr>
        <w:spacing w:after="0" w:line="18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700" w:top="280" w:right="259" w:bottom="1440" w:gutter="0" w:footer="0" w:header="0"/>
        </w:sectPr>
      </w:pPr>
    </w:p>
    <w:bookmarkStart w:id="20" w:name="page21"/>
    <w:bookmarkEnd w:id="20"/>
    <w:p>
      <w:pPr>
        <w:ind w:left="420"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suspension or material limitation in trading in securities generally on the NYSE; (ii) a suspension or material limitation in trading in the Company’s securities on the NYSE; (iii) a general moratorium on commercial banking activities in New York declared by either federal or New York State authorities or a material disruption in commercial banking or securities settlement or clearance services in the United States; or (iv) the outbreak or escalation of hostilities involving the United States or the declaration by the United States of a national emergency or war or other calamity or crisis if the effect of any such event specified in this clause (iv) in the judgment of the Representatives makes it impracticable or inadvisable to proceed with the public offering or the delivery of the Designated Securities on the terms and in the manner contemplated in the Prospectus as amended or supplemented;</w:t>
      </w:r>
    </w:p>
    <w:p>
      <w:pPr>
        <w:spacing w:after="0" w:line="39" w:lineRule="exact"/>
        <w:rPr>
          <w:sz w:val="20"/>
          <w:szCs w:val="20"/>
          <w:color w:val="auto"/>
        </w:rPr>
      </w:pPr>
    </w:p>
    <w:p>
      <w:pPr>
        <w:ind w:left="420" w:right="560" w:firstLine="443"/>
        <w:spacing w:after="0" w:line="268" w:lineRule="auto"/>
        <w:tabs>
          <w:tab w:leader="none" w:pos="10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5(f) hereof with respect to the furnishing of Prospectuses as amended or supplemented; and</w:t>
      </w:r>
    </w:p>
    <w:p>
      <w:pPr>
        <w:spacing w:after="0" w:line="50" w:lineRule="exact"/>
        <w:rPr>
          <w:rFonts w:ascii="Arial" w:cs="Arial" w:eastAsia="Arial" w:hAnsi="Arial"/>
          <w:sz w:val="18"/>
          <w:szCs w:val="18"/>
          <w:color w:val="auto"/>
        </w:rPr>
      </w:pPr>
    </w:p>
    <w:p>
      <w:pPr>
        <w:ind w:left="420" w:firstLine="443"/>
        <w:spacing w:after="0" w:line="255" w:lineRule="auto"/>
        <w:tabs>
          <w:tab w:leader="none" w:pos="1107"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the Representatives at the Time of Delivery for the Designated Securities a certificate or certificates of officers of the Company dated such Time of Delivery and satisfactory to the Representatives as to the accuracy of the representations and warranties of the Company herein at and as of the date of such certificate, as to the performance by the Company of all of its obligations hereunder to be performed at or prior to the date of such certificate, as to the matters set forth in subsections (a) and (g) of this Section and as to such other matters as the Representatives may reasonably request.</w:t>
      </w:r>
    </w:p>
    <w:p>
      <w:pPr>
        <w:spacing w:after="0" w:line="142" w:lineRule="exact"/>
        <w:rPr>
          <w:rFonts w:ascii="Arial" w:cs="Arial" w:eastAsia="Arial" w:hAnsi="Arial"/>
          <w:sz w:val="18"/>
          <w:szCs w:val="18"/>
          <w:color w:val="auto"/>
        </w:rPr>
      </w:pPr>
    </w:p>
    <w:p>
      <w:pPr>
        <w:ind w:left="-40" w:right="60" w:firstLine="464"/>
        <w:spacing w:after="0" w:line="306" w:lineRule="auto"/>
        <w:tabs>
          <w:tab w:leader="none" w:pos="592" w:val="left"/>
        </w:tabs>
        <w:numPr>
          <w:ilvl w:val="0"/>
          <w:numId w:val="24"/>
        </w:numPr>
        <w:rPr>
          <w:rFonts w:ascii="Arial" w:cs="Arial" w:eastAsia="Arial" w:hAnsi="Arial"/>
          <w:sz w:val="15"/>
          <w:szCs w:val="15"/>
          <w:color w:val="auto"/>
        </w:rPr>
      </w:pPr>
      <w:r>
        <w:rPr>
          <w:rFonts w:ascii="Arial" w:cs="Arial" w:eastAsia="Arial" w:hAnsi="Arial"/>
          <w:sz w:val="15"/>
          <w:szCs w:val="15"/>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(including the Rule 430B Information), the Prospectus as amended or supplemented and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any preliminary prospectus, any preliminary prospectus supplement, Issuer Free Writing Prospectus, the Registration Statement, the Prospectus as amended or supplemented and any other prospectus relating to the Securities, or any such amendment or supplement in reliance upon and in conformity with written information furnished to the Company by any Underwriter of Designated Securities through the Representatives expressly for use in the Prospectus as amended or supplemented relating to such Securities.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80" w:top="280" w:right="279" w:bottom="1440" w:gutter="0" w:footer="0" w:header="0"/>
        </w:sectPr>
      </w:pPr>
    </w:p>
    <w:bookmarkStart w:id="21" w:name="page22"/>
    <w:bookmarkEnd w:id="21"/>
    <w:p>
      <w:pPr>
        <w:ind w:left="-20" w:firstLine="464"/>
        <w:spacing w:after="0" w:line="286" w:lineRule="auto"/>
        <w:tabs>
          <w:tab w:leader="none" w:pos="685" w:val="left"/>
        </w:tabs>
        <w:numPr>
          <w:ilvl w:val="0"/>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Underwriter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the Prospectus as amended or supplemented and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Issuer Free Writing Prospectus, the Registration Statement, the Prospectus as amended or supplemented and any other prospectus relating to the Securities,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27" w:lineRule="exact"/>
        <w:rPr>
          <w:rFonts w:ascii="Arial" w:cs="Arial" w:eastAsia="Arial" w:hAnsi="Arial"/>
          <w:sz w:val="16"/>
          <w:szCs w:val="16"/>
          <w:color w:val="auto"/>
        </w:rPr>
      </w:pPr>
    </w:p>
    <w:p>
      <w:pPr>
        <w:ind w:left="-20" w:right="60" w:firstLine="464"/>
        <w:spacing w:after="0" w:line="286" w:lineRule="auto"/>
        <w:tabs>
          <w:tab w:leader="none" w:pos="6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60" w:top="280" w:right="259" w:bottom="1440" w:gutter="0" w:footer="0" w:header="0"/>
        </w:sectPr>
      </w:pPr>
    </w:p>
    <w:bookmarkStart w:id="22" w:name="page23"/>
    <w:bookmarkEnd w:id="22"/>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all liability arising out of such action or claim and (ii) does not include a statement as to or an admission of fault, culpability or a failure to act, by or on behalf of any indemnified party.</w:t>
      </w:r>
    </w:p>
    <w:p>
      <w:pPr>
        <w:spacing w:after="0" w:line="132" w:lineRule="exact"/>
        <w:rPr>
          <w:sz w:val="20"/>
          <w:szCs w:val="20"/>
          <w:color w:val="auto"/>
        </w:rPr>
      </w:pPr>
    </w:p>
    <w:p>
      <w:pPr>
        <w:ind w:left="720" w:hanging="256"/>
        <w:spacing w:after="0"/>
        <w:tabs>
          <w:tab w:leader="none" w:pos="7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8 is unavailable to or insufficient to hold harmless an indemnified party under subsection (a) or</w:t>
      </w:r>
    </w:p>
    <w:p>
      <w:pPr>
        <w:spacing w:after="0" w:line="38" w:lineRule="exact"/>
        <w:rPr>
          <w:rFonts w:ascii="Arial" w:cs="Arial" w:eastAsia="Arial" w:hAnsi="Arial"/>
          <w:sz w:val="16"/>
          <w:szCs w:val="16"/>
          <w:color w:val="auto"/>
        </w:rPr>
      </w:pPr>
    </w:p>
    <w:p>
      <w:pPr>
        <w:ind w:firstLine="8"/>
        <w:spacing w:after="0" w:line="283" w:lineRule="auto"/>
        <w:tabs>
          <w:tab w:leader="none" w:pos="2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Securities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from such offering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Securities and not joint.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3" w:name="page24"/>
    <w:bookmarkEnd w:id="23"/>
    <w:p>
      <w:pPr>
        <w:ind w:left="-20" w:firstLine="464"/>
        <w:spacing w:after="0" w:line="255" w:lineRule="auto"/>
        <w:tabs>
          <w:tab w:leader="none" w:pos="675"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of the Company who signed the Registration Statement, trustee of the Company and to each person, if any, who controls the Company within the meaning of the Act.</w:t>
      </w:r>
    </w:p>
    <w:p>
      <w:pPr>
        <w:spacing w:after="0" w:line="143" w:lineRule="exact"/>
        <w:rPr>
          <w:sz w:val="20"/>
          <w:szCs w:val="20"/>
          <w:color w:val="auto"/>
        </w:rPr>
      </w:pPr>
    </w:p>
    <w:p>
      <w:pPr>
        <w:ind w:left="-20" w:right="40" w:firstLine="464"/>
        <w:spacing w:after="0" w:line="286" w:lineRule="auto"/>
        <w:tabs>
          <w:tab w:leader="none" w:pos="612"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If any Underwriter shall default in its obligation to purchase the Designated Securities which it has agreed to purchase at the Time of Delivery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Designated Securities, then the Company shall be entitled to a further period of thirty-six hours within which to procure another party or other parties satisfactory to the Representatives to purchase such Designated Securities on such terms. In the event that, 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for such Designated Securities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Underwriting Agreement shall include any person substituted under this Section with like effect as if such person had originally been a party to the Pricing Agreement with respect to such Designated Securities.</w:t>
      </w:r>
    </w:p>
    <w:p>
      <w:pPr>
        <w:spacing w:after="0" w:line="124" w:lineRule="exact"/>
        <w:rPr>
          <w:sz w:val="20"/>
          <w:szCs w:val="20"/>
          <w:color w:val="auto"/>
        </w:rPr>
      </w:pPr>
    </w:p>
    <w:p>
      <w:pPr>
        <w:ind w:left="-20" w:right="80" w:firstLine="464"/>
        <w:spacing w:after="0" w:line="289" w:lineRule="auto"/>
        <w:tabs>
          <w:tab w:leader="none" w:pos="685"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such Designated Securities which remains unpurchased does not exceed one-tenth of the aggregate principal amount of the Designated Securities to be purchased at the Time of Delivery, then the Company shall have the right to require each non-defaulting Underwriter to purchase the principal amount of Designated Securities which such Underwriter agreed to purchase at the Time of Delivery under the Pricing Agreement relating to such Designated Securities and, in addition, to require each non-defaulting Underwriter to purchase its pro rata share (based on the principal amount of Designated Securities which such Underwriter agreed to purchase under such Pricing Agreement) of the Designated Securities of such defaulting Underwriter or Underwriters for which such arrangements have not been made; but nothing herein shall relieve a defaulting Underwriter from liability for its default.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60" w:top="280" w:right="259" w:bottom="1440" w:gutter="0" w:footer="0" w:header="0"/>
        </w:sectPr>
      </w:pPr>
    </w:p>
    <w:bookmarkStart w:id="24" w:name="page25"/>
    <w:bookmarkEnd w:id="24"/>
    <w:p>
      <w:pPr>
        <w:ind w:left="-80" w:firstLine="464"/>
        <w:spacing w:after="0" w:line="289" w:lineRule="auto"/>
        <w:tabs>
          <w:tab w:leader="none" w:pos="615" w:val="left"/>
        </w:tabs>
        <w:numPr>
          <w:ilvl w:val="0"/>
          <w:numId w:val="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after giving effect to any arrangements for the purchase of the Designated Securities of a defaulting Underwriter or Underwriters by the Representatives and the Company as provided in subsection (a) above, the aggregate principal amount of Designated Securities which remains unpurchased exceeds one-tenth of the aggregate principal amount of the Designated Securities to be purchased at the Time of Delivery, as referred to in subsection (b) above, or if the Company shall not exercise the right described in subsection (b) above to require non-defaulting Underwriters to purchase Designated Securities of a defaulting Underwriter or Underwriters, then, in the case of a failure to purchase Designated Securities at the Time of Delivery, the Pricing Agreement relating to such Designated Securities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118" w:lineRule="exact"/>
        <w:rPr>
          <w:sz w:val="20"/>
          <w:szCs w:val="20"/>
          <w:color w:val="auto"/>
        </w:rPr>
      </w:pPr>
    </w:p>
    <w:p>
      <w:pPr>
        <w:ind w:left="-80" w:right="20" w:firstLine="464"/>
        <w:spacing w:after="0" w:line="298" w:lineRule="auto"/>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respective indemnities, agreements, representations, warranties and other statements of the Company and the several Underwriters, as set forth in this Underwriting Agreement or made by or on behalf of them, respectively, pursuant to this Underwriting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Securities.</w:t>
      </w:r>
    </w:p>
    <w:p>
      <w:pPr>
        <w:spacing w:after="0" w:line="112" w:lineRule="exact"/>
        <w:rPr>
          <w:rFonts w:ascii="Arial" w:cs="Arial" w:eastAsia="Arial" w:hAnsi="Arial"/>
          <w:sz w:val="16"/>
          <w:szCs w:val="16"/>
          <w:color w:val="auto"/>
        </w:rPr>
      </w:pPr>
    </w:p>
    <w:p>
      <w:pPr>
        <w:ind w:left="-80" w:right="40" w:firstLine="464"/>
        <w:spacing w:after="0" w:line="290" w:lineRule="auto"/>
        <w:tabs>
          <w:tab w:leader="none" w:pos="633"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any Pricing Agreement shall be terminated pursuant to Section 9 hereof, the Company shall not then be under any liability to any Underwriter with respect to the Designated Securities covered by such Pricing Agreement except as provided in Section 6 and Section 8 hereof. If this Underwriting Agreement shall be terminated as a result of any of the conditions set forth in Section 7 (other than clause (i), (iii) or (iv) of Section 7(i)) hereof not being satisfied, the Company will reimburse the Underwriters through the Representatives for all out-of-pocket expenses approved in writing by the Representatives, including reasonable fees and disbursements of counsel, reasonably incurred by the Underwriters in making preparations for the purchase, sale and delivery of such Designated Securities, but the Company shall then be under no further liability to any Underwriter with respect to such Designated Securities except as provided in Section 6 and Section 8 hereof.</w:t>
      </w:r>
    </w:p>
    <w:p>
      <w:pPr>
        <w:spacing w:after="0" w:line="118" w:lineRule="exact"/>
        <w:rPr>
          <w:rFonts w:ascii="Arial" w:cs="Arial" w:eastAsia="Arial" w:hAnsi="Arial"/>
          <w:sz w:val="16"/>
          <w:szCs w:val="16"/>
          <w:color w:val="auto"/>
        </w:rPr>
      </w:pPr>
    </w:p>
    <w:p>
      <w:pPr>
        <w:ind w:left="-80" w:right="240" w:firstLine="464"/>
        <w:spacing w:after="0" w:line="306" w:lineRule="auto"/>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60"/>
          </w:cols>
          <w:pgMar w:left="320" w:top="280" w:right="319" w:bottom="1440" w:gutter="0" w:footer="0" w:header="0"/>
        </w:sectPr>
      </w:pPr>
    </w:p>
    <w:bookmarkStart w:id="25" w:name="page26"/>
    <w:bookmarkEnd w:id="25"/>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statements, requests, notices and agreements hereunder shall be in writing, and if to the Underwriters shall be delivered or sent by mail, overnight courier, hand delivery or facsimile transmission to the address of the Representatives as set forth in the applicable Pricing Agreement; and if to the Company shall be delivered or sent by mail, overnight courier, hand delivery or facsimile transmission to the address of the Company set forth on the cover of the Registration Statement: Attention: Legal Department; provided, however, that any notice to an Underwriter pursuant to Section 8(c) hereof shall also be delivered or sent by mail, overnight courier, hand delivery or facsimile transmission to such Underwriter at its address set forth in its Underwriters’ Questionnaire, or telex or facsimile transmission constituting such Questionnaire, which address will be supplied to the Company by the Representatives upon request. Any such statements, requests, notices or agreements shall take effect upon receipt thereof.</w:t>
      </w:r>
    </w:p>
    <w:p>
      <w:pPr>
        <w:spacing w:after="0" w:line="118" w:lineRule="exact"/>
        <w:rPr>
          <w:sz w:val="20"/>
          <w:szCs w:val="20"/>
          <w:color w:val="auto"/>
        </w:rPr>
      </w:pPr>
    </w:p>
    <w:p>
      <w:pPr>
        <w:ind w:right="40" w:firstLine="464"/>
        <w:spacing w:after="0" w:line="294" w:lineRule="auto"/>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shall be binding upon, and inure solely to the benefit of, the Underwriters, the Company and, to the extent provided in Section 8 and Section 10 hereof, the officers of the Company who signed the Registration Statement, and trustees of the Company and each person who controls the Company or any Underwriter, and their respective heirs, executors, administrators, successors and assigns, and no other person shall acquire or have any right under or by virtue of this Underwriting Agreement or any such Pricing Agreement. No purchaser of any of the Securities from any Underwriter shall be deemed a successor or assign by reason merely of such purchase.</w:t>
      </w:r>
    </w:p>
    <w:p>
      <w:pPr>
        <w:spacing w:after="0" w:line="115" w:lineRule="exact"/>
        <w:rPr>
          <w:rFonts w:ascii="Arial" w:cs="Arial" w:eastAsia="Arial" w:hAnsi="Arial"/>
          <w:sz w:val="16"/>
          <w:szCs w:val="16"/>
          <w:color w:val="auto"/>
        </w:rPr>
      </w:pPr>
    </w:p>
    <w:p>
      <w:pPr>
        <w:ind w:right="740" w:firstLine="464"/>
        <w:spacing w:after="0" w:line="268"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Time shall be of the essence of each Pricing Agreement. As used herein, “business day” shall mean any day when the Commission’s office in Washington, D.C. is open for business.</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shall be governed by and construed in accordance with the laws of the State of New York.</w:t>
      </w:r>
    </w:p>
    <w:p>
      <w:pPr>
        <w:spacing w:after="0" w:line="194" w:lineRule="exact"/>
        <w:rPr>
          <w:rFonts w:ascii="Arial" w:cs="Arial" w:eastAsia="Arial" w:hAnsi="Arial"/>
          <w:sz w:val="16"/>
          <w:szCs w:val="16"/>
          <w:color w:val="auto"/>
        </w:rPr>
      </w:pPr>
    </w:p>
    <w:p>
      <w:pPr>
        <w:ind w:right="360" w:firstLine="464"/>
        <w:spacing w:after="0" w:line="332" w:lineRule="auto"/>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please sign and return this Underwriting Agreement to us.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31"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Dawn M. Becker</w:t>
      </w:r>
    </w:p>
    <w:p>
      <w:pPr>
        <w:spacing w:after="0" w:line="15" w:lineRule="exact"/>
        <w:rPr>
          <w:sz w:val="20"/>
          <w:szCs w:val="20"/>
          <w:color w:val="auto"/>
        </w:rPr>
      </w:pPr>
    </w:p>
    <w:p>
      <w:pPr>
        <w:jc w:val="right"/>
        <w:spacing w:after="0"/>
        <w:tabs>
          <w:tab w:leader="none" w:pos="3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Executive Vice President—General Counsel and</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Secretary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ACHOVIA</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ITIGROUP</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LOBAL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EAR</w:t>
      </w:r>
      <w:r>
        <w:rPr>
          <w:rFonts w:ascii="Arial" w:cs="Arial" w:eastAsia="Arial" w:hAnsi="Arial"/>
          <w:sz w:val="18"/>
          <w:szCs w:val="18"/>
          <w:b w:val="1"/>
          <w:bCs w:val="1"/>
          <w:color w:val="auto"/>
        </w:rPr>
        <w:t>, S</w:t>
      </w:r>
      <w:r>
        <w:rPr>
          <w:rFonts w:ascii="Arial" w:cs="Arial" w:eastAsia="Arial" w:hAnsi="Arial"/>
          <w:sz w:val="14"/>
          <w:szCs w:val="14"/>
          <w:b w:val="1"/>
          <w:bCs w:val="1"/>
          <w:color w:val="auto"/>
        </w:rPr>
        <w:t>TEARNS</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OMMERZBANK</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IPER</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AFFRAY</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UN</w:t>
      </w:r>
      <w:r>
        <w:rPr>
          <w:rFonts w:ascii="Arial" w:cs="Arial" w:eastAsia="Arial" w:hAnsi="Arial"/>
          <w:sz w:val="18"/>
          <w:szCs w:val="18"/>
          <w:b w:val="1"/>
          <w:bCs w:val="1"/>
          <w:color w:val="auto"/>
        </w:rPr>
        <w:t>T</w:t>
      </w:r>
      <w:r>
        <w:rPr>
          <w:rFonts w:ascii="Arial" w:cs="Arial" w:eastAsia="Arial" w:hAnsi="Arial"/>
          <w:sz w:val="14"/>
          <w:szCs w:val="14"/>
          <w:b w:val="1"/>
          <w:bCs w:val="1"/>
          <w:color w:val="auto"/>
        </w:rPr>
        <w:t>RUST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1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Wachovia Capital Markets, LLC</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Teresa Hee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7870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Teresa Hee</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Citigroup Global Markets Inc.</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7870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 Chris Shea</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780"/>
          </w:cols>
          <w:pgMar w:left="240" w:top="280" w:right="879" w:bottom="1440" w:gutter="0" w:footer="0" w:header="0"/>
        </w:sectPr>
      </w:pPr>
    </w:p>
    <w:bookmarkStart w:id="27" w:name="page28"/>
    <w:bookmarkEnd w:id="27"/>
    <w:p>
      <w:pPr>
        <w:ind w:left="10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12, 2006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ACHOVIA</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ITIGROUP</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LOBAL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EAR</w:t>
      </w:r>
      <w:r>
        <w:rPr>
          <w:rFonts w:ascii="Arial" w:cs="Arial" w:eastAsia="Arial" w:hAnsi="Arial"/>
          <w:sz w:val="18"/>
          <w:szCs w:val="18"/>
          <w:b w:val="1"/>
          <w:bCs w:val="1"/>
          <w:color w:val="auto"/>
        </w:rPr>
        <w:t>, S</w:t>
      </w:r>
      <w:r>
        <w:rPr>
          <w:rFonts w:ascii="Arial" w:cs="Arial" w:eastAsia="Arial" w:hAnsi="Arial"/>
          <w:sz w:val="14"/>
          <w:szCs w:val="14"/>
          <w:b w:val="1"/>
          <w:bCs w:val="1"/>
          <w:color w:val="auto"/>
        </w:rPr>
        <w:t>TEARNS</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OMMERZBANK</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IPER</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AFFRAY</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UN</w:t>
      </w:r>
      <w:r>
        <w:rPr>
          <w:rFonts w:ascii="Arial" w:cs="Arial" w:eastAsia="Arial" w:hAnsi="Arial"/>
          <w:sz w:val="18"/>
          <w:szCs w:val="18"/>
          <w:b w:val="1"/>
          <w:bCs w:val="1"/>
          <w:color w:val="auto"/>
        </w:rPr>
        <w:t>T</w:t>
      </w:r>
      <w:r>
        <w:rPr>
          <w:rFonts w:ascii="Arial" w:cs="Arial" w:eastAsia="Arial" w:hAnsi="Arial"/>
          <w:sz w:val="14"/>
          <w:szCs w:val="14"/>
          <w:b w:val="1"/>
          <w:bCs w:val="1"/>
          <w:color w:val="auto"/>
        </w:rPr>
        <w:t>RUST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C</w:t>
      </w:r>
      <w:r>
        <w:rPr>
          <w:rFonts w:ascii="Arial" w:cs="Arial" w:eastAsia="Arial" w:hAnsi="Arial"/>
          <w:sz w:val="17"/>
          <w:szCs w:val="17"/>
          <w:color w:val="auto"/>
        </w:rPr>
        <w:t>/</w:t>
      </w:r>
      <w:r>
        <w:rPr>
          <w:rFonts w:ascii="Arial" w:cs="Arial" w:eastAsia="Arial" w:hAnsi="Arial"/>
          <w:sz w:val="15"/>
          <w:szCs w:val="15"/>
          <w:color w:val="auto"/>
        </w:rPr>
        <w:t>O</w:t>
      </w:r>
      <w:r>
        <w:rPr>
          <w:sz w:val="20"/>
          <w:szCs w:val="20"/>
          <w:color w:val="auto"/>
        </w:rPr>
        <w:tab/>
      </w:r>
      <w:r>
        <w:rPr>
          <w:rFonts w:ascii="Arial" w:cs="Arial" w:eastAsia="Arial" w:hAnsi="Arial"/>
          <w:sz w:val="16"/>
          <w:szCs w:val="16"/>
          <w:color w:val="auto"/>
        </w:rPr>
        <w:t>Wachovia Capital Markets, LLC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Saint Paul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Baltimore, MD 21202</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10013</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July 12, 2006 (the “Underwriting Agreement”), between the Company on the one hand and Wachovia Capital Markets, LLC, Citigroup Global Markets Inc., Bear, Stearns &amp; Co. Inc., Commerzbank Capital Markets Corp., Piper Jaffray &amp; Co., PNC Capital Markets LLC and SunTrust Capital Markets, Inc. on the other hand, to issue and sell to the Underwriters named in Schedule I hereto (the “Underwriters”) (i) $120,000,000 6.00% Notes due 2012 (the “2012 Notes”) and (ii) $130,000,000 6.20% Notes due 2017 (the “2017 Notes,” and together with the 2012 Notes, the “Designated Securities”). The issue and sale of the 2012 Notes and the 2017 Notes are not conditioned upon each other, and the issue and sale of either the 2012 Notes or the 2017 Notes may be consummated even if the issue and sale of the other series of notes is not consummated, or the issue and sale of the 2012 Notes and the 2017 Notes may be consummated at different times.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A-1</w:t>
      </w:r>
    </w:p>
    <w:p>
      <w:pPr>
        <w:sectPr>
          <w:pgSz w:w="11900" w:h="16838" w:orient="portrait"/>
          <w:cols w:equalWidth="0" w:num="1">
            <w:col w:w="11420"/>
          </w:cols>
          <w:pgMar w:left="240" w:top="274" w:right="239" w:bottom="1440" w:gutter="0" w:footer="0" w:header="0"/>
        </w:sectPr>
      </w:pPr>
    </w:p>
    <w:bookmarkStart w:id="28" w:name="page29"/>
    <w:bookmarkEnd w:id="28"/>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warranty as of the date of the Underwriting Agreement in relation to the Prospectus (as therein defined), and also a representation and warranty as of the date of this Pricing Agreement in relation to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Representatives designated to act on behalf of the Underwriters pursuant to Section 12 of the Underwriting Agreement are Wachovia Capital Markets, LLC and Citigroup Global Markets Inc., and the address of the Representatives referred to in such Section 12 are set forth in Schedule II hereto.</w:t>
      </w:r>
    </w:p>
    <w:p>
      <w:pPr>
        <w:spacing w:after="0" w:line="12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An amendment to the Registration Statement, or a supplement to the Prospectus, as the case may be, relating to the Designated Securities, in the form heretofore delivered to you, is now proposed to be filed with the Commission.</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of the Underwriters under this Pricing Agreement and the Underwriting Agreement incorporated herein are several and not joint.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17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Ex. A-2</w:t>
      </w:r>
    </w:p>
    <w:p>
      <w:pPr>
        <w:sectPr>
          <w:pgSz w:w="11900" w:h="16838" w:orient="portrait"/>
          <w:cols w:equalWidth="0" w:num="1">
            <w:col w:w="11360"/>
          </w:cols>
          <w:pgMar w:left="240" w:top="280" w:right="299" w:bottom="1440" w:gutter="0" w:footer="0" w:header="0"/>
        </w:sectPr>
      </w:pPr>
    </w:p>
    <w:bookmarkStart w:id="29" w:name="page30"/>
    <w:bookmarkEnd w:id="29"/>
    <w:p>
      <w:pPr>
        <w:jc w:val="both"/>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please sign and return this Pricing Agreement to us, and upon acceptance hereof by you, on behalf of each of the Underwriters, this Pricing Agreement and such acceptance hereof, including the provisions of the Underwriting Agreement incorporated herein by reference, shall constitute a binding agreement between each of the Underwriters and the Company.</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2540</wp:posOffset>
            </wp:positionV>
            <wp:extent cx="25730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ACHOVIA</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ITIGROUP</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LOBAL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EAR</w:t>
      </w:r>
      <w:r>
        <w:rPr>
          <w:rFonts w:ascii="Arial" w:cs="Arial" w:eastAsia="Arial" w:hAnsi="Arial"/>
          <w:sz w:val="18"/>
          <w:szCs w:val="18"/>
          <w:b w:val="1"/>
          <w:bCs w:val="1"/>
          <w:color w:val="auto"/>
        </w:rPr>
        <w:t>, S</w:t>
      </w:r>
      <w:r>
        <w:rPr>
          <w:rFonts w:ascii="Arial" w:cs="Arial" w:eastAsia="Arial" w:hAnsi="Arial"/>
          <w:sz w:val="14"/>
          <w:szCs w:val="14"/>
          <w:b w:val="1"/>
          <w:bCs w:val="1"/>
          <w:color w:val="auto"/>
        </w:rPr>
        <w:t>TEARNS</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OMMERZBANK</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IPER</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AFFRAY</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UN</w:t>
      </w:r>
      <w:r>
        <w:rPr>
          <w:rFonts w:ascii="Arial" w:cs="Arial" w:eastAsia="Arial" w:hAnsi="Arial"/>
          <w:sz w:val="18"/>
          <w:szCs w:val="18"/>
          <w:b w:val="1"/>
          <w:bCs w:val="1"/>
          <w:color w:val="auto"/>
        </w:rPr>
        <w:t>T</w:t>
      </w:r>
      <w:r>
        <w:rPr>
          <w:rFonts w:ascii="Arial" w:cs="Arial" w:eastAsia="Arial" w:hAnsi="Arial"/>
          <w:sz w:val="14"/>
          <w:szCs w:val="14"/>
          <w:b w:val="1"/>
          <w:bCs w:val="1"/>
          <w:color w:val="auto"/>
        </w:rPr>
        <w:t>RUST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1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Wachovia Capital Markets,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2540</wp:posOffset>
            </wp:positionV>
            <wp:extent cx="27870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2540</wp:posOffset>
            </wp:positionV>
            <wp:extent cx="27870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Ex. A-3</w:t>
      </w:r>
    </w:p>
    <w:p>
      <w:pPr>
        <w:sectPr>
          <w:pgSz w:w="11900" w:h="16838" w:orient="portrait"/>
          <w:cols w:equalWidth="0" w:num="1">
            <w:col w:w="11080"/>
          </w:cols>
          <w:pgMar w:left="240" w:top="280" w:right="57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Principal Amount of</w:t>
            </w:r>
          </w:p>
        </w:tc>
        <w:tc>
          <w:tcPr>
            <w:tcW w:w="5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88"/>
              </w:rPr>
              <w:t>Principal Amount of</w:t>
            </w:r>
          </w:p>
        </w:tc>
        <w:tc>
          <w:tcPr>
            <w:tcW w:w="0" w:type="dxa"/>
            <w:vAlign w:val="bottom"/>
          </w:tcPr>
          <w:p>
            <w:pPr>
              <w:spacing w:after="0"/>
              <w:rPr>
                <w:sz w:val="1"/>
                <w:szCs w:val="1"/>
                <w:color w:val="auto"/>
              </w:rPr>
            </w:pPr>
          </w:p>
        </w:tc>
      </w:tr>
      <w:tr>
        <w:trPr>
          <w:trHeight w:val="161"/>
        </w:trPr>
        <w:tc>
          <w:tcPr>
            <w:tcW w:w="794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194"/>
              <w:spacing w:after="0"/>
              <w:rPr>
                <w:sz w:val="20"/>
                <w:szCs w:val="20"/>
                <w:color w:val="auto"/>
              </w:rPr>
            </w:pPr>
            <w:r>
              <w:rPr>
                <w:rFonts w:ascii="Arial" w:cs="Arial" w:eastAsia="Arial" w:hAnsi="Arial"/>
                <w:sz w:val="14"/>
                <w:szCs w:val="14"/>
                <w:b w:val="1"/>
                <w:bCs w:val="1"/>
                <w:color w:val="auto"/>
                <w:w w:val="94"/>
              </w:rPr>
              <w:t>2012 Notes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2017 Notes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Wachovia Capital Markets, LLC</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48,000,000</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36,000,000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Commerzbank Capital Markets Corp.</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7,200,000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Piper Jaffray &amp; Co.</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7,200,000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Bear, Stearns &amp; Co. Inc.</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7,200,000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PNC Capital Markets LLC</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7,200,000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SunTrust Capital Markets, Inc.</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7,200,000</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Total</w:t>
            </w:r>
          </w:p>
        </w:tc>
        <w:tc>
          <w:tcPr>
            <w:tcW w:w="7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120,000,000</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130,000,000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1 to Exhibit A</w:t>
      </w:r>
    </w:p>
    <w:p>
      <w:pPr>
        <w:sectPr>
          <w:pgSz w:w="11900" w:h="16838" w:orient="portrait"/>
          <w:cols w:equalWidth="0" w:num="1">
            <w:col w:w="11420"/>
          </w:cols>
          <w:pgMar w:left="240" w:top="280" w:right="239" w:bottom="1440" w:gutter="0" w:footer="0" w:header="0"/>
        </w:sectPr>
      </w:pPr>
    </w:p>
    <w:bookmarkStart w:id="31" w:name="page32"/>
    <w:bookmarkEnd w:id="31"/>
    <w:p>
      <w:pPr>
        <w:jc w:val="center"/>
        <w:ind w:right="-1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6.00% Notes due 2012 (the “2012 Notes”); and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6.20% Notes due 2017 (the “2017 Notes,” and together with the 2012 Notes, the “Designated Securities”)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$120,000,000 2012 Notes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$130,000,000 2017 Notes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99.901% of the principal amount of the 2012 Notes, plus accrued interest from July 17, 2006</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99.696% of the principal amount of the 2017 Notes, plus accrued interest from July 17, 2006</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99.289% of the principal amount of the 2012 Notes, plus accrued interest from July 17, 2006</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99.046% of the principal amount of the 2017 Notes, plus accrued interest from July 17, 2006</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Wire transfer of immediately available funds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Indenture, dated as of September 1, 1998, between the Company and U.S. Bank National Association, successor to First Union National Bank, as Trustee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2012 Notes: July 15, 2012</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2017 Notes: January 15, 2017</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2012 Notes: 6.00%</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2017 Notes: 6.20%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January 15 and July 15, commencing January 15, 2007</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 B-1</w:t>
      </w:r>
    </w:p>
    <w:p>
      <w:pPr>
        <w:sectPr>
          <w:pgSz w:w="11900" w:h="16838" w:orient="portrait"/>
          <w:cols w:equalWidth="0" w:num="1">
            <w:col w:w="11240"/>
          </w:cols>
          <w:pgMar w:left="240" w:top="280" w:right="4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Redemption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Designated Securities may be redeemed at any time, in whole or in part, at a redemption price as described in the Prospectus Supplement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defeasance and covenant defeasance provisions of the Indenture apply to the Designated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2:00 p.m. (Eastern time) on July 12, 2006 or such other time as agreed by the Company and the Representatives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July 17, 2006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4"/>
          <w:szCs w:val="14"/>
          <w:color w:val="auto"/>
        </w:rPr>
        <w:t>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Names and addresses of Representative(s):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Designated Representative(s):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Wachovia Capital Markets, LLC and Citigroup Global Markets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 for Notices, etc.:</w:t>
      </w:r>
    </w:p>
    <w:p>
      <w:pPr>
        <w:sectPr>
          <w:pgSz w:w="11900" w:h="16838" w:orient="portrait"/>
          <w:cols w:equalWidth="0" w:num="1">
            <w:col w:w="10400"/>
          </w:cols>
          <w:pgMar w:left="240" w:top="274" w:right="1259" w:bottom="1440" w:gutter="0" w:footer="0" w:header="0"/>
        </w:sectPr>
      </w:pPr>
    </w:p>
    <w:p>
      <w:pPr>
        <w:spacing w:after="0" w:line="21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c/o</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Wachovia Capital Markets, LLC</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7 Saint Paul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Baltimore, MD 21202</w:t>
      </w:r>
    </w:p>
    <w:p>
      <w:pPr>
        <w:spacing w:after="0" w:line="165" w:lineRule="exact"/>
        <w:rPr>
          <w:sz w:val="20"/>
          <w:szCs w:val="20"/>
          <w:color w:val="auto"/>
        </w:rPr>
      </w:pPr>
    </w:p>
    <w:p>
      <w:pPr>
        <w:sectPr>
          <w:pgSz w:w="11900" w:h="16838" w:orient="portrait"/>
          <w:cols w:equalWidth="0" w:num="2">
            <w:col w:w="1120" w:space="360"/>
            <w:col w:w="8920"/>
          </w:cols>
          <w:pgMar w:left="240" w:top="274" w:right="1259" w:bottom="1440" w:gutter="0" w:footer="0" w:header="0"/>
          <w:type w:val="continuous"/>
        </w:sectPr>
      </w:pPr>
    </w:p>
    <w:p>
      <w:pPr>
        <w:ind w:left="150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Citigroup Global Markets Inc.</w:t>
      </w:r>
    </w:p>
    <w:p>
      <w:pPr>
        <w:spacing w:after="0" w:line="3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New York, New York 10013</w:t>
      </w:r>
    </w:p>
    <w:p>
      <w:pPr>
        <w:sectPr>
          <w:pgSz w:w="11900" w:h="16838" w:orient="portrait"/>
          <w:cols w:equalWidth="0" w:num="1">
            <w:col w:w="10400"/>
          </w:cols>
          <w:pgMar w:left="240" w:top="274" w:right="1259" w:bottom="1440" w:gutter="0" w:footer="0" w:header="0"/>
          <w:type w:val="continuous"/>
        </w:sectPr>
      </w:pPr>
    </w:p>
    <w:p>
      <w:pPr>
        <w:spacing w:after="0" w:line="174"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Ex. B-2</w:t>
      </w:r>
    </w:p>
    <w:p>
      <w:pPr>
        <w:sectPr>
          <w:pgSz w:w="11900" w:h="16838" w:orient="portrait"/>
          <w:cols w:equalWidth="0" w:num="1">
            <w:col w:w="10400"/>
          </w:cols>
          <w:pgMar w:left="240" w:top="274" w:right="125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90" w:lineRule="exact"/>
        <w:rPr>
          <w:sz w:val="20"/>
          <w:szCs w:val="20"/>
          <w:color w:val="auto"/>
        </w:rPr>
      </w:pPr>
    </w:p>
    <w:p>
      <w:pPr>
        <w:ind w:right="2360" w:firstLine="1898"/>
        <w:spacing w:after="0" w:line="434" w:lineRule="auto"/>
        <w:rPr>
          <w:sz w:val="20"/>
          <w:szCs w:val="20"/>
          <w:color w:val="auto"/>
        </w:rPr>
      </w:pPr>
      <w:r>
        <w:rPr>
          <w:rFonts w:ascii="Arial" w:cs="Arial" w:eastAsia="Arial" w:hAnsi="Arial"/>
          <w:sz w:val="18"/>
          <w:szCs w:val="18"/>
          <w:b w:val="1"/>
          <w:bCs w:val="1"/>
          <w:color w:val="auto"/>
        </w:rPr>
        <w:t xml:space="preserve">Schedule of Issuer Free Writing Prospectuses Included in the General Disclosure Package </w:t>
      </w:r>
      <w:r>
        <w:rPr>
          <w:rFonts w:ascii="Arial" w:cs="Arial" w:eastAsia="Arial" w:hAnsi="Arial"/>
          <w:sz w:val="18"/>
          <w:szCs w:val="18"/>
          <w:color w:val="auto"/>
        </w:rPr>
        <w:t>1. Final Term Sheet, attached hereto as Schedule I to this Exhibit B</w:t>
      </w:r>
    </w:p>
    <w:p>
      <w:pPr>
        <w:jc w:val="center"/>
        <w:ind w:right="460"/>
        <w:spacing w:after="0"/>
        <w:rPr>
          <w:sz w:val="20"/>
          <w:szCs w:val="20"/>
          <w:color w:val="auto"/>
        </w:rPr>
      </w:pPr>
      <w:r>
        <w:rPr>
          <w:rFonts w:ascii="Arial" w:cs="Arial" w:eastAsia="Arial" w:hAnsi="Arial"/>
          <w:sz w:val="18"/>
          <w:szCs w:val="18"/>
          <w:color w:val="auto"/>
        </w:rPr>
        <w:t>Ex. B-3</w:t>
      </w:r>
    </w:p>
    <w:p>
      <w:pPr>
        <w:sectPr>
          <w:pgSz w:w="11900" w:h="16838" w:orient="portrait"/>
          <w:cols w:equalWidth="0" w:num="1">
            <w:col w:w="10960"/>
          </w:cols>
          <w:pgMar w:left="700" w:top="27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 to Exhibit B</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Dated July 12, 2006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Statement No. 333-135159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Supplementing Prospectus Supplement Dated July 12, 2006 and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Prospectus dated June 20, 2006</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6.00% Notes due 2012</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Term sheet dated July 12, 2006</w:t>
      </w:r>
    </w:p>
    <w:p>
      <w:pPr>
        <w:sectPr>
          <w:pgSz w:w="11900" w:h="16838" w:orient="portrait"/>
          <w:cols w:equalWidth="0" w:num="1">
            <w:col w:w="11420"/>
          </w:cols>
          <w:pgMar w:left="240" w:top="274"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Size: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$120,000,000</w:t>
      </w:r>
    </w:p>
    <w:p>
      <w:pPr>
        <w:spacing w:after="0" w:line="151"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Coupon (Interest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6.00% per year</w:t>
      </w:r>
    </w:p>
    <w:p>
      <w:pPr>
        <w:spacing w:after="0" w:line="152"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6.02%</w:t>
      </w:r>
    </w:p>
    <w:p>
      <w:pPr>
        <w:spacing w:after="0" w:line="151"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93 basis points</w:t>
      </w:r>
    </w:p>
    <w:p>
      <w:pPr>
        <w:spacing w:after="0" w:line="152"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4.375% UST due August 15, 2012</w:t>
      </w:r>
    </w:p>
    <w:p>
      <w:pPr>
        <w:spacing w:after="0" w:line="152"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Benchmark Treasury Yield and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5.09%; 96-09 </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1"/>
          <w:szCs w:val="11"/>
          <w:color w:val="auto"/>
        </w:rPr>
        <w:t>4</w:t>
      </w:r>
    </w:p>
    <w:p>
      <w:pPr>
        <w:spacing w:after="0" w:line="152" w:lineRule="exact"/>
        <w:rPr>
          <w:sz w:val="20"/>
          <w:szCs w:val="20"/>
          <w:color w:val="auto"/>
        </w:rPr>
      </w:pPr>
    </w:p>
    <w:p>
      <w:pPr>
        <w:sectPr>
          <w:pgSz w:w="11900" w:h="16838" w:orient="portrait"/>
          <w:cols w:equalWidth="0" w:num="2">
            <w:col w:w="2640" w:space="700"/>
            <w:col w:w="808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January 15 and July 15</w:t>
      </w:r>
    </w:p>
    <w:p>
      <w:pPr>
        <w:spacing w:after="0" w:line="152"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First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January 15, 2007</w:t>
      </w:r>
    </w:p>
    <w:p>
      <w:pPr>
        <w:spacing w:after="0" w:line="151"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July 15, 2012</w:t>
      </w:r>
    </w:p>
    <w:p>
      <w:pPr>
        <w:spacing w:after="0" w:line="151"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Price to Public: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99.901% of principal amount, plus accrued interest, if any, from the date of original issuance</w:t>
      </w:r>
    </w:p>
    <w:p>
      <w:pPr>
        <w:spacing w:after="0" w:line="151"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T+3; July 17, 2006</w:t>
      </w:r>
    </w:p>
    <w:p>
      <w:pPr>
        <w:spacing w:after="0" w:line="152"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Record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December 31 and June 30</w:t>
      </w:r>
    </w:p>
    <w:p>
      <w:pPr>
        <w:spacing w:after="0" w:line="152"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Aggregate Price to Public: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$119,881,200</w:t>
      </w:r>
    </w:p>
    <w:p>
      <w:pPr>
        <w:spacing w:after="0" w:line="151"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Underwriting Discount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0.6125%</w:t>
      </w:r>
    </w:p>
    <w:p>
      <w:pPr>
        <w:spacing w:after="0" w:line="192"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Sch. 1 to Exhibit B, Page 1</w:t>
      </w:r>
    </w:p>
    <w:p>
      <w:pPr>
        <w:sectPr>
          <w:pgSz w:w="11900" w:h="16838" w:orient="portrait"/>
          <w:cols w:equalWidth="0" w:num="1">
            <w:col w:w="11420"/>
          </w:cols>
          <w:pgMar w:left="240" w:top="274"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5"/>
          <w:szCs w:val="15"/>
          <w:color w:val="auto"/>
        </w:rPr>
        <w:t>Net Proceeds to the Company before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Expenses: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Redemption Provision: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Dealer Concession: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Reallowance: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Joint Book-Running Managers: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Co-Managers: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6.20% Notes due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Term sheet dated July 12,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Size: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Coupon (Interest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Benchmark Treasury Yield and Price: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First Payment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$119,146,200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-219710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auto"/>
        </w:rPr>
        <w:t>Make-whole call at any time based on U.S. Treasury plus 0.15% (fifteen one-hundredths of one percent)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0.350%</w:t>
            </w: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0.250%</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313747AM9</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8"/>
        </w:trPr>
        <w:tc>
          <w:tcPr>
            <w:tcW w:w="3360" w:type="dxa"/>
            <w:vAlign w:val="bottom"/>
          </w:tcPr>
          <w:p>
            <w:pPr>
              <w:spacing w:after="0"/>
              <w:rPr>
                <w:sz w:val="20"/>
                <w:szCs w:val="20"/>
                <w:color w:val="auto"/>
              </w:rPr>
            </w:pPr>
            <w:r>
              <w:rPr>
                <w:rFonts w:ascii="Arial" w:cs="Arial" w:eastAsia="Arial" w:hAnsi="Arial"/>
                <w:sz w:val="18"/>
                <w:szCs w:val="18"/>
                <w:color w:val="auto"/>
              </w:rPr>
              <w:t>Wachovia Capital Markets, LLC</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48,000,000</w:t>
            </w:r>
          </w:p>
        </w:tc>
      </w:t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36,000,000</w:t>
            </w:r>
          </w:p>
        </w:tc>
      </w:tr>
      <w:tr>
        <w:trPr>
          <w:trHeight w:val="318"/>
        </w:trPr>
        <w:tc>
          <w:tcPr>
            <w:tcW w:w="3360" w:type="dxa"/>
            <w:vAlign w:val="bottom"/>
          </w:tcPr>
          <w:p>
            <w:pPr>
              <w:spacing w:after="0"/>
              <w:rPr>
                <w:sz w:val="20"/>
                <w:szCs w:val="20"/>
                <w:color w:val="auto"/>
              </w:rPr>
            </w:pPr>
            <w:r>
              <w:rPr>
                <w:rFonts w:ascii="Arial" w:cs="Arial" w:eastAsia="Arial" w:hAnsi="Arial"/>
                <w:sz w:val="18"/>
                <w:szCs w:val="18"/>
                <w:color w:val="auto"/>
              </w:rPr>
              <w:t>Bear, Stearns &amp; Co. Inc.</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7,200,000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Commerzbank Capital Markets Corp.</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7,200,000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Piper Jaffray &amp; Co.</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7,200,000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PNC Capital Markets LLC</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7,200,000</w:t>
            </w:r>
          </w:p>
        </w:tc>
      </w:t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SunTrust Capital Markets, Inc.</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7,200,000</w:t>
            </w: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$130,000,000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6.20% per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113 basis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5.125% UST due May 15,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5.11%; 100-3+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January 15 and July 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January 15,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January 15, 2017</w:t>
      </w:r>
    </w:p>
    <w:p>
      <w:pPr>
        <w:spacing w:after="0" w:line="15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Sch. 1 to Exhibit B, Page 2</w:t>
      </w:r>
    </w:p>
    <w:p>
      <w:pPr>
        <w:sectPr>
          <w:pgSz w:w="11900" w:h="16838" w:orient="portrait"/>
          <w:cols w:equalWidth="0" w:num="2">
            <w:col w:w="2640" w:space="700"/>
            <w:col w:w="7320"/>
          </w:cols>
          <w:pgMar w:left="240" w:top="280" w:right="99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Record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Aggregate Price to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Net Proceeds to the Company before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Expenses: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Redemption Provision: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Dealer Concession: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Reallowance: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Joint Book-Running Managers: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Co-Managers: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Estimated Expenses of the Company Excluding Underwriting Discount: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99.696% of principal amount, plus accrued interest, if any, from the date of original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-2040890</wp:posOffset>
            </wp:positionH>
            <wp:positionV relativeFrom="paragraph">
              <wp:posOffset>-219710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T+3; July 17,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December 31 and June 30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$129,604,800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0.650%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$128,759,800</w:t>
      </w:r>
    </w:p>
    <w:p>
      <w:pPr>
        <w:spacing w:after="0" w:line="333" w:lineRule="exact"/>
        <w:rPr>
          <w:sz w:val="20"/>
          <w:szCs w:val="20"/>
          <w:color w:val="auto"/>
        </w:rPr>
      </w:pPr>
    </w:p>
    <w:p>
      <w:pPr>
        <w:jc w:val="center"/>
        <w:ind w:right="660"/>
        <w:spacing w:after="0"/>
        <w:rPr>
          <w:sz w:val="20"/>
          <w:szCs w:val="20"/>
          <w:color w:val="auto"/>
        </w:rPr>
      </w:pPr>
      <w:r>
        <w:rPr>
          <w:rFonts w:ascii="Arial" w:cs="Arial" w:eastAsia="Arial" w:hAnsi="Arial"/>
          <w:sz w:val="15"/>
          <w:szCs w:val="15"/>
          <w:color w:val="auto"/>
        </w:rPr>
        <w:t>Make-whole call at any time based on U.S. Treasury plus 0.20% (twenty one-hundredths of one percent)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0.400%</w:t>
            </w: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0.250%</w:t>
            </w: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313747AN7</w:t>
            </w: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8"/>
        </w:trPr>
        <w:tc>
          <w:tcPr>
            <w:tcW w:w="3440" w:type="dxa"/>
            <w:vAlign w:val="bottom"/>
          </w:tcPr>
          <w:p>
            <w:pPr>
              <w:spacing w:after="0"/>
              <w:rPr>
                <w:sz w:val="20"/>
                <w:szCs w:val="20"/>
                <w:color w:val="auto"/>
              </w:rPr>
            </w:pPr>
            <w:r>
              <w:rPr>
                <w:rFonts w:ascii="Arial" w:cs="Arial" w:eastAsia="Arial" w:hAnsi="Arial"/>
                <w:sz w:val="18"/>
                <w:szCs w:val="18"/>
                <w:color w:val="auto"/>
              </w:rPr>
              <w:t>Wachovia Capital Markets, LLC</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52,000,000</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39,000,000</w:t>
            </w:r>
          </w:p>
        </w:tc>
      </w:tr>
      <w:tr>
        <w:trPr>
          <w:trHeight w:val="318"/>
        </w:trPr>
        <w:tc>
          <w:tcPr>
            <w:tcW w:w="3440" w:type="dxa"/>
            <w:vAlign w:val="bottom"/>
          </w:tcPr>
          <w:p>
            <w:pPr>
              <w:spacing w:after="0"/>
              <w:rPr>
                <w:sz w:val="20"/>
                <w:szCs w:val="20"/>
                <w:color w:val="auto"/>
              </w:rPr>
            </w:pPr>
            <w:r>
              <w:rPr>
                <w:rFonts w:ascii="Arial" w:cs="Arial" w:eastAsia="Arial" w:hAnsi="Arial"/>
                <w:sz w:val="18"/>
                <w:szCs w:val="18"/>
                <w:color w:val="auto"/>
              </w:rPr>
              <w:t>Bear, Stearns &amp; Co. Inc.</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7,800,000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Commerzbank Capital Markets Corp.</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7,800,000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Piper Jaffray &amp; Co.</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7,800,000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PNC Capital Markets LLC</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7,800,000</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SunTrust Capital Markets, Inc.</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7,800,000</w:t>
            </w:r>
          </w:p>
        </w:tc>
      </w:tr>
      <w:tr>
        <w:trPr>
          <w:trHeight w:val="540"/>
        </w:trPr>
        <w:tc>
          <w:tcPr>
            <w:tcW w:w="3440" w:type="dxa"/>
            <w:vAlign w:val="bottom"/>
          </w:tcPr>
          <w:p>
            <w:pPr>
              <w:spacing w:after="0"/>
              <w:rPr>
                <w:sz w:val="20"/>
                <w:szCs w:val="20"/>
                <w:color w:val="auto"/>
              </w:rPr>
            </w:pPr>
            <w:r>
              <w:rPr>
                <w:rFonts w:ascii="Arial" w:cs="Arial" w:eastAsia="Arial" w:hAnsi="Arial"/>
                <w:sz w:val="18"/>
                <w:szCs w:val="18"/>
                <w:color w:val="auto"/>
              </w:rPr>
              <w:t>$300,000</w:t>
            </w: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49" w:lineRule="exact"/>
        <w:rPr>
          <w:sz w:val="20"/>
          <w:szCs w:val="20"/>
          <w:color w:val="auto"/>
        </w:rPr>
      </w:pPr>
    </w:p>
    <w:p>
      <w:pPr>
        <w:sectPr>
          <w:pgSz w:w="11900" w:h="16838" w:orient="portrait"/>
          <w:cols w:equalWidth="0" w:num="2">
            <w:col w:w="2600" w:space="620"/>
            <w:col w:w="8000"/>
          </w:cols>
          <w:pgMar w:left="240" w:top="280" w:right="439" w:bottom="1440" w:gutter="0" w:footer="0" w:header="0"/>
        </w:sectPr>
      </w:pPr>
    </w:p>
    <w:p>
      <w:pPr>
        <w:spacing w:after="0" w:line="296" w:lineRule="auto"/>
        <w:rPr>
          <w:sz w:val="20"/>
          <w:szCs w:val="20"/>
          <w:color w:val="auto"/>
        </w:rPr>
      </w:pPr>
      <w:r>
        <w:rPr>
          <w:rFonts w:ascii="Arial" w:cs="Arial" w:eastAsia="Arial" w:hAnsi="Arial"/>
          <w:sz w:val="16"/>
          <w:szCs w:val="16"/>
          <w:b w:val="1"/>
          <w:bCs w:val="1"/>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Wachovia Capital Markets, LLC toll-free at 1-800-326-5897 or Citigroup Global Markets, Inc. toll-free at 1-800-858-5407.</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Sch. 1 to Exhibit B, Page 3</w:t>
      </w:r>
    </w:p>
    <w:p>
      <w:pPr>
        <w:sectPr>
          <w:pgSz w:w="11900" w:h="16838" w:orient="portrait"/>
          <w:cols w:equalWidth="0" w:num="1">
            <w:col w:w="11220"/>
          </w:cols>
          <w:pgMar w:left="240" w:top="280" w:right="439" w:bottom="1440" w:gutter="0" w:footer="0" w:header="0"/>
          <w:type w:val="continuous"/>
        </w:sectPr>
      </w:pPr>
    </w:p>
    <w:bookmarkStart w:id="37" w:name="page38"/>
    <w:bookmarkEnd w:id="37"/>
    <w:p>
      <w:pPr>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 1 to Exhibit B, Page 4</w:t>
      </w:r>
    </w:p>
    <w:p>
      <w:pPr>
        <w:sectPr>
          <w:pgSz w:w="11900" w:h="16838" w:orient="portrait"/>
          <w:cols w:equalWidth="0" w:num="1">
            <w:col w:w="11320"/>
          </w:cols>
          <w:pgMar w:left="240" w:top="274"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96" w:lineRule="exact"/>
        <w:rPr>
          <w:sz w:val="20"/>
          <w:szCs w:val="20"/>
          <w:color w:val="auto"/>
        </w:rPr>
      </w:pPr>
    </w:p>
    <w:p>
      <w:pPr>
        <w:ind w:right="220" w:firstLine="421"/>
        <w:spacing w:after="0" w:line="284" w:lineRule="auto"/>
        <w:tabs>
          <w:tab w:leader="none" w:pos="629"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Company is a real estate investment trust formed and validly existing and in good standing (as of the date of the applicable good standing certificate referred to in such opinion) under the laws of the State of Maryland and has the trust power and trust authority under Title 8 of the Corporations and Associations Article of the Annotated Code of Maryland (the “Maryland REIT Law”), its Declaration of Trust and</w:t>
      </w:r>
    </w:p>
    <w:p>
      <w:pPr>
        <w:spacing w:after="0" w:line="1" w:lineRule="exact"/>
        <w:rPr>
          <w:rFonts w:ascii="Arial" w:cs="Arial" w:eastAsia="Arial" w:hAnsi="Arial"/>
          <w:sz w:val="16"/>
          <w:szCs w:val="16"/>
          <w:color w:val="auto"/>
        </w:rPr>
      </w:pPr>
    </w:p>
    <w:p>
      <w:pPr>
        <w:ind w:right="100"/>
        <w:spacing w:after="0" w:line="255" w:lineRule="auto"/>
        <w:rPr>
          <w:rFonts w:ascii="Arial" w:cs="Arial" w:eastAsia="Arial" w:hAnsi="Arial"/>
          <w:sz w:val="16"/>
          <w:szCs w:val="16"/>
          <w:color w:val="auto"/>
        </w:rPr>
      </w:pPr>
      <w:r>
        <w:rPr>
          <w:rFonts w:ascii="Arial" w:cs="Arial" w:eastAsia="Arial" w:hAnsi="Arial"/>
          <w:sz w:val="18"/>
          <w:szCs w:val="18"/>
          <w:color w:val="auto"/>
        </w:rPr>
        <w:t>its Bylaws to own its current properties and to conduct its business as described in the Prospectus as amended and supplemented in relation to the Designated Securities. The Company is registered, qualified or authorized to transact business as a foreign entity in the respective states specified in such opinion as of the respective dates listed therein;</w:t>
      </w:r>
    </w:p>
    <w:p>
      <w:pPr>
        <w:spacing w:after="0" w:line="63" w:lineRule="exact"/>
        <w:rPr>
          <w:rFonts w:ascii="Arial" w:cs="Arial" w:eastAsia="Arial" w:hAnsi="Arial"/>
          <w:sz w:val="16"/>
          <w:szCs w:val="16"/>
          <w:color w:val="auto"/>
        </w:rPr>
      </w:pPr>
    </w:p>
    <w:p>
      <w:pPr>
        <w:ind w:right="120" w:firstLine="421"/>
        <w:spacing w:after="0" w:line="298" w:lineRule="auto"/>
        <w:tabs>
          <w:tab w:leader="none" w:pos="678" w:val="left"/>
        </w:tabs>
        <w:numPr>
          <w:ilvl w:val="0"/>
          <w:numId w:val="34"/>
        </w:numPr>
        <w:rPr>
          <w:rFonts w:ascii="Arial" w:cs="Arial" w:eastAsia="Arial" w:hAnsi="Arial"/>
          <w:sz w:val="16"/>
          <w:szCs w:val="16"/>
          <w:color w:val="auto"/>
        </w:rPr>
      </w:pPr>
      <w:r>
        <w:rPr>
          <w:rFonts w:ascii="Arial" w:cs="Arial" w:eastAsia="Arial" w:hAnsi="Arial"/>
          <w:sz w:val="16"/>
          <w:szCs w:val="16"/>
          <w:color w:val="auto"/>
        </w:rPr>
        <w:t>Street Retail, Inc., a Maryland corporation (“SRI”), is validly existing and in good standing (as of the date of the applicable good standing certificate specified in such opinion) as a corporation under the laws of the State of Maryland and has the corporate power and corporate authority under the Maryland General Corporation Law, the SRI Articles and the SRI Bylaws to own its current properties and to conduct its business as described in the Prospectus as amended and supplemented in relation to the Designated Securities.</w:t>
      </w:r>
    </w:p>
    <w:p>
      <w:pPr>
        <w:spacing w:after="0" w:line="31" w:lineRule="exact"/>
        <w:rPr>
          <w:rFonts w:ascii="Arial" w:cs="Arial" w:eastAsia="Arial" w:hAnsi="Arial"/>
          <w:sz w:val="16"/>
          <w:szCs w:val="16"/>
          <w:color w:val="auto"/>
        </w:rPr>
      </w:pPr>
    </w:p>
    <w:p>
      <w:pPr>
        <w:ind w:right="240" w:firstLine="421"/>
        <w:spacing w:after="0" w:line="268" w:lineRule="auto"/>
        <w:tabs>
          <w:tab w:leader="none" w:pos="72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Underwriting Agreement and the Pricing Agreement with respect to the Designated Securities have been duly authorized, executed and delivered by the Company;</w:t>
      </w:r>
    </w:p>
    <w:p>
      <w:pPr>
        <w:spacing w:after="0" w:line="50" w:lineRule="exact"/>
        <w:rPr>
          <w:rFonts w:ascii="Arial" w:cs="Arial" w:eastAsia="Arial" w:hAnsi="Arial"/>
          <w:sz w:val="18"/>
          <w:szCs w:val="18"/>
          <w:color w:val="auto"/>
        </w:rPr>
      </w:pPr>
    </w:p>
    <w:p>
      <w:pPr>
        <w:ind w:right="60" w:firstLine="421"/>
        <w:spacing w:after="0" w:line="255" w:lineRule="auto"/>
        <w:tabs>
          <w:tab w:leader="none" w:pos="71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Designated Securities have been duly authorized for issuance and sale to the Underwriters in accordance with the terms of this Underwriting Agreement and the Pricing Agreement with respect to the Designated Securities and, when issued and authenticated in the manner provided for in the Indenture and delivered against payment therefor in accordance with the provisions of such Underwriting Agreement and Pricing Agreement, will constitute valid and legally binding obligations of the Company, entitled to the benefits of the Indenture, enforceable against the Company in accordance with their terms;</w:t>
      </w:r>
    </w:p>
    <w:p>
      <w:pPr>
        <w:spacing w:after="0" w:line="61" w:lineRule="exact"/>
        <w:rPr>
          <w:rFonts w:ascii="Arial" w:cs="Arial" w:eastAsia="Arial" w:hAnsi="Arial"/>
          <w:sz w:val="18"/>
          <w:szCs w:val="18"/>
          <w:color w:val="auto"/>
        </w:rPr>
      </w:pPr>
    </w:p>
    <w:p>
      <w:pPr>
        <w:ind w:right="140" w:firstLine="421"/>
        <w:spacing w:after="0" w:line="259" w:lineRule="auto"/>
        <w:tabs>
          <w:tab w:leader="none" w:pos="6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 and, assuming due authorization, execution and delivery by each other party thereto, constitutes a valid and binding agreement of the Company, enforceable against the Company in accordance with its terms;</w:t>
      </w:r>
    </w:p>
    <w:p>
      <w:pPr>
        <w:spacing w:after="0" w:line="59" w:lineRule="exact"/>
        <w:rPr>
          <w:rFonts w:ascii="Arial" w:cs="Arial" w:eastAsia="Arial" w:hAnsi="Arial"/>
          <w:sz w:val="18"/>
          <w:szCs w:val="18"/>
          <w:color w:val="auto"/>
        </w:rPr>
      </w:pPr>
    </w:p>
    <w:p>
      <w:pPr>
        <w:ind w:left="720" w:hanging="29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Indenture has been duly qualified under the Trust Indenture Act;</w:t>
      </w:r>
    </w:p>
    <w:p>
      <w:pPr>
        <w:spacing w:after="0" w:line="15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Ex. C-1</w:t>
      </w:r>
    </w:p>
    <w:p>
      <w:pPr>
        <w:sectPr>
          <w:pgSz w:w="11900" w:h="16838" w:orient="portrait"/>
          <w:cols w:equalWidth="0" w:num="1">
            <w:col w:w="10500"/>
          </w:cols>
          <w:pgMar w:left="1160" w:top="274" w:right="239" w:bottom="1440" w:gutter="0" w:footer="0" w:header="0"/>
        </w:sectPr>
      </w:pPr>
    </w:p>
    <w:bookmarkStart w:id="39" w:name="page40"/>
    <w:bookmarkEnd w:id="39"/>
    <w:p>
      <w:pPr>
        <w:ind w:left="-280" w:right="20" w:firstLine="421"/>
        <w:spacing w:after="0" w:line="268" w:lineRule="auto"/>
        <w:tabs>
          <w:tab w:leader="none" w:pos="486"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Designated Securities and the Indenture conform in all material respects to the descriptions thereof in the Prospectus as amended and supplemented;</w:t>
      </w:r>
    </w:p>
    <w:p>
      <w:pPr>
        <w:spacing w:after="0" w:line="50" w:lineRule="exact"/>
        <w:rPr>
          <w:rFonts w:ascii="Arial" w:cs="Arial" w:eastAsia="Arial" w:hAnsi="Arial"/>
          <w:sz w:val="18"/>
          <w:szCs w:val="18"/>
          <w:color w:val="auto"/>
        </w:rPr>
      </w:pPr>
    </w:p>
    <w:p>
      <w:pPr>
        <w:ind w:left="-280" w:right="120" w:firstLine="421"/>
        <w:spacing w:after="0" w:line="259" w:lineRule="auto"/>
        <w:tabs>
          <w:tab w:leader="none" w:pos="5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is not required, and upon the issuance and sale of the Designated Securities as contemplated in this Underwriting Agreement and the related Pricing Agreement and the application of the net proceeds therefrom as described in the Prospectus will not be required, to register as an “investment company” under the Investment Company Act of 1940, as amended.</w:t>
      </w:r>
    </w:p>
    <w:p>
      <w:pPr>
        <w:spacing w:after="0" w:line="59" w:lineRule="exact"/>
        <w:rPr>
          <w:rFonts w:ascii="Arial" w:cs="Arial" w:eastAsia="Arial" w:hAnsi="Arial"/>
          <w:sz w:val="18"/>
          <w:szCs w:val="18"/>
          <w:color w:val="auto"/>
        </w:rPr>
      </w:pPr>
    </w:p>
    <w:p>
      <w:pPr>
        <w:ind w:left="-280" w:firstLine="421"/>
        <w:spacing w:after="0" w:line="298" w:lineRule="auto"/>
        <w:tabs>
          <w:tab w:leader="none" w:pos="437"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in the Company’s Annual Report on Form 10-K for the year ended December 31, 2005 under the caption “Risk Factors— Certain tax and anti-takeover provisions of our declaration of trust and bylaws may inhibit a change of our control,” to the extent that such information constitutes a summary of provisions of the Company’s Declaration of Trust or Bylaws, a summary of the Rights Agreement, a matter of law or a legal conclusion, has been reviewed by such counsel and is correct in all material respects;</w:t>
      </w:r>
    </w:p>
    <w:p>
      <w:pPr>
        <w:spacing w:after="0" w:line="31" w:lineRule="exact"/>
        <w:rPr>
          <w:rFonts w:ascii="Arial" w:cs="Arial" w:eastAsia="Arial" w:hAnsi="Arial"/>
          <w:sz w:val="16"/>
          <w:szCs w:val="16"/>
          <w:color w:val="auto"/>
        </w:rPr>
      </w:pPr>
    </w:p>
    <w:p>
      <w:pPr>
        <w:ind w:left="-280" w:right="60" w:firstLine="421"/>
        <w:spacing w:after="0" w:line="291" w:lineRule="auto"/>
        <w:tabs>
          <w:tab w:leader="none" w:pos="388"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Registration Statement has become effective under the Act; any required filing of the Prospectus relating to the Designated Securities pursuant to Rule 424(b) has been made in the manner and within the time period required by Rule 424(b) (without reference to Rule 424(b)(8)); any required filing of each Issuer Free Writing Prospectus of which such counsel is aware pursuant to Rule 433 has been made in the manner and within the time period required by Rule 433(d); and, to such counsel’s knowledge, no stop order suspending the effectiveness of the Registration Statement has been issued under the Act and no proceedings for that purpose have been instituted or are pending or threatened by the Commission. The Company meets the requirements for use of Form S-3 with respect to the issuance and sale of the Designated Securities;</w:t>
      </w:r>
    </w:p>
    <w:p>
      <w:pPr>
        <w:spacing w:after="0" w:line="39" w:lineRule="exact"/>
        <w:rPr>
          <w:rFonts w:ascii="Arial" w:cs="Arial" w:eastAsia="Arial" w:hAnsi="Arial"/>
          <w:sz w:val="16"/>
          <w:szCs w:val="16"/>
          <w:color w:val="auto"/>
        </w:rPr>
      </w:pPr>
    </w:p>
    <w:p>
      <w:pPr>
        <w:ind w:left="-280" w:right="40" w:firstLine="421"/>
        <w:spacing w:after="0" w:line="291" w:lineRule="auto"/>
        <w:tabs>
          <w:tab w:leader="none" w:pos="437"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execution, delivery and performance as of the date of such opinion by the Company of the Underwriting Agreement and the Pricing Agreement with respect to the Designated Securities and the issuance and sale of the Designated Securities being issued on the date of such opinion do not (a) violate the Maryland REIT Law, (b) violate the Company’s Declaration of Trust or Bylaws, (c) to such counsel’s knowledge, violate any applicable law, rule, regulation, order, judgment or decree of any Maryland agency or court, or (d) breach or constitute a default under the agreements listed in Schedule C-1 to the Underwriting Agreement (other than with respect to the compliance by the Company with the financial and numerical covenants contained therein, as to which such counsel need express no opinion);</w:t>
      </w:r>
    </w:p>
    <w:p>
      <w:pPr>
        <w:spacing w:after="0" w:line="10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Ex. C-2</w:t>
      </w:r>
    </w:p>
    <w:p>
      <w:pPr>
        <w:sectPr>
          <w:pgSz w:w="11900" w:h="16838" w:orient="portrait"/>
          <w:cols w:equalWidth="0" w:num="1">
            <w:col w:w="10180"/>
          </w:cols>
          <w:pgMar w:left="1440" w:top="280" w:right="279" w:bottom="1440" w:gutter="0" w:footer="0" w:header="0"/>
        </w:sectPr>
      </w:pPr>
    </w:p>
    <w:bookmarkStart w:id="40" w:name="page41"/>
    <w:bookmarkEnd w:id="40"/>
    <w:p>
      <w:pPr>
        <w:ind w:left="-280" w:right="40" w:firstLine="421"/>
        <w:spacing w:after="0" w:line="290" w:lineRule="auto"/>
        <w:tabs>
          <w:tab w:leader="none" w:pos="486" w:val="left"/>
        </w:tabs>
        <w:numPr>
          <w:ilvl w:val="0"/>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Registration Statement, including without limitation the Rule 430B Information, the Prospectus, excluding the documents incorporated by reference therein, and each amendment or supplement to the Registration Statement and the Prospectus, excluding the documents incorporated by reference therein, as of their respective effective or issue dates (including without limitation each deemed effective date with respect to the Underwriters pursuant to Rule 430B(f)(2) under the Act), other than the financial statements and notes thereto and supporting schedules and other financial information and financial data included therein or omitted therefrom, and the Trustee’s Statement of Eligibility on Form T-1, as to which such counsel need express no opinion, complied as to form in all material respects with the requirements of the Act and the rules and regulations of the Commission thereunder;</w:t>
      </w:r>
    </w:p>
    <w:p>
      <w:pPr>
        <w:spacing w:after="0" w:line="37" w:lineRule="exact"/>
        <w:rPr>
          <w:rFonts w:ascii="Arial" w:cs="Arial" w:eastAsia="Arial" w:hAnsi="Arial"/>
          <w:sz w:val="16"/>
          <w:szCs w:val="16"/>
          <w:color w:val="auto"/>
        </w:rPr>
      </w:pPr>
    </w:p>
    <w:p>
      <w:pPr>
        <w:ind w:left="-280" w:right="40" w:firstLine="421"/>
        <w:spacing w:after="0" w:line="255" w:lineRule="auto"/>
        <w:tabs>
          <w:tab w:leader="none" w:pos="5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documents incorporated by reference in the Prospectus as amended and supplemented in relation to the applicable Designated Securities (other than the financial statements and notes thereto and supporting schedules and other financial information and financial data included therein or omitted therefrom, as to which such counsel need express no opinion), when they became effective or were filed with the Commission, as the case may be, complied as to form in all material respects with the requirements of the Act or the Exchange Act, as applicable, and the rules and regulations of the Commission thereunder;</w:t>
      </w:r>
    </w:p>
    <w:p>
      <w:pPr>
        <w:spacing w:after="0" w:line="61" w:lineRule="exact"/>
        <w:rPr>
          <w:rFonts w:ascii="Arial" w:cs="Arial" w:eastAsia="Arial" w:hAnsi="Arial"/>
          <w:sz w:val="18"/>
          <w:szCs w:val="18"/>
          <w:color w:val="auto"/>
        </w:rPr>
      </w:pPr>
    </w:p>
    <w:p>
      <w:pPr>
        <w:ind w:left="-280" w:firstLine="421"/>
        <w:spacing w:after="0" w:line="253" w:lineRule="auto"/>
        <w:tabs>
          <w:tab w:leader="none" w:pos="52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Except for such consents, approvals, filings, authorizations, registrations or qualifications as have been obtained or made under the Act and the Trust Indenture Act, and except for consents, approvals, authorizations, registrations or qualifications as may be required under applicable state securities or real estate syndication laws (as to which such counsel need express no opinion) in connection with the offer and sale of the Designated Securities, no consent, approval, authorization or order of, or filing or registration with, the Commission or any Maryland court or governmental agency or body is required to be obtained or made by the Company for the issuance of the Designated Securities or the performance as of the date of such opinion of the obligations contained in the Designated Securities and in the Underwriting Agreement and the Pricing Agreement by the Company;</w:t>
      </w:r>
    </w:p>
    <w:p>
      <w:pPr>
        <w:spacing w:after="0" w:line="66" w:lineRule="exact"/>
        <w:rPr>
          <w:rFonts w:ascii="Arial" w:cs="Arial" w:eastAsia="Arial" w:hAnsi="Arial"/>
          <w:sz w:val="18"/>
          <w:szCs w:val="18"/>
          <w:color w:val="auto"/>
        </w:rPr>
      </w:pPr>
    </w:p>
    <w:p>
      <w:pPr>
        <w:ind w:left="-280" w:firstLine="421"/>
        <w:spacing w:after="0" w:line="259" w:lineRule="auto"/>
        <w:tabs>
          <w:tab w:leader="none" w:pos="47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such counsel’s knowledge, (i) no legal or governmental actions, suits or other proceedings are pending that are required to be described in the Prospectus and are not described therein and (ii) except as set forth in the Prospectus, no such proceedings have been threatened in writing against the Company, its properties or any Entity;</w:t>
      </w:r>
    </w:p>
    <w:p>
      <w:pPr>
        <w:spacing w:after="0" w:line="12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Ex. C-3</w:t>
      </w:r>
    </w:p>
    <w:p>
      <w:pPr>
        <w:sectPr>
          <w:pgSz w:w="11900" w:h="16838" w:orient="portrait"/>
          <w:cols w:equalWidth="0" w:num="1">
            <w:col w:w="10200"/>
          </w:cols>
          <w:pgMar w:left="1440" w:top="280" w:right="259" w:bottom="1440" w:gutter="0" w:footer="0" w:header="0"/>
        </w:sectPr>
      </w:pPr>
    </w:p>
    <w:bookmarkStart w:id="41" w:name="page42"/>
    <w:bookmarkEnd w:id="41"/>
    <w:p>
      <w:pPr>
        <w:ind w:left="900" w:firstLine="4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During the course of preparation of the Registration Statement, the Prospectus and the General Disclosure Package, such counsel participated in conferences with officers and other representatives of the Company, the Company’s independent accountants and the Underwriters and their representatives. While such counsel has not undertaken to determine independently, and does not assume any responsibility for, the accuracy, completeness, or fairness of the statements in the Registration Statement, the Prospectus or the General Disclosure Package (except as set forth in paragraph (vii) above and in the opinion referred to in Section 7(d)(3) of the Underwriting Agreement) no facts have come to such counsel’s attention which have caused them to believe that (i) the Original Registration Statement or any amendment thereto, at the time such Original Registration Statement or any such amendment became effective, when read together with the documents incorporated by reference therein, contained an untrue statement of a material fact or omitted to state a material fact required to be stated therein or necessary to make the statements therein not misleading; that the Registration Statement, including the Rule 430B Information, at each deemed effective date with respect to the Underwriters pursuant to Rule 430B(f)(2) under the Act, when read together with the documents incorporated by reference therein, contained an untrue statement of a material fact or omitted to state a material fact required to be stated therein or necessary to make the statements therein not misleading; (ii) the General Disclosure Package at the Applicable Time when read together with the documents incorporated by reference therein, included an untrue statement of a material fact or omitted to state a material fact necessary in order to make the statements therein, in the light of the circumstances under which they were made, not misleading; or (iii) the Prospectus as amended and supplemented in relation to the Designated Securities, or any further amendments or supplements thereto, as of their respective issue dates or as of the date of such opinion, when read together with the documents incorporated by reference therein, included or includes an untrue statement of a material fact or omitted or omits to state a material fact necessary in order to make the statements therein, in the light of the circumstances under which they were made, not misleading;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making the foregoing statements (which shall not constitute an opinion), such counsel need not express any view as to the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and notes thereto and supporting schedules and other financial information and financial data included in or omitted from the Registration Statement, the Prospectus or the General Disclosure Package as amended and supplemented;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Qualifications to the Opinion:</w:t>
      </w:r>
    </w:p>
    <w:p>
      <w:pPr>
        <w:spacing w:after="0" w:line="90" w:lineRule="exact"/>
        <w:rPr>
          <w:sz w:val="20"/>
          <w:szCs w:val="20"/>
          <w:color w:val="auto"/>
        </w:rPr>
      </w:pPr>
    </w:p>
    <w:p>
      <w:pPr>
        <w:ind w:left="880" w:right="460" w:hanging="446"/>
        <w:spacing w:after="0" w:line="332" w:lineRule="auto"/>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rendering such opinions, counsel may rely as to matters of fact (but not to legal conclusions) on representations of the Company made in the Underwriting Agreement and the Pricing Agreement and certificates of responsible officers of the Company and public officials.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C-4</w:t>
      </w:r>
    </w:p>
    <w:p>
      <w:pPr>
        <w:sectPr>
          <w:pgSz w:w="11900" w:h="16838" w:orient="portrait"/>
          <w:cols w:equalWidth="0" w:num="1">
            <w:col w:w="11380"/>
          </w:cols>
          <w:pgMar w:left="260" w:top="280" w:right="259" w:bottom="1440" w:gutter="0" w:footer="0" w:header="0"/>
        </w:sectPr>
      </w:pPr>
    </w:p>
    <w:bookmarkStart w:id="42" w:name="page43"/>
    <w:bookmarkEnd w:id="42"/>
    <w:p>
      <w:pPr>
        <w:ind w:left="446" w:right="520" w:hanging="446"/>
        <w:spacing w:after="0" w:line="306" w:lineRule="auto"/>
        <w:tabs>
          <w:tab w:leader="none" w:pos="446" w:val="left"/>
        </w:tabs>
        <w:numPr>
          <w:ilvl w:val="0"/>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validity and enforceability of the documents referred to in the opinion may be limited by applicable bankruptcy, insolvency, fraudulent conveyance, reorganization, moratorium, voidable preference, rearrangement, liquidation, conservatorship or other similar laws relating to, or affecting the enforcement of, creditors’ rights and remedies generally, now or hereafter in effect.</w:t>
      </w:r>
    </w:p>
    <w:p>
      <w:pPr>
        <w:spacing w:after="0" w:line="25" w:lineRule="exact"/>
        <w:rPr>
          <w:rFonts w:ascii="Arial" w:cs="Arial" w:eastAsia="Arial" w:hAnsi="Arial"/>
          <w:sz w:val="16"/>
          <w:szCs w:val="16"/>
          <w:color w:val="auto"/>
        </w:rPr>
      </w:pPr>
    </w:p>
    <w:p>
      <w:pPr>
        <w:jc w:val="both"/>
        <w:ind w:left="446" w:right="40" w:hanging="446"/>
        <w:spacing w:after="0" w:line="298" w:lineRule="auto"/>
        <w:tabs>
          <w:tab w:leader="none" w:pos="446"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validity and enforceability of any or all of the provisions of the documents referred to in the opinion is subject to such laws, legal and equitable principles, principles of commercial reasonableness, good faith and fair dealing (regardless of whether enforcement is sought in a proceeding at law or in equity), principles of public policy, statutory provisions, procedural requirements and/or exercise of judicial discretion as may limit the specific enforcement or existence of certain rights or remedies of the party seeking to enforce them.</w:t>
      </w:r>
    </w:p>
    <w:p>
      <w:pPr>
        <w:spacing w:after="0" w:line="31" w:lineRule="exact"/>
        <w:rPr>
          <w:rFonts w:ascii="Arial" w:cs="Arial" w:eastAsia="Arial" w:hAnsi="Arial"/>
          <w:sz w:val="16"/>
          <w:szCs w:val="16"/>
          <w:color w:val="auto"/>
        </w:rPr>
      </w:pPr>
    </w:p>
    <w:p>
      <w:pPr>
        <w:ind w:left="446" w:hanging="446"/>
        <w:spacing w:after="0"/>
        <w:tabs>
          <w:tab w:leader="none" w:pos="446"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validity and enforceability of any or all of the provisions of the documents referred to in the opinion may be limited to the extent that</w:t>
      </w:r>
    </w:p>
    <w:p>
      <w:pPr>
        <w:spacing w:after="0" w:line="38" w:lineRule="exact"/>
        <w:rPr>
          <w:rFonts w:ascii="Arial" w:cs="Arial" w:eastAsia="Arial" w:hAnsi="Arial"/>
          <w:sz w:val="16"/>
          <w:szCs w:val="16"/>
          <w:color w:val="auto"/>
        </w:rPr>
      </w:pPr>
    </w:p>
    <w:p>
      <w:pPr>
        <w:jc w:val="both"/>
        <w:ind w:left="446" w:right="300"/>
        <w:spacing w:after="0" w:line="352" w:lineRule="auto"/>
        <w:rPr>
          <w:rFonts w:ascii="Arial" w:cs="Arial" w:eastAsia="Arial" w:hAnsi="Arial"/>
          <w:sz w:val="16"/>
          <w:szCs w:val="16"/>
          <w:color w:val="auto"/>
        </w:rPr>
      </w:pPr>
      <w:r>
        <w:rPr>
          <w:rFonts w:ascii="Arial" w:cs="Arial" w:eastAsia="Arial" w:hAnsi="Arial"/>
          <w:sz w:val="15"/>
          <w:szCs w:val="15"/>
          <w:color w:val="auto"/>
        </w:rPr>
        <w:t>(i) remedies are sought with respect to a breach that a court concludes is not material or does not adversely affect the party seeking to enforce the provision or provisions of such documents, or (ii) a court concludes that it would be unreasonable or unconscionable to enforce such documents.</w:t>
      </w:r>
    </w:p>
    <w:p>
      <w:pPr>
        <w:ind w:left="446" w:right="340" w:hanging="446"/>
        <w:spacing w:after="0" w:line="255" w:lineRule="auto"/>
        <w:tabs>
          <w:tab w:leader="none" w:pos="4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Counsel need not express any opinion as to the validity or enforceability of (i) the indemnification and contribution provisions of the documents referred to in the opinion, to the extent that the validity or enforceability of such provisions may be limited by the federal securities laws, (ii) the severability provisions contained in such documents, or (iii) the choice-of-law provisions contained in such documents as to which laws shall be deemed to govern. The validity or enforceability of such documents may also be limited by the exercise of judicial discretion regarding the entitlement to attorneys’ fees and other costs.</w:t>
      </w:r>
    </w:p>
    <w:p>
      <w:pPr>
        <w:spacing w:after="0" w:line="61" w:lineRule="exact"/>
        <w:rPr>
          <w:rFonts w:ascii="Arial" w:cs="Arial" w:eastAsia="Arial" w:hAnsi="Arial"/>
          <w:sz w:val="18"/>
          <w:szCs w:val="18"/>
          <w:color w:val="auto"/>
        </w:rPr>
      </w:pPr>
    </w:p>
    <w:p>
      <w:pPr>
        <w:jc w:val="both"/>
        <w:ind w:left="446" w:hanging="446"/>
        <w:spacing w:after="0" w:line="306" w:lineRule="auto"/>
        <w:tabs>
          <w:tab w:leader="none" w:pos="446" w:val="left"/>
        </w:tabs>
        <w:numPr>
          <w:ilvl w:val="0"/>
          <w:numId w:val="38"/>
        </w:numPr>
        <w:rPr>
          <w:rFonts w:ascii="Arial" w:cs="Arial" w:eastAsia="Arial" w:hAnsi="Arial"/>
          <w:sz w:val="16"/>
          <w:szCs w:val="16"/>
          <w:color w:val="auto"/>
        </w:rPr>
      </w:pPr>
      <w:r>
        <w:rPr>
          <w:rFonts w:ascii="Arial" w:cs="Arial" w:eastAsia="Arial" w:hAnsi="Arial"/>
          <w:sz w:val="16"/>
          <w:szCs w:val="16"/>
          <w:color w:val="auto"/>
        </w:rPr>
        <w:t>Such counsel’s opinions shall be based upon and are limited to the laws of the United States of America and the State of Maryland. To the extent that any agreement referred to in clause (d) of subparagraph (xi) above is governed by the laws of any jurisdiction other than the State of Maryland, such opinion shall further state that such counsel has assumed that such agreement is governed by the laws of the State of Maryland.</w:t>
      </w:r>
    </w:p>
    <w:p>
      <w:pPr>
        <w:spacing w:after="0" w:line="25" w:lineRule="exact"/>
        <w:rPr>
          <w:rFonts w:ascii="Arial" w:cs="Arial" w:eastAsia="Arial" w:hAnsi="Arial"/>
          <w:sz w:val="16"/>
          <w:szCs w:val="16"/>
          <w:color w:val="auto"/>
        </w:rPr>
      </w:pPr>
    </w:p>
    <w:p>
      <w:pPr>
        <w:ind w:left="446" w:right="40" w:hanging="446"/>
        <w:spacing w:after="0" w:line="332" w:lineRule="auto"/>
        <w:tabs>
          <w:tab w:leader="none" w:pos="446" w:val="left"/>
        </w:tabs>
        <w:numPr>
          <w:ilvl w:val="0"/>
          <w:numId w:val="38"/>
        </w:numPr>
        <w:rPr>
          <w:rFonts w:ascii="Arial" w:cs="Arial" w:eastAsia="Arial" w:hAnsi="Arial"/>
          <w:sz w:val="16"/>
          <w:szCs w:val="16"/>
          <w:color w:val="auto"/>
        </w:rPr>
      </w:pPr>
      <w:r>
        <w:rPr>
          <w:rFonts w:ascii="Arial" w:cs="Arial" w:eastAsia="Arial" w:hAnsi="Arial"/>
          <w:sz w:val="16"/>
          <w:szCs w:val="16"/>
          <w:color w:val="auto"/>
        </w:rPr>
        <w:t>Such counsel’s opinions as to the valid existence of the Company or SRI may be based solely upon certified copies of the Declaration of Trust of the Company and Articles of Incorporation of SRI issued by the Maryland Department of Assessments and Taxation and as to the qualification and</w:t>
      </w:r>
    </w:p>
    <w:p>
      <w:pPr>
        <w:spacing w:after="0" w:line="72"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Ex. C-5</w:t>
      </w:r>
    </w:p>
    <w:p>
      <w:pPr>
        <w:sectPr>
          <w:pgSz w:w="11900" w:h="16838" w:orient="portrait"/>
          <w:cols w:equalWidth="0" w:num="1">
            <w:col w:w="10926"/>
          </w:cols>
          <w:pgMar w:left="694" w:top="280" w:right="279" w:bottom="1440" w:gutter="0" w:footer="0" w:header="0"/>
        </w:sectPr>
      </w:pPr>
    </w:p>
    <w:bookmarkStart w:id="43" w:name="page44"/>
    <w:bookmarkEnd w:id="43"/>
    <w:p>
      <w:pPr>
        <w:ind w:left="46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good standing of the Company or SRI may be based solely upon good standing certificates with respect to such entities issued by the applicable state regulatory authority or authorities.</w:t>
      </w:r>
    </w:p>
    <w:p>
      <w:pPr>
        <w:spacing w:after="0" w:line="51" w:lineRule="exact"/>
        <w:rPr>
          <w:sz w:val="20"/>
          <w:szCs w:val="20"/>
          <w:color w:val="auto"/>
        </w:rPr>
      </w:pPr>
    </w:p>
    <w:p>
      <w:pPr>
        <w:ind w:left="446" w:right="160" w:hanging="446"/>
        <w:spacing w:after="0" w:line="256" w:lineRule="auto"/>
        <w:tabs>
          <w:tab w:leader="none" w:pos="4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references therein to “our knowledge” or words of similar effect shall mean that, in the course of its representation of the Company, no information has come to the attention of such counsel’s attorneys who have performed substantive legal services in connection with the transaction contemplated by the Underwriting Agreement and who are familiar with the substance of this opinion that gives such attorneys actual current knowledge that any such opinions are not accurate.</w:t>
      </w:r>
    </w:p>
    <w:p>
      <w:pPr>
        <w:spacing w:after="0" w:line="62" w:lineRule="exact"/>
        <w:rPr>
          <w:rFonts w:ascii="Arial" w:cs="Arial" w:eastAsia="Arial" w:hAnsi="Arial"/>
          <w:sz w:val="18"/>
          <w:szCs w:val="18"/>
          <w:color w:val="auto"/>
        </w:rPr>
      </w:pPr>
    </w:p>
    <w:p>
      <w:pPr>
        <w:ind w:left="446" w:right="160" w:hanging="446"/>
        <w:spacing w:after="0" w:line="294" w:lineRule="auto"/>
        <w:tabs>
          <w:tab w:leader="none" w:pos="446"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Except as agreed by counsel in writing, the opinion shall be solely for the benefit of the addressees thereof and the Underwriters and may be relied upon solely by such addressees and Underwriters in connection with the transactions contemplated by the Underwriting Agreement. Such opinion shall state that Sidley Austin </w:t>
      </w:r>
      <w:r>
        <w:rPr>
          <w:rFonts w:ascii="Arial" w:cs="Arial" w:eastAsia="Arial" w:hAnsi="Arial"/>
          <w:sz w:val="13"/>
          <w:szCs w:val="13"/>
          <w:color w:val="auto"/>
        </w:rPr>
        <w:t>LLP</w:t>
      </w:r>
      <w:r>
        <w:rPr>
          <w:rFonts w:ascii="Arial" w:cs="Arial" w:eastAsia="Arial" w:hAnsi="Arial"/>
          <w:sz w:val="16"/>
          <w:szCs w:val="16"/>
          <w:color w:val="auto"/>
        </w:rPr>
        <w:t>, counsel for the Underwriters, may rely on such opinion as to all matters arising under or governed by the laws of the State of Maryland in rendering their opinion pursuant to the Underwriting Agreement. Without counsel’s express permission, the opinion letter may not be used, circulated, quoted or otherwise referred to for any purpose except as stated therein.</w:t>
      </w:r>
    </w:p>
    <w:p>
      <w:pPr>
        <w:spacing w:after="0" w:line="102"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Ex. C-6</w:t>
      </w:r>
    </w:p>
    <w:p>
      <w:pPr>
        <w:sectPr>
          <w:pgSz w:w="11900" w:h="16838" w:orient="portrait"/>
          <w:cols w:equalWidth="0" w:num="1">
            <w:col w:w="10926"/>
          </w:cols>
          <w:pgMar w:left="694" w:top="280" w:right="279" w:bottom="1440" w:gutter="0" w:footer="0" w:header="0"/>
        </w:sectPr>
      </w:pPr>
    </w:p>
    <w:bookmarkStart w:id="44" w:name="page45"/>
    <w:bookmarkEnd w:id="44"/>
    <w:p>
      <w:pPr>
        <w:ind w:left="10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C-1</w:t>
      </w:r>
    </w:p>
    <w:p>
      <w:pPr>
        <w:spacing w:after="0" w:line="119"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Indenture dated December 13, 1993, related to the Company’s 7.48% Debentures due August 15, 2026; and 6.82% Medium Term Notes due August 1, 2027, filed with the Commission on December 13, 1993 as Exhibit 4(a) to the Company’s Registration Statement on Form S-3 (File No. 33-51029).</w:t>
      </w:r>
    </w:p>
    <w:p>
      <w:pPr>
        <w:spacing w:after="0" w:line="85"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 xml:space="preserve">Indenture dated September 1, 1998 related to the Company’s 6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Notes due November 15, 2007, 8.75% Notes due December 1, 2009, 4.50% Notes due 2011 and 5.65% Notes due 2016 filed as Exhibit 4(a) to the Company’s Registration Statement on Form S-3 (File No. 333-63619).</w:t>
      </w:r>
    </w:p>
    <w:p>
      <w:pPr>
        <w:spacing w:after="0" w:line="15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Credit Agreement dated as of October 8, 2003, by and among the Company, as Borrower, The Financial Institutions Party Thereto and Their Assignees Under Section 13.5.(a), as Lenders, Wachovia Capital Markets, LLC as sole Lead Arranger and Administrative Agent, Commerzbank, New York Branch as the sole Syndication Agent, Wells Fargo Bank N.A., Bank One and SunTrust Bank as Documentation Agents, and PNC Real Estate Finance, Eurohypo AG, New York Branch and Fleet National Bank as Managing Agents.</w:t>
      </w:r>
    </w:p>
    <w:p>
      <w:pPr>
        <w:sectPr>
          <w:pgSz w:w="11900" w:h="16838" w:orient="portrait"/>
          <w:cols w:equalWidth="0" w:num="1">
            <w:col w:w="11420"/>
          </w:cols>
          <w:pgMar w:left="240" w:top="274"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Company’s Direct or Indirect</w:t>
            </w:r>
          </w:p>
        </w:tc>
      </w:tr>
      <w:tr>
        <w:trPr>
          <w:trHeight w:val="149"/>
        </w:trPr>
        <w:tc>
          <w:tcPr>
            <w:tcW w:w="8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60" w:type="dxa"/>
            <w:vAlign w:val="bottom"/>
          </w:tcPr>
          <w:p>
            <w:pPr>
              <w:jc w:val="center"/>
              <w:ind w:right="359"/>
              <w:spacing w:after="0" w:line="149" w:lineRule="exact"/>
              <w:rPr>
                <w:sz w:val="20"/>
                <w:szCs w:val="20"/>
                <w:color w:val="auto"/>
              </w:rPr>
            </w:pPr>
            <w:r>
              <w:rPr>
                <w:rFonts w:ascii="Arial" w:cs="Arial" w:eastAsia="Arial" w:hAnsi="Arial"/>
                <w:sz w:val="14"/>
                <w:szCs w:val="14"/>
                <w:b w:val="1"/>
                <w:bCs w:val="1"/>
                <w:color w:val="auto"/>
                <w:w w:val="85"/>
              </w:rPr>
              <w:t>Ownership</w:t>
            </w:r>
          </w:p>
        </w:tc>
      </w:tr>
      <w:tr>
        <w:trPr>
          <w:trHeight w:val="181"/>
        </w:trPr>
        <w:tc>
          <w:tcPr>
            <w:tcW w:w="8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FEDERAL REALTY INVESTMENT TRUST</w:t>
            </w:r>
          </w:p>
        </w:tc>
        <w:tc>
          <w:tcPr>
            <w:tcW w:w="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center"/>
              <w:ind w:right="359"/>
              <w:spacing w:after="0"/>
              <w:rPr>
                <w:sz w:val="20"/>
                <w:szCs w:val="20"/>
                <w:color w:val="auto"/>
              </w:rPr>
            </w:pPr>
            <w:r>
              <w:rPr>
                <w:rFonts w:ascii="Arial" w:cs="Arial" w:eastAsia="Arial" w:hAnsi="Arial"/>
                <w:sz w:val="14"/>
                <w:szCs w:val="14"/>
                <w:b w:val="1"/>
                <w:bCs w:val="1"/>
                <w:color w:val="auto"/>
                <w:w w:val="90"/>
              </w:rPr>
              <w:t>Interest</w:t>
            </w:r>
          </w:p>
        </w:tc>
      </w:tr>
      <w:tr>
        <w:trPr>
          <w:trHeight w:val="195"/>
        </w:trPr>
        <w:tc>
          <w:tcPr>
            <w:tcW w:w="8700" w:type="dxa"/>
            <w:vAlign w:val="bottom"/>
          </w:tcPr>
          <w:p>
            <w:pPr>
              <w:spacing w:after="0" w:line="195" w:lineRule="exact"/>
              <w:rPr>
                <w:sz w:val="20"/>
                <w:szCs w:val="20"/>
                <w:color w:val="auto"/>
              </w:rPr>
            </w:pPr>
            <w:r>
              <w:rPr>
                <w:rFonts w:ascii="Arial" w:cs="Arial" w:eastAsia="Arial" w:hAnsi="Arial"/>
                <w:sz w:val="18"/>
                <w:szCs w:val="18"/>
                <w:color w:val="auto"/>
              </w:rPr>
              <w:t>FR Associates Limited Partnership (“FR”)</w:t>
            </w:r>
          </w:p>
        </w:tc>
        <w:tc>
          <w:tcPr>
            <w:tcW w:w="220" w:type="dxa"/>
            <w:vAlign w:val="bottom"/>
          </w:tcPr>
          <w:p>
            <w:pPr>
              <w:spacing w:after="0"/>
              <w:rPr>
                <w:sz w:val="16"/>
                <w:szCs w:val="16"/>
                <w:color w:val="auto"/>
              </w:rPr>
            </w:pPr>
          </w:p>
        </w:tc>
        <w:tc>
          <w:tcPr>
            <w:tcW w:w="2500" w:type="dxa"/>
            <w:vAlign w:val="bottom"/>
            <w:gridSpan w:val="2"/>
          </w:tcPr>
          <w:p>
            <w:pPr>
              <w:spacing w:after="0" w:line="195" w:lineRule="exact"/>
              <w:rPr>
                <w:sz w:val="20"/>
                <w:szCs w:val="20"/>
                <w:color w:val="auto"/>
              </w:rPr>
            </w:pPr>
            <w:r>
              <w:rPr>
                <w:rFonts w:ascii="Arial" w:cs="Arial" w:eastAsia="Arial" w:hAnsi="Arial"/>
                <w:sz w:val="18"/>
                <w:szCs w:val="18"/>
                <w:color w:val="auto"/>
              </w:rPr>
              <w:t>98.97% (1.03% SRI)</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Andorra Associates</w:t>
            </w: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99% (1% FR)</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Governor Plaza Associates</w:t>
            </w: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99% (1% FR)</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Shopping Center Associates</w:t>
            </w: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99% (1% FR)</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Berman Enterprises II Limited Partnership</w:t>
            </w: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99% (1% FR)</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FRIT Escondido Promenade, LLC</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70%</w:t>
            </w:r>
          </w:p>
        </w:tc>
        <w:tc>
          <w:tcPr>
            <w:tcW w:w="2060" w:type="dxa"/>
            <w:vAlign w:val="bottom"/>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FRIT Leasing &amp; Development Services, Inc. (“FRIT L&amp;D”)</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w w:val="91"/>
              </w:rPr>
              <w:t>100%</w:t>
            </w:r>
          </w:p>
        </w:tc>
        <w:tc>
          <w:tcPr>
            <w:tcW w:w="2060" w:type="dxa"/>
            <w:vAlign w:val="bottom"/>
          </w:tcPr>
          <w:p>
            <w:pPr>
              <w:spacing w:after="0"/>
              <w:rPr>
                <w:sz w:val="18"/>
                <w:szCs w:val="18"/>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FRIT Santana Row TRS, Inc.</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w w:val="91"/>
              </w:rPr>
              <w:t>100%</w:t>
            </w:r>
          </w:p>
        </w:tc>
        <w:tc>
          <w:tcPr>
            <w:tcW w:w="2060" w:type="dxa"/>
            <w:vAlign w:val="bottom"/>
          </w:tcPr>
          <w:p>
            <w:pPr>
              <w:ind w:left="20"/>
              <w:spacing w:after="0"/>
              <w:rPr>
                <w:sz w:val="20"/>
                <w:szCs w:val="20"/>
                <w:color w:val="auto"/>
              </w:rPr>
            </w:pPr>
            <w:r>
              <w:rPr>
                <w:rFonts w:ascii="Arial" w:cs="Arial" w:eastAsia="Arial" w:hAnsi="Arial"/>
                <w:sz w:val="18"/>
                <w:szCs w:val="18"/>
                <w:color w:val="auto"/>
              </w:rPr>
              <w:t>(FRIT L&amp;D)</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Congressional Plaza Associates, LLC</w:t>
            </w: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64.1030%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FR Pike 7 Limited Partnership (DownREIT) – 12,393.71 units outstanding)</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99%</w:t>
            </w:r>
          </w:p>
        </w:tc>
        <w:tc>
          <w:tcPr>
            <w:tcW w:w="2060" w:type="dxa"/>
            <w:vAlign w:val="bottom"/>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w w:val="94"/>
              </w:rPr>
              <w:t>Federal Realty Partners L. P. (Master DownREIT- 352,549 units outstanding – 508,999 units have been redeemed)</w:t>
            </w: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40 units (FedRP Inc.)</w:t>
            </w:r>
          </w:p>
        </w:tc>
      </w:tr>
      <w:tr>
        <w:trPr>
          <w:trHeight w:val="222"/>
        </w:trPr>
        <w:tc>
          <w:tcPr>
            <w:tcW w:w="8700" w:type="dxa"/>
            <w:vAlign w:val="bottom"/>
          </w:tcPr>
          <w:p>
            <w:pPr>
              <w:spacing w:after="0"/>
              <w:rPr>
                <w:sz w:val="19"/>
                <w:szCs w:val="19"/>
                <w:color w:val="auto"/>
              </w:rPr>
            </w:pP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509,039 units (FRLP Inc.)</w:t>
            </w:r>
          </w:p>
        </w:tc>
      </w:tr>
      <w:tr>
        <w:trPr>
          <w:trHeight w:val="223"/>
        </w:trPr>
        <w:tc>
          <w:tcPr>
            <w:tcW w:w="8700" w:type="dxa"/>
            <w:vAlign w:val="bottom"/>
          </w:tcPr>
          <w:p>
            <w:pPr>
              <w:ind w:left="440"/>
              <w:spacing w:after="0"/>
              <w:rPr>
                <w:sz w:val="20"/>
                <w:szCs w:val="20"/>
                <w:color w:val="auto"/>
              </w:rPr>
            </w:pPr>
            <w:r>
              <w:rPr>
                <w:rFonts w:ascii="Arial" w:cs="Arial" w:eastAsia="Arial" w:hAnsi="Arial"/>
                <w:sz w:val="18"/>
                <w:szCs w:val="18"/>
                <w:color w:val="auto"/>
              </w:rPr>
              <w:t>Federal Realty Partners, Inc. (“FedRP Inc.”)</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w w:val="91"/>
              </w:rPr>
              <w:t>100%</w:t>
            </w:r>
          </w:p>
        </w:tc>
        <w:tc>
          <w:tcPr>
            <w:tcW w:w="2060" w:type="dxa"/>
            <w:vAlign w:val="bottom"/>
          </w:tcPr>
          <w:p>
            <w:pPr>
              <w:spacing w:after="0"/>
              <w:rPr>
                <w:sz w:val="19"/>
                <w:szCs w:val="19"/>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FRLP, Inc. (“FRLP Inc.”)</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w w:val="91"/>
              </w:rPr>
              <w:t>100%</w:t>
            </w:r>
          </w:p>
        </w:tc>
        <w:tc>
          <w:tcPr>
            <w:tcW w:w="2060" w:type="dxa"/>
            <w:vAlign w:val="bottom"/>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FR Leesburg Plaza, LLC (“Leesburg LLC”)</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w w:val="91"/>
              </w:rPr>
              <w:t>100%</w:t>
            </w:r>
          </w:p>
        </w:tc>
        <w:tc>
          <w:tcPr>
            <w:tcW w:w="2060" w:type="dxa"/>
            <w:vAlign w:val="bottom"/>
          </w:tcPr>
          <w:p>
            <w:pPr>
              <w:spacing w:after="0"/>
              <w:rPr>
                <w:sz w:val="18"/>
                <w:szCs w:val="18"/>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FR Leesburg Plaza, LP (DownREIT– 37,267 units outstanding – 100,733 units have been redeemed)</w:t>
            </w: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315,233 units (Leesburg LLC)</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Federal Realty Management Services, Inc.</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w w:val="91"/>
              </w:rPr>
              <w:t>100%</w:t>
            </w:r>
          </w:p>
        </w:tc>
        <w:tc>
          <w:tcPr>
            <w:tcW w:w="2060" w:type="dxa"/>
            <w:vAlign w:val="bottom"/>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FR Federal Plaza, Inc. (“FedPlaza Inc.”)</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w w:val="91"/>
              </w:rPr>
              <w:t>100%</w:t>
            </w:r>
          </w:p>
        </w:tc>
        <w:tc>
          <w:tcPr>
            <w:tcW w:w="2060" w:type="dxa"/>
            <w:vAlign w:val="bottom"/>
          </w:tcPr>
          <w:p>
            <w:pPr>
              <w:spacing w:after="0"/>
              <w:rPr>
                <w:sz w:val="18"/>
                <w:szCs w:val="18"/>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FR Federal Plaza, LLC</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w w:val="91"/>
              </w:rPr>
              <w:t>100%</w:t>
            </w:r>
          </w:p>
        </w:tc>
        <w:tc>
          <w:tcPr>
            <w:tcW w:w="2060" w:type="dxa"/>
            <w:vAlign w:val="bottom"/>
          </w:tcPr>
          <w:p>
            <w:pPr>
              <w:ind w:left="20"/>
              <w:spacing w:after="0"/>
              <w:rPr>
                <w:sz w:val="20"/>
                <w:szCs w:val="20"/>
                <w:color w:val="auto"/>
              </w:rPr>
            </w:pPr>
            <w:r>
              <w:rPr>
                <w:rFonts w:ascii="Arial" w:cs="Arial" w:eastAsia="Arial" w:hAnsi="Arial"/>
                <w:sz w:val="18"/>
                <w:szCs w:val="18"/>
                <w:color w:val="auto"/>
              </w:rPr>
              <w:t>(FedPlaza Inc.)</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FR Mercer Mall, Inc. (“Mercer Inc.”)</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w w:val="91"/>
              </w:rPr>
              <w:t>100%</w:t>
            </w:r>
          </w:p>
        </w:tc>
        <w:tc>
          <w:tcPr>
            <w:tcW w:w="2060" w:type="dxa"/>
            <w:vAlign w:val="bottom"/>
          </w:tcPr>
          <w:p>
            <w:pPr>
              <w:spacing w:after="0"/>
              <w:rPr>
                <w:sz w:val="18"/>
                <w:szCs w:val="18"/>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FR Mercer Mall, LLC</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w w:val="91"/>
              </w:rPr>
              <w:t>100%</w:t>
            </w:r>
          </w:p>
        </w:tc>
        <w:tc>
          <w:tcPr>
            <w:tcW w:w="2060" w:type="dxa"/>
            <w:vAlign w:val="bottom"/>
          </w:tcPr>
          <w:p>
            <w:pPr>
              <w:ind w:left="20"/>
              <w:spacing w:after="0"/>
              <w:rPr>
                <w:sz w:val="20"/>
                <w:szCs w:val="20"/>
                <w:color w:val="auto"/>
              </w:rPr>
            </w:pPr>
            <w:r>
              <w:rPr>
                <w:rFonts w:ascii="Arial" w:cs="Arial" w:eastAsia="Arial" w:hAnsi="Arial"/>
                <w:sz w:val="18"/>
                <w:szCs w:val="18"/>
                <w:color w:val="auto"/>
              </w:rPr>
              <w:t>(Mercer Inc.)</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Federal/LPF GP, Inc. (“LPF”)</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w w:val="91"/>
              </w:rPr>
              <w:t>100%</w:t>
            </w:r>
          </w:p>
        </w:tc>
        <w:tc>
          <w:tcPr>
            <w:tcW w:w="2060" w:type="dxa"/>
            <w:vAlign w:val="bottom"/>
          </w:tcPr>
          <w:p>
            <w:pPr>
              <w:spacing w:after="0"/>
              <w:rPr>
                <w:sz w:val="18"/>
                <w:szCs w:val="18"/>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Federal/Lion Venture LP (“Venture”)</w:t>
            </w: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29.99% (.1% LPF)</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FLV Plaza del Mercado, LLC (“Mercado”)</w:t>
            </w: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30% through Venture</w:t>
            </w:r>
          </w:p>
        </w:tc>
      </w:tr>
      <w:tr>
        <w:trPr>
          <w:trHeight w:val="216"/>
        </w:trPr>
        <w:tc>
          <w:tcPr>
            <w:tcW w:w="8700" w:type="dxa"/>
            <w:vAlign w:val="bottom"/>
          </w:tcPr>
          <w:p>
            <w:pPr>
              <w:ind w:left="880"/>
              <w:spacing w:after="0"/>
              <w:rPr>
                <w:sz w:val="20"/>
                <w:szCs w:val="20"/>
                <w:color w:val="auto"/>
              </w:rPr>
            </w:pPr>
            <w:r>
              <w:rPr>
                <w:rFonts w:ascii="Arial" w:cs="Arial" w:eastAsia="Arial" w:hAnsi="Arial"/>
                <w:sz w:val="18"/>
                <w:szCs w:val="18"/>
                <w:color w:val="auto"/>
              </w:rPr>
              <w:t>FLV Plaza del Mercado, LP</w:t>
            </w: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30% through Mercado</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FLV Campus Plaza GP, LLC (“Campus”)</w:t>
            </w: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30% through Venture</w:t>
            </w:r>
          </w:p>
        </w:tc>
      </w:tr>
      <w:tr>
        <w:trPr>
          <w:trHeight w:val="216"/>
        </w:trPr>
        <w:tc>
          <w:tcPr>
            <w:tcW w:w="8700" w:type="dxa"/>
            <w:vAlign w:val="bottom"/>
          </w:tcPr>
          <w:p>
            <w:pPr>
              <w:ind w:left="880"/>
              <w:spacing w:after="0"/>
              <w:rPr>
                <w:sz w:val="20"/>
                <w:szCs w:val="20"/>
                <w:color w:val="auto"/>
              </w:rPr>
            </w:pPr>
            <w:r>
              <w:rPr>
                <w:rFonts w:ascii="Arial" w:cs="Arial" w:eastAsia="Arial" w:hAnsi="Arial"/>
                <w:sz w:val="18"/>
                <w:szCs w:val="18"/>
                <w:color w:val="auto"/>
              </w:rPr>
              <w:t>FLV Campus Plaza Limited Partnership</w:t>
            </w: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30% through Campus</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FLV Pleasant Shops GP, LLC (“Pleasant”)</w:t>
            </w: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30% through Venture</w:t>
            </w:r>
          </w:p>
        </w:tc>
      </w:tr>
      <w:tr>
        <w:trPr>
          <w:trHeight w:val="216"/>
        </w:trPr>
        <w:tc>
          <w:tcPr>
            <w:tcW w:w="8700" w:type="dxa"/>
            <w:vAlign w:val="bottom"/>
          </w:tcPr>
          <w:p>
            <w:pPr>
              <w:ind w:left="880"/>
              <w:spacing w:after="0"/>
              <w:rPr>
                <w:sz w:val="20"/>
                <w:szCs w:val="20"/>
                <w:color w:val="auto"/>
              </w:rPr>
            </w:pPr>
            <w:r>
              <w:rPr>
                <w:rFonts w:ascii="Arial" w:cs="Arial" w:eastAsia="Arial" w:hAnsi="Arial"/>
                <w:sz w:val="18"/>
                <w:szCs w:val="18"/>
                <w:color w:val="auto"/>
              </w:rPr>
              <w:t>FLV Pleasant Shops Limited Partnership</w:t>
            </w: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30% through Pleasant</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FLV Atlantic Plaza GP, LLC (“Atlantic”)</w:t>
            </w: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30% through Venture</w:t>
            </w:r>
          </w:p>
        </w:tc>
      </w:tr>
      <w:tr>
        <w:trPr>
          <w:trHeight w:val="216"/>
        </w:trPr>
        <w:tc>
          <w:tcPr>
            <w:tcW w:w="8700" w:type="dxa"/>
            <w:vAlign w:val="bottom"/>
          </w:tcPr>
          <w:p>
            <w:pPr>
              <w:ind w:left="880"/>
              <w:spacing w:after="0"/>
              <w:rPr>
                <w:sz w:val="20"/>
                <w:szCs w:val="20"/>
                <w:color w:val="auto"/>
              </w:rPr>
            </w:pPr>
            <w:r>
              <w:rPr>
                <w:rFonts w:ascii="Arial" w:cs="Arial" w:eastAsia="Arial" w:hAnsi="Arial"/>
                <w:sz w:val="18"/>
                <w:szCs w:val="18"/>
                <w:color w:val="auto"/>
              </w:rPr>
              <w:t>FLV Atlantic Plaza Limited Partnership</w:t>
            </w: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30% through Atlantic</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FLV Greenlawn Plaza GP, LLC (“Greenlawn”)</w:t>
            </w: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30% through Venture</w:t>
            </w:r>
          </w:p>
        </w:tc>
      </w:tr>
      <w:tr>
        <w:trPr>
          <w:trHeight w:val="216"/>
        </w:trPr>
        <w:tc>
          <w:tcPr>
            <w:tcW w:w="8700" w:type="dxa"/>
            <w:vAlign w:val="bottom"/>
          </w:tcPr>
          <w:p>
            <w:pPr>
              <w:ind w:left="880"/>
              <w:spacing w:after="0"/>
              <w:rPr>
                <w:sz w:val="20"/>
                <w:szCs w:val="20"/>
                <w:color w:val="auto"/>
              </w:rPr>
            </w:pPr>
            <w:r>
              <w:rPr>
                <w:rFonts w:ascii="Arial" w:cs="Arial" w:eastAsia="Arial" w:hAnsi="Arial"/>
                <w:sz w:val="18"/>
                <w:szCs w:val="18"/>
                <w:color w:val="auto"/>
              </w:rPr>
              <w:t>FLV Greenlawn Plaza, LP</w:t>
            </w: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30% through Greenlawn</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FLV Barcroft Plaza GP, LLC (“Barcroft”)</w:t>
            </w: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30% through Venture</w:t>
            </w:r>
          </w:p>
        </w:tc>
      </w:tr>
      <w:tr>
        <w:trPr>
          <w:trHeight w:val="216"/>
        </w:trPr>
        <w:tc>
          <w:tcPr>
            <w:tcW w:w="8700" w:type="dxa"/>
            <w:vAlign w:val="bottom"/>
          </w:tcPr>
          <w:p>
            <w:pPr>
              <w:ind w:left="880"/>
              <w:spacing w:after="0"/>
              <w:rPr>
                <w:sz w:val="20"/>
                <w:szCs w:val="20"/>
                <w:color w:val="auto"/>
              </w:rPr>
            </w:pPr>
            <w:r>
              <w:rPr>
                <w:rFonts w:ascii="Arial" w:cs="Arial" w:eastAsia="Arial" w:hAnsi="Arial"/>
                <w:sz w:val="18"/>
                <w:szCs w:val="18"/>
                <w:color w:val="auto"/>
              </w:rPr>
              <w:t>FLV Barcroft Plaza, LP</w:t>
            </w: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30% through Barcroft</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FR Westgate Mall, Inc. (“Westgate Inc.”)</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w w:val="91"/>
              </w:rPr>
              <w:t>100%</w:t>
            </w:r>
          </w:p>
        </w:tc>
        <w:tc>
          <w:tcPr>
            <w:tcW w:w="2060" w:type="dxa"/>
            <w:vAlign w:val="bottom"/>
          </w:tcPr>
          <w:p>
            <w:pPr>
              <w:spacing w:after="0"/>
              <w:rPr>
                <w:sz w:val="18"/>
                <w:szCs w:val="18"/>
                <w:color w:val="auto"/>
              </w:rPr>
            </w:pPr>
          </w:p>
        </w:tc>
      </w:tr>
      <w:tr>
        <w:trPr>
          <w:trHeight w:val="222"/>
        </w:trPr>
        <w:tc>
          <w:tcPr>
            <w:tcW w:w="8700" w:type="dxa"/>
            <w:vAlign w:val="bottom"/>
          </w:tcPr>
          <w:p>
            <w:pPr>
              <w:ind w:left="440"/>
              <w:spacing w:after="0"/>
              <w:rPr>
                <w:sz w:val="20"/>
                <w:szCs w:val="20"/>
                <w:color w:val="auto"/>
              </w:rPr>
            </w:pPr>
            <w:r>
              <w:rPr>
                <w:rFonts w:ascii="Arial" w:cs="Arial" w:eastAsia="Arial" w:hAnsi="Arial"/>
                <w:sz w:val="18"/>
                <w:szCs w:val="18"/>
                <w:color w:val="auto"/>
              </w:rPr>
              <w:t>FR Westgate Mall, LLC</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w w:val="91"/>
              </w:rPr>
              <w:t>100%</w:t>
            </w:r>
          </w:p>
        </w:tc>
        <w:tc>
          <w:tcPr>
            <w:tcW w:w="2060" w:type="dxa"/>
            <w:vAlign w:val="bottom"/>
          </w:tcPr>
          <w:p>
            <w:pPr>
              <w:ind w:left="20"/>
              <w:spacing w:after="0"/>
              <w:rPr>
                <w:sz w:val="20"/>
                <w:szCs w:val="20"/>
                <w:color w:val="auto"/>
              </w:rPr>
            </w:pPr>
            <w:r>
              <w:rPr>
                <w:rFonts w:ascii="Arial" w:cs="Arial" w:eastAsia="Arial" w:hAnsi="Arial"/>
                <w:sz w:val="18"/>
                <w:szCs w:val="18"/>
                <w:color w:val="auto"/>
              </w:rPr>
              <w:t>(Westgate Inc.)</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D-1</w:t>
      </w:r>
    </w:p>
    <w:p>
      <w:pPr>
        <w:sectPr>
          <w:pgSz w:w="11900" w:h="16838" w:orient="portrait"/>
          <w:cols w:equalWidth="0" w:num="1">
            <w:col w:w="11420"/>
          </w:cols>
          <w:pgMar w:left="240" w:top="274"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FR Assembly Square, LLC</w:t>
            </w:r>
          </w:p>
        </w:tc>
        <w:tc>
          <w:tcPr>
            <w:tcW w:w="1440" w:type="dxa"/>
            <w:vAlign w:val="bottom"/>
          </w:tcPr>
          <w:p>
            <w:pPr>
              <w:ind w:left="1000"/>
              <w:spacing w:after="0"/>
              <w:rPr>
                <w:sz w:val="20"/>
                <w:szCs w:val="20"/>
                <w:color w:val="auto"/>
              </w:rPr>
            </w:pPr>
            <w:r>
              <w:rPr>
                <w:rFonts w:ascii="Arial" w:cs="Arial" w:eastAsia="Arial" w:hAnsi="Arial"/>
                <w:sz w:val="18"/>
                <w:szCs w:val="18"/>
                <w:color w:val="auto"/>
                <w:w w:val="91"/>
              </w:rPr>
              <w:t>100%</w:t>
            </w:r>
          </w:p>
        </w:tc>
        <w:tc>
          <w:tcPr>
            <w:tcW w:w="1560" w:type="dxa"/>
            <w:vAlign w:val="bottom"/>
          </w:tcPr>
          <w:p>
            <w:pPr>
              <w:spacing w:after="0"/>
              <w:rPr>
                <w:sz w:val="18"/>
                <w:szCs w:val="18"/>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FR Sturtevant Street, Inc. (“Sturtevant Inc.”)</w:t>
            </w:r>
          </w:p>
        </w:tc>
        <w:tc>
          <w:tcPr>
            <w:tcW w:w="1440" w:type="dxa"/>
            <w:vAlign w:val="bottom"/>
          </w:tcPr>
          <w:p>
            <w:pPr>
              <w:ind w:left="1000"/>
              <w:spacing w:after="0"/>
              <w:rPr>
                <w:sz w:val="20"/>
                <w:szCs w:val="20"/>
                <w:color w:val="auto"/>
              </w:rPr>
            </w:pPr>
            <w:r>
              <w:rPr>
                <w:rFonts w:ascii="Arial" w:cs="Arial" w:eastAsia="Arial" w:hAnsi="Arial"/>
                <w:sz w:val="18"/>
                <w:szCs w:val="18"/>
                <w:color w:val="auto"/>
                <w:w w:val="91"/>
              </w:rPr>
              <w:t>100%</w:t>
            </w:r>
          </w:p>
        </w:tc>
        <w:tc>
          <w:tcPr>
            <w:tcW w:w="1560" w:type="dxa"/>
            <w:vAlign w:val="bottom"/>
          </w:tcPr>
          <w:p>
            <w:pPr>
              <w:spacing w:after="0"/>
              <w:rPr>
                <w:sz w:val="18"/>
                <w:szCs w:val="18"/>
                <w:color w:val="auto"/>
              </w:rPr>
            </w:pPr>
          </w:p>
        </w:tc>
      </w:tr>
      <w:tr>
        <w:trPr>
          <w:trHeight w:val="216"/>
        </w:trPr>
        <w:tc>
          <w:tcPr>
            <w:tcW w:w="8260" w:type="dxa"/>
            <w:vAlign w:val="bottom"/>
            <w:gridSpan w:val="2"/>
          </w:tcPr>
          <w:p>
            <w:pPr>
              <w:ind w:left="440"/>
              <w:spacing w:after="0"/>
              <w:rPr>
                <w:sz w:val="20"/>
                <w:szCs w:val="20"/>
                <w:color w:val="auto"/>
              </w:rPr>
            </w:pPr>
            <w:r>
              <w:rPr>
                <w:rFonts w:ascii="Arial" w:cs="Arial" w:eastAsia="Arial" w:hAnsi="Arial"/>
                <w:sz w:val="18"/>
                <w:szCs w:val="18"/>
                <w:color w:val="auto"/>
              </w:rPr>
              <w:t>FR Sturtevant Street, LLC</w:t>
            </w:r>
          </w:p>
        </w:tc>
        <w:tc>
          <w:tcPr>
            <w:tcW w:w="1440" w:type="dxa"/>
            <w:vAlign w:val="bottom"/>
          </w:tcPr>
          <w:p>
            <w:pPr>
              <w:ind w:left="1000"/>
              <w:spacing w:after="0"/>
              <w:rPr>
                <w:sz w:val="20"/>
                <w:szCs w:val="20"/>
                <w:color w:val="auto"/>
              </w:rPr>
            </w:pPr>
            <w:r>
              <w:rPr>
                <w:rFonts w:ascii="Arial" w:cs="Arial" w:eastAsia="Arial" w:hAnsi="Arial"/>
                <w:sz w:val="18"/>
                <w:szCs w:val="18"/>
                <w:color w:val="auto"/>
                <w:w w:val="91"/>
              </w:rPr>
              <w:t>100%</w:t>
            </w:r>
          </w:p>
        </w:tc>
        <w:tc>
          <w:tcPr>
            <w:tcW w:w="1560" w:type="dxa"/>
            <w:vAlign w:val="bottom"/>
          </w:tcPr>
          <w:p>
            <w:pPr>
              <w:ind w:left="20"/>
              <w:spacing w:after="0"/>
              <w:rPr>
                <w:sz w:val="20"/>
                <w:szCs w:val="20"/>
                <w:color w:val="auto"/>
              </w:rPr>
            </w:pPr>
            <w:r>
              <w:rPr>
                <w:rFonts w:ascii="Arial" w:cs="Arial" w:eastAsia="Arial" w:hAnsi="Arial"/>
                <w:sz w:val="18"/>
                <w:szCs w:val="18"/>
                <w:color w:val="auto"/>
              </w:rPr>
              <w:t>(Sturtevant Inc.)</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FR Crow Canyon, Inc. (f/k/a JS&amp;DB, Inc.) (“Crow Inc.”)</w:t>
            </w:r>
          </w:p>
        </w:tc>
        <w:tc>
          <w:tcPr>
            <w:tcW w:w="1440" w:type="dxa"/>
            <w:vAlign w:val="bottom"/>
          </w:tcPr>
          <w:p>
            <w:pPr>
              <w:ind w:left="1000"/>
              <w:spacing w:after="0"/>
              <w:rPr>
                <w:sz w:val="20"/>
                <w:szCs w:val="20"/>
                <w:color w:val="auto"/>
              </w:rPr>
            </w:pPr>
            <w:r>
              <w:rPr>
                <w:rFonts w:ascii="Arial" w:cs="Arial" w:eastAsia="Arial" w:hAnsi="Arial"/>
                <w:sz w:val="18"/>
                <w:szCs w:val="18"/>
                <w:color w:val="auto"/>
                <w:w w:val="91"/>
              </w:rPr>
              <w:t>100%</w:t>
            </w:r>
          </w:p>
        </w:tc>
        <w:tc>
          <w:tcPr>
            <w:tcW w:w="1560" w:type="dxa"/>
            <w:vAlign w:val="bottom"/>
          </w:tcPr>
          <w:p>
            <w:pPr>
              <w:spacing w:after="0"/>
              <w:rPr>
                <w:sz w:val="18"/>
                <w:szCs w:val="18"/>
                <w:color w:val="auto"/>
              </w:rPr>
            </w:pPr>
          </w:p>
        </w:tc>
      </w:tr>
      <w:tr>
        <w:trPr>
          <w:trHeight w:val="216"/>
        </w:trPr>
        <w:tc>
          <w:tcPr>
            <w:tcW w:w="8260" w:type="dxa"/>
            <w:vAlign w:val="bottom"/>
            <w:gridSpan w:val="2"/>
          </w:tcPr>
          <w:p>
            <w:pPr>
              <w:ind w:left="440"/>
              <w:spacing w:after="0"/>
              <w:rPr>
                <w:sz w:val="20"/>
                <w:szCs w:val="20"/>
                <w:color w:val="auto"/>
              </w:rPr>
            </w:pPr>
            <w:r>
              <w:rPr>
                <w:rFonts w:ascii="Arial" w:cs="Arial" w:eastAsia="Arial" w:hAnsi="Arial"/>
                <w:sz w:val="18"/>
                <w:szCs w:val="18"/>
                <w:color w:val="auto"/>
              </w:rPr>
              <w:t>FR Crow Canyon, LLC</w:t>
            </w:r>
          </w:p>
        </w:tc>
        <w:tc>
          <w:tcPr>
            <w:tcW w:w="1440" w:type="dxa"/>
            <w:vAlign w:val="bottom"/>
          </w:tcPr>
          <w:p>
            <w:pPr>
              <w:ind w:left="1000"/>
              <w:spacing w:after="0"/>
              <w:rPr>
                <w:sz w:val="20"/>
                <w:szCs w:val="20"/>
                <w:color w:val="auto"/>
              </w:rPr>
            </w:pPr>
            <w:r>
              <w:rPr>
                <w:rFonts w:ascii="Arial" w:cs="Arial" w:eastAsia="Arial" w:hAnsi="Arial"/>
                <w:sz w:val="18"/>
                <w:szCs w:val="18"/>
                <w:color w:val="auto"/>
                <w:w w:val="91"/>
              </w:rPr>
              <w:t>100%</w:t>
            </w:r>
          </w:p>
        </w:tc>
        <w:tc>
          <w:tcPr>
            <w:tcW w:w="1560" w:type="dxa"/>
            <w:vAlign w:val="bottom"/>
          </w:tcPr>
          <w:p>
            <w:pPr>
              <w:ind w:left="20"/>
              <w:spacing w:after="0"/>
              <w:rPr>
                <w:sz w:val="20"/>
                <w:szCs w:val="20"/>
                <w:color w:val="auto"/>
              </w:rPr>
            </w:pPr>
            <w:r>
              <w:rPr>
                <w:rFonts w:ascii="Arial" w:cs="Arial" w:eastAsia="Arial" w:hAnsi="Arial"/>
                <w:sz w:val="18"/>
                <w:szCs w:val="18"/>
                <w:color w:val="auto"/>
              </w:rPr>
              <w:t>(Crow Inc.)</w:t>
            </w:r>
          </w:p>
        </w:tc>
      </w:tr>
      <w:tr>
        <w:trPr>
          <w:trHeight w:val="222"/>
        </w:trPr>
        <w:tc>
          <w:tcPr>
            <w:tcW w:w="8260" w:type="dxa"/>
            <w:vAlign w:val="bottom"/>
            <w:gridSpan w:val="2"/>
          </w:tcPr>
          <w:p>
            <w:pPr>
              <w:spacing w:after="0"/>
              <w:rPr>
                <w:sz w:val="20"/>
                <w:szCs w:val="20"/>
                <w:color w:val="auto"/>
              </w:rPr>
            </w:pPr>
            <w:r>
              <w:rPr>
                <w:rFonts w:ascii="Arial" w:cs="Arial" w:eastAsia="Arial" w:hAnsi="Arial"/>
                <w:sz w:val="18"/>
                <w:szCs w:val="18"/>
                <w:color w:val="auto"/>
              </w:rPr>
              <w:t>Street Retail, Inc.</w:t>
            </w:r>
          </w:p>
        </w:tc>
        <w:tc>
          <w:tcPr>
            <w:tcW w:w="1440" w:type="dxa"/>
            <w:vAlign w:val="bottom"/>
          </w:tcPr>
          <w:p>
            <w:pPr>
              <w:ind w:left="1000"/>
              <w:spacing w:after="0"/>
              <w:rPr>
                <w:sz w:val="20"/>
                <w:szCs w:val="20"/>
                <w:color w:val="auto"/>
              </w:rPr>
            </w:pPr>
            <w:r>
              <w:rPr>
                <w:rFonts w:ascii="Arial" w:cs="Arial" w:eastAsia="Arial" w:hAnsi="Arial"/>
                <w:sz w:val="18"/>
                <w:szCs w:val="18"/>
                <w:color w:val="auto"/>
                <w:w w:val="91"/>
              </w:rPr>
              <w:t>100%</w:t>
            </w:r>
          </w:p>
        </w:tc>
        <w:tc>
          <w:tcPr>
            <w:tcW w:w="1560" w:type="dxa"/>
            <w:vAlign w:val="bottom"/>
          </w:tcPr>
          <w:p>
            <w:pPr>
              <w:spacing w:after="0"/>
              <w:rPr>
                <w:sz w:val="19"/>
                <w:szCs w:val="19"/>
                <w:color w:val="auto"/>
              </w:rPr>
            </w:pPr>
          </w:p>
        </w:tc>
      </w:tr>
      <w:tr>
        <w:trPr>
          <w:trHeight w:val="286"/>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STREET RETAIL, INC. (“SRI”)</w:t>
            </w:r>
          </w:p>
        </w:tc>
        <w:tc>
          <w:tcPr>
            <w:tcW w:w="14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8"/>
        </w:trPr>
        <w:tc>
          <w:tcPr>
            <w:tcW w:w="2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SRI Old Town, LLC</w:t>
            </w:r>
          </w:p>
        </w:tc>
        <w:tc>
          <w:tcPr>
            <w:tcW w:w="5780" w:type="dxa"/>
            <w:vAlign w:val="bottom"/>
          </w:tcPr>
          <w:p>
            <w:pPr>
              <w:spacing w:after="0"/>
              <w:rPr>
                <w:sz w:val="19"/>
                <w:szCs w:val="19"/>
                <w:color w:val="auto"/>
              </w:rPr>
            </w:pPr>
          </w:p>
        </w:tc>
        <w:tc>
          <w:tcPr>
            <w:tcW w:w="1440" w:type="dxa"/>
            <w:vAlign w:val="bottom"/>
          </w:tcPr>
          <w:p>
            <w:pPr>
              <w:ind w:left="1000"/>
              <w:spacing w:after="0"/>
              <w:rPr>
                <w:sz w:val="20"/>
                <w:szCs w:val="20"/>
                <w:color w:val="auto"/>
              </w:rPr>
            </w:pPr>
            <w:r>
              <w:rPr>
                <w:rFonts w:ascii="Arial" w:cs="Arial" w:eastAsia="Arial" w:hAnsi="Arial"/>
                <w:sz w:val="18"/>
                <w:szCs w:val="18"/>
                <w:color w:val="auto"/>
                <w:w w:val="91"/>
              </w:rPr>
              <w:t>100%</w:t>
            </w:r>
          </w:p>
        </w:tc>
        <w:tc>
          <w:tcPr>
            <w:tcW w:w="1560" w:type="dxa"/>
            <w:vAlign w:val="bottom"/>
          </w:tcPr>
          <w:p>
            <w:pPr>
              <w:spacing w:after="0"/>
              <w:rPr>
                <w:sz w:val="19"/>
                <w:szCs w:val="19"/>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Street Retail Forest Hills I, LLC</w:t>
            </w:r>
          </w:p>
        </w:tc>
        <w:tc>
          <w:tcPr>
            <w:tcW w:w="1440" w:type="dxa"/>
            <w:vAlign w:val="bottom"/>
          </w:tcPr>
          <w:p>
            <w:pPr>
              <w:ind w:left="1000"/>
              <w:spacing w:after="0"/>
              <w:rPr>
                <w:sz w:val="20"/>
                <w:szCs w:val="20"/>
                <w:color w:val="auto"/>
              </w:rPr>
            </w:pPr>
            <w:r>
              <w:rPr>
                <w:rFonts w:ascii="Arial" w:cs="Arial" w:eastAsia="Arial" w:hAnsi="Arial"/>
                <w:sz w:val="18"/>
                <w:szCs w:val="18"/>
                <w:color w:val="auto"/>
                <w:w w:val="91"/>
              </w:rPr>
              <w:t>100%</w:t>
            </w:r>
          </w:p>
        </w:tc>
        <w:tc>
          <w:tcPr>
            <w:tcW w:w="1560" w:type="dxa"/>
            <w:vAlign w:val="bottom"/>
          </w:tcPr>
          <w:p>
            <w:pPr>
              <w:spacing w:after="0"/>
              <w:rPr>
                <w:sz w:val="18"/>
                <w:szCs w:val="18"/>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Street Retail Forest Hills II, LLC</w:t>
            </w:r>
          </w:p>
        </w:tc>
        <w:tc>
          <w:tcPr>
            <w:tcW w:w="1440" w:type="dxa"/>
            <w:vAlign w:val="bottom"/>
          </w:tcPr>
          <w:p>
            <w:pPr>
              <w:ind w:left="1000"/>
              <w:spacing w:after="0"/>
              <w:rPr>
                <w:sz w:val="20"/>
                <w:szCs w:val="20"/>
                <w:color w:val="auto"/>
              </w:rPr>
            </w:pPr>
            <w:r>
              <w:rPr>
                <w:rFonts w:ascii="Arial" w:cs="Arial" w:eastAsia="Arial" w:hAnsi="Arial"/>
                <w:sz w:val="18"/>
                <w:szCs w:val="18"/>
                <w:color w:val="auto"/>
                <w:w w:val="91"/>
              </w:rPr>
              <w:t>100%</w:t>
            </w:r>
          </w:p>
        </w:tc>
        <w:tc>
          <w:tcPr>
            <w:tcW w:w="1560" w:type="dxa"/>
            <w:vAlign w:val="bottom"/>
          </w:tcPr>
          <w:p>
            <w:pPr>
              <w:spacing w:after="0"/>
              <w:rPr>
                <w:sz w:val="18"/>
                <w:szCs w:val="18"/>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Street Retail West GP, Inc. (“SRWGP”)</w:t>
            </w:r>
          </w:p>
        </w:tc>
        <w:tc>
          <w:tcPr>
            <w:tcW w:w="1440" w:type="dxa"/>
            <w:vAlign w:val="bottom"/>
          </w:tcPr>
          <w:p>
            <w:pPr>
              <w:ind w:left="1000"/>
              <w:spacing w:after="0"/>
              <w:rPr>
                <w:sz w:val="20"/>
                <w:szCs w:val="20"/>
                <w:color w:val="auto"/>
              </w:rPr>
            </w:pPr>
            <w:r>
              <w:rPr>
                <w:rFonts w:ascii="Arial" w:cs="Arial" w:eastAsia="Arial" w:hAnsi="Arial"/>
                <w:sz w:val="18"/>
                <w:szCs w:val="18"/>
                <w:color w:val="auto"/>
                <w:w w:val="91"/>
              </w:rPr>
              <w:t>100%</w:t>
            </w:r>
          </w:p>
        </w:tc>
        <w:tc>
          <w:tcPr>
            <w:tcW w:w="1560" w:type="dxa"/>
            <w:vAlign w:val="bottom"/>
          </w:tcPr>
          <w:p>
            <w:pPr>
              <w:spacing w:after="0"/>
              <w:rPr>
                <w:sz w:val="18"/>
                <w:szCs w:val="18"/>
                <w:color w:val="auto"/>
              </w:rPr>
            </w:pPr>
          </w:p>
        </w:tc>
      </w:tr>
      <w:tr>
        <w:trPr>
          <w:trHeight w:val="216"/>
        </w:trPr>
        <w:tc>
          <w:tcPr>
            <w:tcW w:w="8260" w:type="dxa"/>
            <w:vAlign w:val="bottom"/>
            <w:gridSpan w:val="2"/>
          </w:tcPr>
          <w:p>
            <w:pPr>
              <w:ind w:left="440"/>
              <w:spacing w:after="0"/>
              <w:rPr>
                <w:sz w:val="20"/>
                <w:szCs w:val="20"/>
                <w:color w:val="auto"/>
              </w:rPr>
            </w:pPr>
            <w:r>
              <w:rPr>
                <w:rFonts w:ascii="Arial" w:cs="Arial" w:eastAsia="Arial" w:hAnsi="Arial"/>
                <w:sz w:val="18"/>
                <w:szCs w:val="18"/>
                <w:color w:val="auto"/>
              </w:rPr>
              <w:t>Street Retail West I, L.P.</w:t>
            </w:r>
          </w:p>
        </w:tc>
        <w:tc>
          <w:tcPr>
            <w:tcW w:w="1440" w:type="dxa"/>
            <w:vAlign w:val="bottom"/>
          </w:tcPr>
          <w:p>
            <w:pPr>
              <w:ind w:left="1000"/>
              <w:spacing w:after="0"/>
              <w:rPr>
                <w:sz w:val="20"/>
                <w:szCs w:val="20"/>
                <w:color w:val="auto"/>
              </w:rPr>
            </w:pPr>
            <w:r>
              <w:rPr>
                <w:rFonts w:ascii="Arial" w:cs="Arial" w:eastAsia="Arial" w:hAnsi="Arial"/>
                <w:sz w:val="18"/>
                <w:szCs w:val="18"/>
                <w:color w:val="auto"/>
                <w:w w:val="91"/>
              </w:rPr>
              <w:t>100%</w:t>
            </w:r>
          </w:p>
        </w:tc>
        <w:tc>
          <w:tcPr>
            <w:tcW w:w="156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8260" w:type="dxa"/>
            <w:vAlign w:val="bottom"/>
            <w:gridSpan w:val="2"/>
          </w:tcPr>
          <w:p>
            <w:pPr>
              <w:ind w:left="440"/>
              <w:spacing w:after="0"/>
              <w:rPr>
                <w:sz w:val="20"/>
                <w:szCs w:val="20"/>
                <w:color w:val="auto"/>
              </w:rPr>
            </w:pPr>
            <w:r>
              <w:rPr>
                <w:rFonts w:ascii="Arial" w:cs="Arial" w:eastAsia="Arial" w:hAnsi="Arial"/>
                <w:sz w:val="18"/>
                <w:szCs w:val="18"/>
                <w:color w:val="auto"/>
              </w:rPr>
              <w:t>Street Retail West II, L.P.</w:t>
            </w:r>
          </w:p>
        </w:tc>
        <w:tc>
          <w:tcPr>
            <w:tcW w:w="1440" w:type="dxa"/>
            <w:vAlign w:val="bottom"/>
          </w:tcPr>
          <w:p>
            <w:pPr>
              <w:ind w:left="1000"/>
              <w:spacing w:after="0"/>
              <w:rPr>
                <w:sz w:val="20"/>
                <w:szCs w:val="20"/>
                <w:color w:val="auto"/>
              </w:rPr>
            </w:pPr>
            <w:r>
              <w:rPr>
                <w:rFonts w:ascii="Arial" w:cs="Arial" w:eastAsia="Arial" w:hAnsi="Arial"/>
                <w:sz w:val="18"/>
                <w:szCs w:val="18"/>
                <w:color w:val="auto"/>
                <w:w w:val="91"/>
              </w:rPr>
              <w:t>100%</w:t>
            </w:r>
          </w:p>
        </w:tc>
        <w:tc>
          <w:tcPr>
            <w:tcW w:w="156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8260" w:type="dxa"/>
            <w:vAlign w:val="bottom"/>
            <w:gridSpan w:val="2"/>
          </w:tcPr>
          <w:p>
            <w:pPr>
              <w:ind w:left="440"/>
              <w:spacing w:after="0"/>
              <w:rPr>
                <w:sz w:val="20"/>
                <w:szCs w:val="20"/>
                <w:color w:val="auto"/>
              </w:rPr>
            </w:pPr>
            <w:r>
              <w:rPr>
                <w:rFonts w:ascii="Arial" w:cs="Arial" w:eastAsia="Arial" w:hAnsi="Arial"/>
                <w:sz w:val="18"/>
                <w:szCs w:val="18"/>
                <w:color w:val="auto"/>
              </w:rPr>
              <w:t>Street Retail West 3, L.P.</w:t>
            </w:r>
          </w:p>
        </w:tc>
        <w:tc>
          <w:tcPr>
            <w:tcW w:w="1440" w:type="dxa"/>
            <w:vAlign w:val="bottom"/>
          </w:tcPr>
          <w:p>
            <w:pPr>
              <w:ind w:left="1000"/>
              <w:spacing w:after="0"/>
              <w:rPr>
                <w:sz w:val="20"/>
                <w:szCs w:val="20"/>
                <w:color w:val="auto"/>
              </w:rPr>
            </w:pPr>
            <w:r>
              <w:rPr>
                <w:rFonts w:ascii="Arial" w:cs="Arial" w:eastAsia="Arial" w:hAnsi="Arial"/>
                <w:sz w:val="18"/>
                <w:szCs w:val="18"/>
                <w:color w:val="auto"/>
                <w:w w:val="91"/>
              </w:rPr>
              <w:t>100%</w:t>
            </w:r>
          </w:p>
        </w:tc>
        <w:tc>
          <w:tcPr>
            <w:tcW w:w="156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8260" w:type="dxa"/>
            <w:vAlign w:val="bottom"/>
            <w:gridSpan w:val="2"/>
          </w:tcPr>
          <w:p>
            <w:pPr>
              <w:ind w:left="440"/>
              <w:spacing w:after="0"/>
              <w:rPr>
                <w:sz w:val="20"/>
                <w:szCs w:val="20"/>
                <w:color w:val="auto"/>
              </w:rPr>
            </w:pPr>
            <w:r>
              <w:rPr>
                <w:rFonts w:ascii="Arial" w:cs="Arial" w:eastAsia="Arial" w:hAnsi="Arial"/>
                <w:sz w:val="18"/>
                <w:szCs w:val="18"/>
                <w:color w:val="auto"/>
              </w:rPr>
              <w:t>Street Retail West 4, L.P.</w:t>
            </w:r>
          </w:p>
        </w:tc>
        <w:tc>
          <w:tcPr>
            <w:tcW w:w="1440" w:type="dxa"/>
            <w:vAlign w:val="bottom"/>
          </w:tcPr>
          <w:p>
            <w:pPr>
              <w:ind w:left="1000"/>
              <w:spacing w:after="0"/>
              <w:rPr>
                <w:sz w:val="20"/>
                <w:szCs w:val="20"/>
                <w:color w:val="auto"/>
              </w:rPr>
            </w:pPr>
            <w:r>
              <w:rPr>
                <w:rFonts w:ascii="Arial" w:cs="Arial" w:eastAsia="Arial" w:hAnsi="Arial"/>
                <w:sz w:val="18"/>
                <w:szCs w:val="18"/>
                <w:color w:val="auto"/>
              </w:rPr>
              <w:t>90%</w:t>
            </w:r>
          </w:p>
        </w:tc>
        <w:tc>
          <w:tcPr>
            <w:tcW w:w="1560" w:type="dxa"/>
            <w:vAlign w:val="bottom"/>
          </w:tcPr>
          <w:p>
            <w:pPr>
              <w:spacing w:after="0"/>
              <w:rPr>
                <w:sz w:val="18"/>
                <w:szCs w:val="18"/>
                <w:color w:val="auto"/>
              </w:rPr>
            </w:pPr>
          </w:p>
        </w:tc>
      </w:tr>
      <w:tr>
        <w:trPr>
          <w:trHeight w:val="216"/>
        </w:trPr>
        <w:tc>
          <w:tcPr>
            <w:tcW w:w="8260" w:type="dxa"/>
            <w:vAlign w:val="bottom"/>
            <w:gridSpan w:val="2"/>
          </w:tcPr>
          <w:p>
            <w:pPr>
              <w:ind w:left="440"/>
              <w:spacing w:after="0"/>
              <w:rPr>
                <w:sz w:val="20"/>
                <w:szCs w:val="20"/>
                <w:color w:val="auto"/>
              </w:rPr>
            </w:pPr>
            <w:r>
              <w:rPr>
                <w:rFonts w:ascii="Arial" w:cs="Arial" w:eastAsia="Arial" w:hAnsi="Arial"/>
                <w:sz w:val="18"/>
                <w:szCs w:val="18"/>
                <w:color w:val="auto"/>
              </w:rPr>
              <w:t>Street Retail West 6, L.P.</w:t>
            </w:r>
          </w:p>
        </w:tc>
        <w:tc>
          <w:tcPr>
            <w:tcW w:w="1440" w:type="dxa"/>
            <w:vAlign w:val="bottom"/>
          </w:tcPr>
          <w:p>
            <w:pPr>
              <w:ind w:left="1000"/>
              <w:spacing w:after="0"/>
              <w:rPr>
                <w:sz w:val="20"/>
                <w:szCs w:val="20"/>
                <w:color w:val="auto"/>
              </w:rPr>
            </w:pPr>
            <w:r>
              <w:rPr>
                <w:rFonts w:ascii="Arial" w:cs="Arial" w:eastAsia="Arial" w:hAnsi="Arial"/>
                <w:sz w:val="18"/>
                <w:szCs w:val="18"/>
                <w:color w:val="auto"/>
                <w:w w:val="91"/>
              </w:rPr>
              <w:t>100%</w:t>
            </w:r>
          </w:p>
        </w:tc>
        <w:tc>
          <w:tcPr>
            <w:tcW w:w="156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8260" w:type="dxa"/>
            <w:vAlign w:val="bottom"/>
            <w:gridSpan w:val="2"/>
          </w:tcPr>
          <w:p>
            <w:pPr>
              <w:ind w:left="440"/>
              <w:spacing w:after="0"/>
              <w:rPr>
                <w:sz w:val="20"/>
                <w:szCs w:val="20"/>
                <w:color w:val="auto"/>
              </w:rPr>
            </w:pPr>
            <w:r>
              <w:rPr>
                <w:rFonts w:ascii="Arial" w:cs="Arial" w:eastAsia="Arial" w:hAnsi="Arial"/>
                <w:sz w:val="18"/>
                <w:szCs w:val="18"/>
                <w:color w:val="auto"/>
              </w:rPr>
              <w:t>Street Retail West 7, L.P.</w:t>
            </w:r>
          </w:p>
        </w:tc>
        <w:tc>
          <w:tcPr>
            <w:tcW w:w="1440" w:type="dxa"/>
            <w:vAlign w:val="bottom"/>
          </w:tcPr>
          <w:p>
            <w:pPr>
              <w:ind w:left="1000"/>
              <w:spacing w:after="0"/>
              <w:rPr>
                <w:sz w:val="20"/>
                <w:szCs w:val="20"/>
                <w:color w:val="auto"/>
              </w:rPr>
            </w:pPr>
            <w:r>
              <w:rPr>
                <w:rFonts w:ascii="Arial" w:cs="Arial" w:eastAsia="Arial" w:hAnsi="Arial"/>
                <w:sz w:val="18"/>
                <w:szCs w:val="18"/>
                <w:color w:val="auto"/>
              </w:rPr>
              <w:t>90%</w:t>
            </w:r>
          </w:p>
        </w:tc>
        <w:tc>
          <w:tcPr>
            <w:tcW w:w="1560" w:type="dxa"/>
            <w:vAlign w:val="bottom"/>
          </w:tcPr>
          <w:p>
            <w:pPr>
              <w:spacing w:after="0"/>
              <w:rPr>
                <w:sz w:val="18"/>
                <w:szCs w:val="18"/>
                <w:color w:val="auto"/>
              </w:rPr>
            </w:pPr>
          </w:p>
        </w:tc>
      </w:tr>
      <w:tr>
        <w:trPr>
          <w:trHeight w:val="216"/>
        </w:trPr>
        <w:tc>
          <w:tcPr>
            <w:tcW w:w="8260" w:type="dxa"/>
            <w:vAlign w:val="bottom"/>
            <w:gridSpan w:val="2"/>
          </w:tcPr>
          <w:p>
            <w:pPr>
              <w:ind w:left="440"/>
              <w:spacing w:after="0"/>
              <w:rPr>
                <w:sz w:val="20"/>
                <w:szCs w:val="20"/>
                <w:color w:val="auto"/>
              </w:rPr>
            </w:pPr>
            <w:r>
              <w:rPr>
                <w:rFonts w:ascii="Arial" w:cs="Arial" w:eastAsia="Arial" w:hAnsi="Arial"/>
                <w:sz w:val="18"/>
                <w:szCs w:val="18"/>
                <w:color w:val="auto"/>
              </w:rPr>
              <w:t>Street Retail West 10, L.P.</w:t>
            </w:r>
          </w:p>
        </w:tc>
        <w:tc>
          <w:tcPr>
            <w:tcW w:w="1440" w:type="dxa"/>
            <w:vAlign w:val="bottom"/>
          </w:tcPr>
          <w:p>
            <w:pPr>
              <w:ind w:left="1000"/>
              <w:spacing w:after="0"/>
              <w:rPr>
                <w:sz w:val="20"/>
                <w:szCs w:val="20"/>
                <w:color w:val="auto"/>
              </w:rPr>
            </w:pPr>
            <w:r>
              <w:rPr>
                <w:rFonts w:ascii="Arial" w:cs="Arial" w:eastAsia="Arial" w:hAnsi="Arial"/>
                <w:sz w:val="18"/>
                <w:szCs w:val="18"/>
                <w:color w:val="auto"/>
                <w:w w:val="91"/>
              </w:rPr>
              <w:t>100%</w:t>
            </w:r>
          </w:p>
        </w:tc>
        <w:tc>
          <w:tcPr>
            <w:tcW w:w="156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Street Retail San Antonio, LP</w:t>
            </w:r>
          </w:p>
        </w:tc>
        <w:tc>
          <w:tcPr>
            <w:tcW w:w="3000" w:type="dxa"/>
            <w:vAlign w:val="bottom"/>
            <w:gridSpan w:val="2"/>
          </w:tcPr>
          <w:p>
            <w:pPr>
              <w:ind w:left="1000"/>
              <w:spacing w:after="0"/>
              <w:rPr>
                <w:sz w:val="20"/>
                <w:szCs w:val="20"/>
                <w:color w:val="auto"/>
              </w:rPr>
            </w:pPr>
            <w:r>
              <w:rPr>
                <w:rFonts w:ascii="Arial" w:cs="Arial" w:eastAsia="Arial" w:hAnsi="Arial"/>
                <w:sz w:val="18"/>
                <w:szCs w:val="18"/>
                <w:color w:val="auto"/>
                <w:w w:val="88"/>
              </w:rPr>
              <w:t>.1% (SRI San Anton) 99.9%</w:t>
            </w:r>
          </w:p>
        </w:tc>
      </w:tr>
      <w:tr>
        <w:trPr>
          <w:trHeight w:val="216"/>
        </w:trPr>
        <w:tc>
          <w:tcPr>
            <w:tcW w:w="248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3000" w:type="dxa"/>
            <w:vAlign w:val="bottom"/>
            <w:gridSpan w:val="2"/>
          </w:tcPr>
          <w:p>
            <w:pPr>
              <w:ind w:left="1000"/>
              <w:spacing w:after="0"/>
              <w:rPr>
                <w:sz w:val="20"/>
                <w:szCs w:val="20"/>
                <w:color w:val="auto"/>
              </w:rPr>
            </w:pPr>
            <w:r>
              <w:rPr>
                <w:rFonts w:ascii="Arial" w:cs="Arial" w:eastAsia="Arial" w:hAnsi="Arial"/>
                <w:sz w:val="18"/>
                <w:szCs w:val="18"/>
                <w:color w:val="auto"/>
              </w:rPr>
              <w:t>(SRI Texas)</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SRI San Antonio, Inc. (f/k/a Dim Sum, Inc. f/k/a FR Acquisition Holding Co., Inc.) (“SRI San Anton”)</w:t>
            </w:r>
          </w:p>
        </w:tc>
        <w:tc>
          <w:tcPr>
            <w:tcW w:w="1440" w:type="dxa"/>
            <w:vAlign w:val="bottom"/>
          </w:tcPr>
          <w:p>
            <w:pPr>
              <w:ind w:left="1000"/>
              <w:spacing w:after="0"/>
              <w:rPr>
                <w:sz w:val="20"/>
                <w:szCs w:val="20"/>
                <w:color w:val="auto"/>
              </w:rPr>
            </w:pPr>
            <w:r>
              <w:rPr>
                <w:rFonts w:ascii="Arial" w:cs="Arial" w:eastAsia="Arial" w:hAnsi="Arial"/>
                <w:sz w:val="18"/>
                <w:szCs w:val="18"/>
                <w:color w:val="auto"/>
                <w:w w:val="91"/>
              </w:rPr>
              <w:t>100%</w:t>
            </w:r>
          </w:p>
        </w:tc>
        <w:tc>
          <w:tcPr>
            <w:tcW w:w="1560" w:type="dxa"/>
            <w:vAlign w:val="bottom"/>
          </w:tcPr>
          <w:p>
            <w:pPr>
              <w:spacing w:after="0"/>
              <w:rPr>
                <w:sz w:val="18"/>
                <w:szCs w:val="18"/>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SRI Texas, Inc. (“SRI Texas”)</w:t>
            </w:r>
          </w:p>
        </w:tc>
        <w:tc>
          <w:tcPr>
            <w:tcW w:w="1440" w:type="dxa"/>
            <w:vAlign w:val="bottom"/>
          </w:tcPr>
          <w:p>
            <w:pPr>
              <w:ind w:left="1000"/>
              <w:spacing w:after="0"/>
              <w:rPr>
                <w:sz w:val="20"/>
                <w:szCs w:val="20"/>
                <w:color w:val="auto"/>
              </w:rPr>
            </w:pPr>
            <w:r>
              <w:rPr>
                <w:rFonts w:ascii="Arial" w:cs="Arial" w:eastAsia="Arial" w:hAnsi="Arial"/>
                <w:sz w:val="18"/>
                <w:szCs w:val="18"/>
                <w:color w:val="auto"/>
                <w:w w:val="91"/>
              </w:rPr>
              <w:t>100%</w:t>
            </w:r>
          </w:p>
        </w:tc>
        <w:tc>
          <w:tcPr>
            <w:tcW w:w="1560" w:type="dxa"/>
            <w:vAlign w:val="bottom"/>
          </w:tcPr>
          <w:p>
            <w:pPr>
              <w:spacing w:after="0"/>
              <w:rPr>
                <w:sz w:val="18"/>
                <w:szCs w:val="18"/>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FRIT San Jose Town and Country Village, LLC (“San Jose LLC”)</w:t>
            </w:r>
          </w:p>
        </w:tc>
        <w:tc>
          <w:tcPr>
            <w:tcW w:w="1440" w:type="dxa"/>
            <w:vAlign w:val="bottom"/>
          </w:tcPr>
          <w:p>
            <w:pPr>
              <w:ind w:left="1000"/>
              <w:spacing w:after="0"/>
              <w:rPr>
                <w:sz w:val="20"/>
                <w:szCs w:val="20"/>
                <w:color w:val="auto"/>
              </w:rPr>
            </w:pPr>
            <w:r>
              <w:rPr>
                <w:rFonts w:ascii="Arial" w:cs="Arial" w:eastAsia="Arial" w:hAnsi="Arial"/>
                <w:sz w:val="18"/>
                <w:szCs w:val="18"/>
                <w:color w:val="auto"/>
                <w:w w:val="91"/>
              </w:rPr>
              <w:t>100%</w:t>
            </w:r>
          </w:p>
        </w:tc>
        <w:tc>
          <w:tcPr>
            <w:tcW w:w="1560" w:type="dxa"/>
            <w:vAlign w:val="bottom"/>
          </w:tcPr>
          <w:p>
            <w:pPr>
              <w:spacing w:after="0"/>
              <w:rPr>
                <w:sz w:val="18"/>
                <w:szCs w:val="18"/>
                <w:color w:val="auto"/>
              </w:rPr>
            </w:pPr>
          </w:p>
        </w:tc>
      </w:tr>
      <w:tr>
        <w:trPr>
          <w:trHeight w:val="216"/>
        </w:trPr>
        <w:tc>
          <w:tcPr>
            <w:tcW w:w="8260" w:type="dxa"/>
            <w:vAlign w:val="bottom"/>
            <w:gridSpan w:val="2"/>
          </w:tcPr>
          <w:p>
            <w:pPr>
              <w:ind w:left="440"/>
              <w:spacing w:after="0"/>
              <w:rPr>
                <w:sz w:val="20"/>
                <w:szCs w:val="20"/>
                <w:color w:val="auto"/>
              </w:rPr>
            </w:pPr>
            <w:r>
              <w:rPr>
                <w:rFonts w:ascii="Arial" w:cs="Arial" w:eastAsia="Arial" w:hAnsi="Arial"/>
                <w:sz w:val="18"/>
                <w:szCs w:val="18"/>
                <w:color w:val="auto"/>
              </w:rPr>
              <w:t>San Jose Residential, Inc.</w:t>
            </w:r>
          </w:p>
        </w:tc>
        <w:tc>
          <w:tcPr>
            <w:tcW w:w="3000" w:type="dxa"/>
            <w:vAlign w:val="bottom"/>
            <w:gridSpan w:val="2"/>
          </w:tcPr>
          <w:p>
            <w:pPr>
              <w:ind w:left="1000"/>
              <w:spacing w:after="0"/>
              <w:rPr>
                <w:sz w:val="20"/>
                <w:szCs w:val="20"/>
                <w:color w:val="auto"/>
              </w:rPr>
            </w:pPr>
            <w:r>
              <w:rPr>
                <w:rFonts w:ascii="Arial" w:cs="Arial" w:eastAsia="Arial" w:hAnsi="Arial"/>
                <w:sz w:val="18"/>
                <w:szCs w:val="18"/>
                <w:color w:val="auto"/>
                <w:w w:val="90"/>
              </w:rPr>
              <w:t>100% nonvoting stock (San</w:t>
            </w:r>
          </w:p>
        </w:tc>
      </w:tr>
      <w:tr>
        <w:trPr>
          <w:trHeight w:val="216"/>
        </w:trPr>
        <w:tc>
          <w:tcPr>
            <w:tcW w:w="248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3000" w:type="dxa"/>
            <w:vAlign w:val="bottom"/>
            <w:gridSpan w:val="2"/>
          </w:tcPr>
          <w:p>
            <w:pPr>
              <w:ind w:left="1000"/>
              <w:spacing w:after="0"/>
              <w:rPr>
                <w:sz w:val="20"/>
                <w:szCs w:val="20"/>
                <w:color w:val="auto"/>
              </w:rPr>
            </w:pPr>
            <w:r>
              <w:rPr>
                <w:rFonts w:ascii="Arial" w:cs="Arial" w:eastAsia="Arial" w:hAnsi="Arial"/>
                <w:sz w:val="18"/>
                <w:szCs w:val="18"/>
                <w:color w:val="auto"/>
              </w:rPr>
              <w:t>Jose LLC)</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Santana Row Services, Inc.</w:t>
            </w:r>
          </w:p>
        </w:tc>
        <w:tc>
          <w:tcPr>
            <w:tcW w:w="1440" w:type="dxa"/>
            <w:vAlign w:val="bottom"/>
          </w:tcPr>
          <w:p>
            <w:pPr>
              <w:ind w:left="1000"/>
              <w:spacing w:after="0"/>
              <w:rPr>
                <w:sz w:val="20"/>
                <w:szCs w:val="20"/>
                <w:color w:val="auto"/>
              </w:rPr>
            </w:pPr>
            <w:r>
              <w:rPr>
                <w:rFonts w:ascii="Arial" w:cs="Arial" w:eastAsia="Arial" w:hAnsi="Arial"/>
                <w:sz w:val="18"/>
                <w:szCs w:val="18"/>
                <w:color w:val="auto"/>
                <w:w w:val="91"/>
              </w:rPr>
              <w:t>100%</w:t>
            </w:r>
          </w:p>
        </w:tc>
        <w:tc>
          <w:tcPr>
            <w:tcW w:w="1560" w:type="dxa"/>
            <w:vAlign w:val="bottom"/>
          </w:tcPr>
          <w:p>
            <w:pPr>
              <w:spacing w:after="0"/>
              <w:rPr>
                <w:sz w:val="18"/>
                <w:szCs w:val="18"/>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Santana Row ROF, Inc. (“ROF”)</w:t>
            </w:r>
          </w:p>
        </w:tc>
        <w:tc>
          <w:tcPr>
            <w:tcW w:w="1440" w:type="dxa"/>
            <w:vAlign w:val="bottom"/>
          </w:tcPr>
          <w:p>
            <w:pPr>
              <w:ind w:left="1000"/>
              <w:spacing w:after="0"/>
              <w:rPr>
                <w:sz w:val="20"/>
                <w:szCs w:val="20"/>
                <w:color w:val="auto"/>
              </w:rPr>
            </w:pPr>
            <w:r>
              <w:rPr>
                <w:rFonts w:ascii="Arial" w:cs="Arial" w:eastAsia="Arial" w:hAnsi="Arial"/>
                <w:sz w:val="18"/>
                <w:szCs w:val="18"/>
                <w:color w:val="auto"/>
                <w:w w:val="91"/>
              </w:rPr>
              <w:t>100%</w:t>
            </w:r>
          </w:p>
        </w:tc>
        <w:tc>
          <w:tcPr>
            <w:tcW w:w="1560" w:type="dxa"/>
            <w:vAlign w:val="bottom"/>
          </w:tcPr>
          <w:p>
            <w:pPr>
              <w:spacing w:after="0"/>
              <w:rPr>
                <w:sz w:val="18"/>
                <w:szCs w:val="18"/>
                <w:color w:val="auto"/>
              </w:rPr>
            </w:pPr>
          </w:p>
        </w:tc>
      </w:tr>
      <w:tr>
        <w:trPr>
          <w:trHeight w:val="216"/>
        </w:trPr>
        <w:tc>
          <w:tcPr>
            <w:tcW w:w="8260" w:type="dxa"/>
            <w:vAlign w:val="bottom"/>
            <w:gridSpan w:val="2"/>
          </w:tcPr>
          <w:p>
            <w:pPr>
              <w:ind w:left="440"/>
              <w:spacing w:after="0"/>
              <w:rPr>
                <w:sz w:val="20"/>
                <w:szCs w:val="20"/>
                <w:color w:val="auto"/>
              </w:rPr>
            </w:pPr>
            <w:r>
              <w:rPr>
                <w:rFonts w:ascii="Arial" w:cs="Arial" w:eastAsia="Arial" w:hAnsi="Arial"/>
                <w:sz w:val="18"/>
                <w:szCs w:val="18"/>
                <w:color w:val="auto"/>
              </w:rPr>
              <w:t>La Rive Gauche San Jose, LLC</w:t>
            </w:r>
          </w:p>
        </w:tc>
        <w:tc>
          <w:tcPr>
            <w:tcW w:w="3000" w:type="dxa"/>
            <w:vAlign w:val="bottom"/>
            <w:gridSpan w:val="2"/>
          </w:tcPr>
          <w:p>
            <w:pPr>
              <w:ind w:left="1000"/>
              <w:spacing w:after="0"/>
              <w:rPr>
                <w:sz w:val="20"/>
                <w:szCs w:val="20"/>
                <w:color w:val="auto"/>
              </w:rPr>
            </w:pPr>
            <w:r>
              <w:rPr>
                <w:rFonts w:ascii="Arial" w:cs="Arial" w:eastAsia="Arial" w:hAnsi="Arial"/>
                <w:sz w:val="18"/>
                <w:szCs w:val="18"/>
                <w:color w:val="auto"/>
              </w:rPr>
              <w:t>37.5% (ROF)</w:t>
            </w:r>
          </w:p>
        </w:tc>
      </w:tr>
      <w:tr>
        <w:trPr>
          <w:trHeight w:val="216"/>
        </w:trPr>
        <w:tc>
          <w:tcPr>
            <w:tcW w:w="8260" w:type="dxa"/>
            <w:vAlign w:val="bottom"/>
            <w:gridSpan w:val="2"/>
          </w:tcPr>
          <w:p>
            <w:pPr>
              <w:ind w:left="440"/>
              <w:spacing w:after="0"/>
              <w:rPr>
                <w:sz w:val="20"/>
                <w:szCs w:val="20"/>
                <w:color w:val="auto"/>
              </w:rPr>
            </w:pPr>
            <w:r>
              <w:rPr>
                <w:rFonts w:ascii="Arial" w:cs="Arial" w:eastAsia="Arial" w:hAnsi="Arial"/>
                <w:sz w:val="18"/>
                <w:szCs w:val="18"/>
                <w:color w:val="auto"/>
              </w:rPr>
              <w:t>Straits Santana Row, LLC</w:t>
            </w:r>
          </w:p>
        </w:tc>
        <w:tc>
          <w:tcPr>
            <w:tcW w:w="3000" w:type="dxa"/>
            <w:vAlign w:val="bottom"/>
            <w:gridSpan w:val="2"/>
          </w:tcPr>
          <w:p>
            <w:pPr>
              <w:ind w:left="1000"/>
              <w:spacing w:after="0"/>
              <w:rPr>
                <w:sz w:val="20"/>
                <w:szCs w:val="20"/>
                <w:color w:val="auto"/>
              </w:rPr>
            </w:pPr>
            <w:r>
              <w:rPr>
                <w:rFonts w:ascii="Arial" w:cs="Arial" w:eastAsia="Arial" w:hAnsi="Arial"/>
                <w:sz w:val="18"/>
                <w:szCs w:val="18"/>
                <w:color w:val="auto"/>
              </w:rPr>
              <w:t>90% (ROF)</w:t>
            </w:r>
          </w:p>
        </w:tc>
      </w:tr>
      <w:tr>
        <w:trPr>
          <w:trHeight w:val="216"/>
        </w:trPr>
        <w:tc>
          <w:tcPr>
            <w:tcW w:w="8260" w:type="dxa"/>
            <w:vAlign w:val="bottom"/>
            <w:gridSpan w:val="2"/>
          </w:tcPr>
          <w:p>
            <w:pPr>
              <w:ind w:left="440"/>
              <w:spacing w:after="0"/>
              <w:rPr>
                <w:sz w:val="20"/>
                <w:szCs w:val="20"/>
                <w:color w:val="auto"/>
              </w:rPr>
            </w:pPr>
            <w:r>
              <w:rPr>
                <w:rFonts w:ascii="Arial" w:cs="Arial" w:eastAsia="Arial" w:hAnsi="Arial"/>
                <w:sz w:val="18"/>
                <w:szCs w:val="18"/>
                <w:color w:val="auto"/>
              </w:rPr>
              <w:t>Blowfish SR, LLC</w:t>
            </w:r>
          </w:p>
        </w:tc>
        <w:tc>
          <w:tcPr>
            <w:tcW w:w="3000" w:type="dxa"/>
            <w:vAlign w:val="bottom"/>
            <w:gridSpan w:val="2"/>
          </w:tcPr>
          <w:p>
            <w:pPr>
              <w:ind w:left="1000"/>
              <w:spacing w:after="0"/>
              <w:rPr>
                <w:sz w:val="20"/>
                <w:szCs w:val="20"/>
                <w:color w:val="auto"/>
              </w:rPr>
            </w:pPr>
            <w:r>
              <w:rPr>
                <w:rFonts w:ascii="Arial" w:cs="Arial" w:eastAsia="Arial" w:hAnsi="Arial"/>
                <w:sz w:val="18"/>
                <w:szCs w:val="18"/>
                <w:color w:val="auto"/>
              </w:rPr>
              <w:t>30% (ROF)</w:t>
            </w:r>
          </w:p>
        </w:tc>
      </w:tr>
      <w:tr>
        <w:trPr>
          <w:trHeight w:val="216"/>
        </w:trPr>
        <w:tc>
          <w:tcPr>
            <w:tcW w:w="8260" w:type="dxa"/>
            <w:vAlign w:val="bottom"/>
            <w:gridSpan w:val="2"/>
          </w:tcPr>
          <w:p>
            <w:pPr>
              <w:ind w:left="440"/>
              <w:spacing w:after="0"/>
              <w:rPr>
                <w:sz w:val="20"/>
                <w:szCs w:val="20"/>
                <w:color w:val="auto"/>
              </w:rPr>
            </w:pPr>
            <w:r>
              <w:rPr>
                <w:rFonts w:ascii="Arial" w:cs="Arial" w:eastAsia="Arial" w:hAnsi="Arial"/>
                <w:sz w:val="18"/>
                <w:szCs w:val="18"/>
                <w:color w:val="auto"/>
              </w:rPr>
              <w:t>Village Café Santana Row, LLC</w:t>
            </w:r>
          </w:p>
        </w:tc>
        <w:tc>
          <w:tcPr>
            <w:tcW w:w="3000" w:type="dxa"/>
            <w:vAlign w:val="bottom"/>
            <w:gridSpan w:val="2"/>
          </w:tcPr>
          <w:p>
            <w:pPr>
              <w:ind w:left="1000"/>
              <w:spacing w:after="0"/>
              <w:rPr>
                <w:sz w:val="20"/>
                <w:szCs w:val="20"/>
                <w:color w:val="auto"/>
              </w:rPr>
            </w:pPr>
            <w:r>
              <w:rPr>
                <w:rFonts w:ascii="Arial" w:cs="Arial" w:eastAsia="Arial" w:hAnsi="Arial"/>
                <w:sz w:val="18"/>
                <w:szCs w:val="18"/>
                <w:color w:val="auto"/>
              </w:rPr>
              <w:t>49% (ROF)</w:t>
            </w:r>
          </w:p>
        </w:tc>
      </w:tr>
      <w:tr>
        <w:trPr>
          <w:trHeight w:val="216"/>
        </w:trPr>
        <w:tc>
          <w:tcPr>
            <w:tcW w:w="8260" w:type="dxa"/>
            <w:vAlign w:val="bottom"/>
            <w:gridSpan w:val="2"/>
          </w:tcPr>
          <w:p>
            <w:pPr>
              <w:ind w:left="440"/>
              <w:spacing w:after="0"/>
              <w:rPr>
                <w:sz w:val="20"/>
                <w:szCs w:val="20"/>
                <w:color w:val="auto"/>
              </w:rPr>
            </w:pPr>
            <w:r>
              <w:rPr>
                <w:rFonts w:ascii="Arial" w:cs="Arial" w:eastAsia="Arial" w:hAnsi="Arial"/>
                <w:sz w:val="18"/>
                <w:szCs w:val="18"/>
                <w:color w:val="auto"/>
              </w:rPr>
              <w:t>Yankee Pier Santana Row, LLC</w:t>
            </w:r>
          </w:p>
        </w:tc>
        <w:tc>
          <w:tcPr>
            <w:tcW w:w="3000" w:type="dxa"/>
            <w:vAlign w:val="bottom"/>
            <w:gridSpan w:val="2"/>
          </w:tcPr>
          <w:p>
            <w:pPr>
              <w:ind w:left="1000"/>
              <w:spacing w:after="0"/>
              <w:rPr>
                <w:sz w:val="20"/>
                <w:szCs w:val="20"/>
                <w:color w:val="auto"/>
              </w:rPr>
            </w:pPr>
            <w:r>
              <w:rPr>
                <w:rFonts w:ascii="Arial" w:cs="Arial" w:eastAsia="Arial" w:hAnsi="Arial"/>
                <w:sz w:val="18"/>
                <w:szCs w:val="18"/>
                <w:color w:val="auto"/>
              </w:rPr>
              <w:t>75% (ROF)</w:t>
            </w:r>
          </w:p>
        </w:tc>
      </w:tr>
      <w:tr>
        <w:trPr>
          <w:trHeight w:val="216"/>
        </w:trPr>
        <w:tc>
          <w:tcPr>
            <w:tcW w:w="8260" w:type="dxa"/>
            <w:vAlign w:val="bottom"/>
            <w:gridSpan w:val="2"/>
          </w:tcPr>
          <w:p>
            <w:pPr>
              <w:ind w:left="440"/>
              <w:spacing w:after="0"/>
              <w:rPr>
                <w:sz w:val="20"/>
                <w:szCs w:val="20"/>
                <w:color w:val="auto"/>
              </w:rPr>
            </w:pPr>
            <w:r>
              <w:rPr>
                <w:rFonts w:ascii="Arial" w:cs="Arial" w:eastAsia="Arial" w:hAnsi="Arial"/>
                <w:sz w:val="18"/>
                <w:szCs w:val="18"/>
                <w:color w:val="auto"/>
              </w:rPr>
              <w:t>Pizza Antica, LLC</w:t>
            </w:r>
          </w:p>
        </w:tc>
        <w:tc>
          <w:tcPr>
            <w:tcW w:w="3000" w:type="dxa"/>
            <w:vAlign w:val="bottom"/>
            <w:gridSpan w:val="2"/>
          </w:tcPr>
          <w:p>
            <w:pPr>
              <w:ind w:left="1000"/>
              <w:spacing w:after="0"/>
              <w:rPr>
                <w:sz w:val="20"/>
                <w:szCs w:val="20"/>
                <w:color w:val="auto"/>
              </w:rPr>
            </w:pPr>
            <w:r>
              <w:rPr>
                <w:rFonts w:ascii="Arial" w:cs="Arial" w:eastAsia="Arial" w:hAnsi="Arial"/>
                <w:sz w:val="18"/>
                <w:szCs w:val="18"/>
                <w:color w:val="auto"/>
              </w:rPr>
              <w:t>20% (ROF)</w:t>
            </w:r>
          </w:p>
        </w:tc>
      </w:tr>
      <w:tr>
        <w:trPr>
          <w:trHeight w:val="216"/>
        </w:trPr>
        <w:tc>
          <w:tcPr>
            <w:tcW w:w="8260" w:type="dxa"/>
            <w:vAlign w:val="bottom"/>
            <w:gridSpan w:val="2"/>
          </w:tcPr>
          <w:p>
            <w:pPr>
              <w:ind w:left="440"/>
              <w:spacing w:after="0"/>
              <w:rPr>
                <w:sz w:val="20"/>
                <w:szCs w:val="20"/>
                <w:color w:val="auto"/>
              </w:rPr>
            </w:pPr>
            <w:r>
              <w:rPr>
                <w:rFonts w:ascii="Arial" w:cs="Arial" w:eastAsia="Arial" w:hAnsi="Arial"/>
                <w:sz w:val="18"/>
                <w:szCs w:val="18"/>
                <w:color w:val="auto"/>
              </w:rPr>
              <w:t>Sino, LLC (f/k/a Red Lantern Restaurant, LLC)</w:t>
            </w:r>
          </w:p>
        </w:tc>
        <w:tc>
          <w:tcPr>
            <w:tcW w:w="3000" w:type="dxa"/>
            <w:vAlign w:val="bottom"/>
            <w:gridSpan w:val="2"/>
          </w:tcPr>
          <w:p>
            <w:pPr>
              <w:ind w:left="1000"/>
              <w:spacing w:after="0"/>
              <w:rPr>
                <w:sz w:val="20"/>
                <w:szCs w:val="20"/>
                <w:color w:val="auto"/>
              </w:rPr>
            </w:pPr>
            <w:r>
              <w:rPr>
                <w:rFonts w:ascii="Arial" w:cs="Arial" w:eastAsia="Arial" w:hAnsi="Arial"/>
                <w:sz w:val="18"/>
                <w:szCs w:val="18"/>
                <w:color w:val="auto"/>
              </w:rPr>
              <w:t>90% (ROF)</w:t>
            </w:r>
          </w:p>
        </w:tc>
      </w:tr>
      <w:tr>
        <w:trPr>
          <w:trHeight w:val="222"/>
        </w:trPr>
        <w:tc>
          <w:tcPr>
            <w:tcW w:w="8260" w:type="dxa"/>
            <w:vAlign w:val="bottom"/>
            <w:gridSpan w:val="2"/>
          </w:tcPr>
          <w:p>
            <w:pPr>
              <w:ind w:left="440"/>
              <w:spacing w:after="0"/>
              <w:rPr>
                <w:sz w:val="20"/>
                <w:szCs w:val="20"/>
                <w:color w:val="auto"/>
              </w:rPr>
            </w:pPr>
            <w:r>
              <w:rPr>
                <w:rFonts w:ascii="Arial" w:cs="Arial" w:eastAsia="Arial" w:hAnsi="Arial"/>
                <w:sz w:val="18"/>
                <w:szCs w:val="18"/>
                <w:color w:val="auto"/>
              </w:rPr>
              <w:t>Santana Grill Partners, LP</w:t>
            </w:r>
          </w:p>
        </w:tc>
        <w:tc>
          <w:tcPr>
            <w:tcW w:w="3000" w:type="dxa"/>
            <w:vAlign w:val="bottom"/>
            <w:gridSpan w:val="2"/>
          </w:tcPr>
          <w:p>
            <w:pPr>
              <w:ind w:left="1000"/>
              <w:spacing w:after="0"/>
              <w:rPr>
                <w:sz w:val="20"/>
                <w:szCs w:val="20"/>
                <w:color w:val="auto"/>
              </w:rPr>
            </w:pPr>
            <w:r>
              <w:rPr>
                <w:rFonts w:ascii="Arial" w:cs="Arial" w:eastAsia="Arial" w:hAnsi="Arial"/>
                <w:sz w:val="18"/>
                <w:szCs w:val="18"/>
                <w:color w:val="auto"/>
              </w:rPr>
              <w:t>29.167% (ROF)</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Santana Row Association, a California non-profit mutual benefit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Deforest Building Condominium Owners Association, a California non-profit mutual benefit corporation</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Ex. D-2</w:t>
      </w:r>
    </w:p>
    <w:p>
      <w:pPr>
        <w:sectPr>
          <w:pgSz w:w="11900" w:h="16838" w:orient="portrait"/>
          <w:cols w:equalWidth="0" w:num="1">
            <w:col w:w="11260"/>
          </w:cols>
          <w:pgMar w:left="240" w:top="280" w:right="39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Deforest Building Residential Condominium Owners Association, a California non-profit mutual benefit corporation</w:t>
      </w:r>
    </w:p>
    <w:p>
      <w:pPr>
        <w:spacing w:after="0" w:line="194" w:lineRule="exact"/>
        <w:rPr>
          <w:sz w:val="20"/>
          <w:szCs w:val="20"/>
          <w:color w:val="auto"/>
        </w:rPr>
      </w:pPr>
    </w:p>
    <w:p>
      <w:pPr>
        <w:ind w:right="799"/>
        <w:spacing w:after="0" w:line="430" w:lineRule="auto"/>
        <w:rPr>
          <w:sz w:val="20"/>
          <w:szCs w:val="20"/>
          <w:color w:val="auto"/>
        </w:rPr>
      </w:pPr>
      <w:r>
        <w:rPr>
          <w:rFonts w:ascii="Arial" w:cs="Arial" w:eastAsia="Arial" w:hAnsi="Arial"/>
          <w:sz w:val="18"/>
          <w:szCs w:val="18"/>
          <w:color w:val="auto"/>
        </w:rPr>
        <w:t>The Margo Building and Villa Cornet Building Condominium Owners Association, a California non-profit mutual benefit corporation The Villa Cornet Condominium Owners Association, a California non-profit mutual benefit corporation</w:t>
      </w:r>
    </w:p>
    <w:p>
      <w:pPr>
        <w:spacing w:after="0" w:line="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Ex. D-3</w:t>
      </w:r>
    </w:p>
    <w:p>
      <w:pPr>
        <w:sectPr>
          <w:pgSz w:w="11900" w:h="16838" w:orient="portrait"/>
          <w:cols w:equalWidth="0" w:num="1">
            <w:col w:w="10219"/>
          </w:cols>
          <w:pgMar w:left="240" w:top="280"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1.2</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12, 2006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ACHOVIA</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ITIGROUP</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LOBAL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EAR</w:t>
      </w:r>
      <w:r>
        <w:rPr>
          <w:rFonts w:ascii="Arial" w:cs="Arial" w:eastAsia="Arial" w:hAnsi="Arial"/>
          <w:sz w:val="18"/>
          <w:szCs w:val="18"/>
          <w:b w:val="1"/>
          <w:bCs w:val="1"/>
          <w:color w:val="auto"/>
        </w:rPr>
        <w:t>, S</w:t>
      </w:r>
      <w:r>
        <w:rPr>
          <w:rFonts w:ascii="Arial" w:cs="Arial" w:eastAsia="Arial" w:hAnsi="Arial"/>
          <w:sz w:val="14"/>
          <w:szCs w:val="14"/>
          <w:b w:val="1"/>
          <w:bCs w:val="1"/>
          <w:color w:val="auto"/>
        </w:rPr>
        <w:t>TEARNS</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OMMERZBANK</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IPER</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AFFRAY</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UN</w:t>
      </w:r>
      <w:r>
        <w:rPr>
          <w:rFonts w:ascii="Arial" w:cs="Arial" w:eastAsia="Arial" w:hAnsi="Arial"/>
          <w:sz w:val="18"/>
          <w:szCs w:val="18"/>
          <w:b w:val="1"/>
          <w:bCs w:val="1"/>
          <w:color w:val="auto"/>
        </w:rPr>
        <w:t>T</w:t>
      </w:r>
      <w:r>
        <w:rPr>
          <w:rFonts w:ascii="Arial" w:cs="Arial" w:eastAsia="Arial" w:hAnsi="Arial"/>
          <w:sz w:val="14"/>
          <w:szCs w:val="14"/>
          <w:b w:val="1"/>
          <w:bCs w:val="1"/>
          <w:color w:val="auto"/>
        </w:rPr>
        <w:t>RUST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C</w:t>
      </w:r>
      <w:r>
        <w:rPr>
          <w:rFonts w:ascii="Arial" w:cs="Arial" w:eastAsia="Arial" w:hAnsi="Arial"/>
          <w:sz w:val="17"/>
          <w:szCs w:val="17"/>
          <w:color w:val="auto"/>
        </w:rPr>
        <w:t>/</w:t>
      </w:r>
      <w:r>
        <w:rPr>
          <w:rFonts w:ascii="Arial" w:cs="Arial" w:eastAsia="Arial" w:hAnsi="Arial"/>
          <w:sz w:val="15"/>
          <w:szCs w:val="15"/>
          <w:color w:val="auto"/>
        </w:rPr>
        <w:t>O</w:t>
      </w:r>
      <w:r>
        <w:rPr>
          <w:sz w:val="20"/>
          <w:szCs w:val="20"/>
          <w:color w:val="auto"/>
        </w:rPr>
        <w:tab/>
      </w:r>
      <w:r>
        <w:rPr>
          <w:rFonts w:ascii="Arial" w:cs="Arial" w:eastAsia="Arial" w:hAnsi="Arial"/>
          <w:sz w:val="16"/>
          <w:szCs w:val="16"/>
          <w:color w:val="auto"/>
        </w:rPr>
        <w:t>Wachovia Capital Markets, LLC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Saint Paul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Baltimore, MD 21202</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10013</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July 12, 2006 (the “Underwriting Agreement”), between the Company on the one hand and Wachovia Capital Markets, LLC, Citigroup Global Markets Inc., Bear, Stearns &amp; Co. Inc., Commerzbank Capital Markets Corp., Piper Jaffray &amp; Co., PNC Capital Markets LLC and SunTrust Capital Markets, Inc. on the other hand, to issue and sell to the Underwriters named in Schedule I hereto (the “Underwriters”) (i) $120,000,000 6.00% Notes due 2012 (the “2012 Notes”) and (ii) $130,000,000 6.20% Notes due 2017 (the “2017 Notes,” and together with the 2012 Notes, the “Designated Securities”). The issue and sale of the 2012 Notes and the 2017 Notes are not conditioned upon each other, and the issue and sale of either the 2012 Notes or the 2017 Notes may be consummated even if the issue and sale of the other series of notes is not consummated, or the issue and sale of the 2012 Notes and the 2017 Notes may be consummated at different times.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Securities which are the subject of this Pricing Agreement. Each reference to the Representatives herein and in the</w:t>
      </w:r>
    </w:p>
    <w:p>
      <w:pPr>
        <w:sectPr>
          <w:pgSz w:w="11900" w:h="16838" w:orient="portrait"/>
          <w:cols w:equalWidth="0" w:num="1">
            <w:col w:w="11420"/>
          </w:cols>
          <w:pgMar w:left="240" w:top="125" w:right="239" w:bottom="1440" w:gutter="0" w:footer="0" w:header="0"/>
        </w:sectPr>
      </w:pPr>
    </w:p>
    <w:bookmarkStart w:id="49" w:name="page50"/>
    <w:bookmarkEnd w:id="49"/>
    <w:p>
      <w:pPr>
        <w:ind w:right="2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provisions of the Underwriting Agreement so incorporated by reference shall be deemed to refer to you. Unless otherwise defined herein, terms defined in the Underwriting Agreement are used herein as therein defined. The Representatives designated to act on behalf of the Underwriters pursuant to Section 12 of the Underwriting Agreement are Wachovia Capital Markets, LLC and Citigroup Global Markets Inc., and the address of the Representatives referred to in such Section 12 are set forth in Schedule II hereto.</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An amendment to the Registration Statement, or a supplement to the Prospectus, as the case may be, relating to the Designated Securities, in the form heretofore delivered to you, is now proposed to be filed with the Commission.</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of the Underwriters under this Pricing Agreement and the Underwriting Agreement incorporated herein are several and not joint.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17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50" w:name="page51"/>
    <w:bookmarkEnd w:id="50"/>
    <w:p>
      <w:pPr>
        <w:jc w:val="both"/>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please sign and return this Pricing Agreement to us, and upon acceptance hereof by you, on behalf of each of the Underwriters, this Pricing Agreement and such acceptance hereof, including the provisions of the Underwriting Agreement incorporated herein by reference, shall constitute a binding agreement between each of the Underwriters and the Company.</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31"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Dawn M. Becker</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Executive Vice President — General Counsel and</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Secretary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ACHOVIA</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ITIGROUP</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LOBAL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EAR</w:t>
      </w:r>
      <w:r>
        <w:rPr>
          <w:rFonts w:ascii="Arial" w:cs="Arial" w:eastAsia="Arial" w:hAnsi="Arial"/>
          <w:sz w:val="18"/>
          <w:szCs w:val="18"/>
          <w:b w:val="1"/>
          <w:bCs w:val="1"/>
          <w:color w:val="auto"/>
        </w:rPr>
        <w:t>, S</w:t>
      </w:r>
      <w:r>
        <w:rPr>
          <w:rFonts w:ascii="Arial" w:cs="Arial" w:eastAsia="Arial" w:hAnsi="Arial"/>
          <w:sz w:val="14"/>
          <w:szCs w:val="14"/>
          <w:b w:val="1"/>
          <w:bCs w:val="1"/>
          <w:color w:val="auto"/>
        </w:rPr>
        <w:t>TEARNS</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OMMERZBANK</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IPER</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AFFRAY</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UN</w:t>
      </w:r>
      <w:r>
        <w:rPr>
          <w:rFonts w:ascii="Arial" w:cs="Arial" w:eastAsia="Arial" w:hAnsi="Arial"/>
          <w:sz w:val="18"/>
          <w:szCs w:val="18"/>
          <w:b w:val="1"/>
          <w:bCs w:val="1"/>
          <w:color w:val="auto"/>
        </w:rPr>
        <w:t>T</w:t>
      </w:r>
      <w:r>
        <w:rPr>
          <w:rFonts w:ascii="Arial" w:cs="Arial" w:eastAsia="Arial" w:hAnsi="Arial"/>
          <w:sz w:val="14"/>
          <w:szCs w:val="14"/>
          <w:b w:val="1"/>
          <w:bCs w:val="1"/>
          <w:color w:val="auto"/>
        </w:rPr>
        <w:t>RUST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1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Wachovia Capital Markets, LLC</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Teresa Hee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7870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Teresa Hee</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Citigroup Global Markets Inc.</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7870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Chris Shea</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1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240" w:top="280" w:right="57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4.1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Security]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6.00% Note due 2012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00" w:type="dxa"/>
            <w:vAlign w:val="bottom"/>
          </w:tcPr>
          <w:p>
            <w:pPr>
              <w:spacing w:after="0"/>
              <w:rPr>
                <w:sz w:val="20"/>
                <w:szCs w:val="20"/>
                <w:color w:val="auto"/>
              </w:rPr>
            </w:pPr>
            <w:r>
              <w:rPr>
                <w:rFonts w:ascii="Arial" w:cs="Arial" w:eastAsia="Arial" w:hAnsi="Arial"/>
                <w:sz w:val="18"/>
                <w:szCs w:val="18"/>
                <w:color w:val="auto"/>
              </w:rPr>
              <w:t>CUSIP No. 313747AM9</w:t>
            </w:r>
          </w:p>
        </w:tc>
        <w:tc>
          <w:tcPr>
            <w:tcW w:w="5320" w:type="dxa"/>
            <w:vAlign w:val="bottom"/>
          </w:tcPr>
          <w:p>
            <w:pPr>
              <w:jc w:val="right"/>
              <w:spacing w:after="0"/>
              <w:rPr>
                <w:sz w:val="20"/>
                <w:szCs w:val="20"/>
                <w:color w:val="auto"/>
              </w:rPr>
            </w:pPr>
            <w:r>
              <w:rPr>
                <w:rFonts w:ascii="Arial" w:cs="Arial" w:eastAsia="Arial" w:hAnsi="Arial"/>
                <w:sz w:val="18"/>
                <w:szCs w:val="18"/>
                <w:color w:val="auto"/>
              </w:rPr>
              <w:t>$120,000,000</w:t>
            </w:r>
          </w:p>
        </w:tc>
      </w:tr>
    </w:tbl>
    <w:p>
      <w:pPr>
        <w:spacing w:after="0" w:line="150"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b w:val="1"/>
          <w:bCs w:val="1"/>
          <w:color w:val="auto"/>
        </w:rPr>
        <w:t>UNLESS THIS NOTE IS PRESENTED BY AN AUTHORIZED REPRESENTATIVE OF THE DEPOSITORY TRUST COMPANY (55 WATER STREET, NEW YORK, NEW YORK) TO THE ISSUER OR ITS AGENT FOR REGISTRATION OF TRANSFER, EXCHANGE OR PAYMENT, AND SUCH NOTE ISSUED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13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UNLESS AND UNTIL THIS NOTE IS EXCHANGED IN WHOLE OR IN PART FOR NOTES IN CERTIFICATED FORM, THIS NOTE MAY NOT BE TRANSFERRED EXCEPT AS A WHOLE BY THE DEPOSITORY TO A NOMINEE THEREOF OR BY A NOMINEE THEREOF TO THE DEPOSITORY OR ANOTHER NOMINEE OF THE DEPOSITORY OR BY THE DEPOSITORY OR ANY SUCH NOMINEE TO A SUCCESSOR OF THE DEPOSITORY OR A NOMINEE OF SUCH SUCCESSOR.</w:t>
      </w:r>
    </w:p>
    <w:p>
      <w:pPr>
        <w:spacing w:after="0" w:line="136" w:lineRule="exact"/>
        <w:rPr>
          <w:sz w:val="20"/>
          <w:szCs w:val="20"/>
          <w:color w:val="auto"/>
        </w:rPr>
      </w:pPr>
    </w:p>
    <w:p>
      <w:pPr>
        <w:ind w:right="960"/>
        <w:spacing w:after="0" w:line="275" w:lineRule="auto"/>
        <w:rPr>
          <w:sz w:val="20"/>
          <w:szCs w:val="20"/>
          <w:color w:val="auto"/>
        </w:rPr>
      </w:pPr>
      <w:r>
        <w:rPr>
          <w:rFonts w:ascii="Arial" w:cs="Arial" w:eastAsia="Arial" w:hAnsi="Arial"/>
          <w:sz w:val="18"/>
          <w:szCs w:val="18"/>
          <w:b w:val="1"/>
          <w:bCs w:val="1"/>
          <w:color w:val="auto"/>
        </w:rPr>
        <w:t>THIS NOTE WILL BE ISSUED AND MAY BE TRANSFERRED ONLY IN MINIMUM DENOMINATIONS OF $1,000 AND INTEGRAL MULTIPLES OF $1,000 IN EXCESS THEREOF.</w:t>
      </w:r>
    </w:p>
    <w:p>
      <w:pPr>
        <w:spacing w:after="0" w:line="126"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FEDERAL REALTY INVESTMENT TRUST, a Maryland real estate investment trust (herein referred to as the “Company,” which term includes any successor corporation under the Indenture referred to on the reverse hereof), for value received, hereby promises to pay to Cede &amp; Co. or registered assigns the principal sum of One Hundred Twenty Million Dollars on July 15, 2012 (the “Stated Maturity Date”) or the date fixed for earlier redemption (the “Redemption Date,” and together with the Stated Maturity Date with respect to principal repayable on such date, the “Maturity Date”), and to pay interest thereon from July 17, 2006 or from the most recent interest payment date to which interest has been paid or duly provided for, semi-annually on January 15 and July 15 in each year (each, an “Interest Payment Date”), commencing January 15, 2007, at the rate of 6.00% per annum, until the principal hereof is paid or duly provided for. The interest so payable, and punctually paid or duly provided for, on any Interest Payment Date will, as provided in such Indenture, be paid to the Holder in whose name this Note (or one or more Predecessor Securities) is registered at the close of business on the Regular Record Date for such interest, which shall be on December 31 or June 30 (whether or not a Business Day), as the case may be, next preceding such Interest Payment Date at the office or agency of the Company maintained for such purpose; provided, however, that such interest may be paid, at the Company’s option, by mailing a check to such Holder at its registered address or</w:t>
      </w:r>
    </w:p>
    <w:p>
      <w:pPr>
        <w:sectPr>
          <w:pgSz w:w="11900" w:h="16838" w:orient="portrait"/>
          <w:cols w:equalWidth="0" w:num="1">
            <w:col w:w="11420"/>
          </w:cols>
          <w:pgMar w:left="240" w:top="125" w:right="239" w:bottom="1440" w:gutter="0" w:footer="0" w:header="0"/>
        </w:sectPr>
      </w:pPr>
    </w:p>
    <w:bookmarkStart w:id="52" w:name="page53"/>
    <w:bookmarkEnd w:id="52"/>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transfer of funds to an account maintained by such Holder within the United States. Any such interest not so punctually paid or duly provided for shall forthwith cease to be payable to the Holder on such Regular Record Date, and may be paid to the Holder in whose name this Note (or one or more Predecessor Securities) is registered at the close of business on a Special Record Date for the payment of such Defaulted Interest to be fixed by the Trustee referred to on the reverse hereof, notice whereof shall be given to Holders of Notes of this series not less than 10 days prior to such Special Record Date, or may be paid at any time in any other lawful manner not inconsistent with the requirements of any securities exchange on which the Notes of this series may be listed, and upon such notice as may be required by such exchange, all as more fully provided in the Indenture. Interest will be computed on the basis of a 360-day year of twelve 30-day months.</w:t>
      </w:r>
    </w:p>
    <w:p>
      <w:pPr>
        <w:spacing w:after="0" w:line="147" w:lineRule="exact"/>
        <w:rPr>
          <w:sz w:val="20"/>
          <w:szCs w:val="20"/>
          <w:color w:val="auto"/>
        </w:rPr>
      </w:pPr>
    </w:p>
    <w:p>
      <w:pPr>
        <w:ind w:right="300" w:firstLine="913"/>
        <w:spacing w:after="0" w:line="256" w:lineRule="auto"/>
        <w:rPr>
          <w:sz w:val="20"/>
          <w:szCs w:val="20"/>
          <w:color w:val="auto"/>
        </w:rPr>
      </w:pPr>
      <w:r>
        <w:rPr>
          <w:rFonts w:ascii="Arial" w:cs="Arial" w:eastAsia="Arial" w:hAnsi="Arial"/>
          <w:sz w:val="18"/>
          <w:szCs w:val="18"/>
          <w:color w:val="auto"/>
        </w:rPr>
        <w:t>The principal of this Note payable on the Stated Maturity Date or the principal of, premium, if any, and, if the Redemption Date is not an Interest Payment Date, interest on this Note payable on the Redemption Date will be paid against presentation of this Note at the office or agency of the Company maintained for that purpose in the Borough of Manhattan, The City of New York, in such coin or currency of the United States of America as at the time of payment is legal tender for the payment of public and private debts.</w:t>
      </w:r>
    </w:p>
    <w:p>
      <w:pPr>
        <w:spacing w:after="0" w:line="143"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Interest payable on this Note on any Interest Payment Date and on the Maturity Date, as the case may be, will include interest accrued from and including the next preceding Interest Payment Date in respect of which interest has been paid or duly provided for (or from and including July 17, 2006, if no interest has been paid on this Note) to but excluding such Interest Payment Date or the Maturity Date, as the case may be. If any Interest Payment Date or the Maturity Date falls on a day that is not a Business Day, as defined below, principal, premium, if any, and/or interest payable with respect to such Interest Payment Date or Maturity Date, as the case may be, will be paid on the next succeeding Business Day with the same force and effect as if it were paid on the date such payment was due, and no interest shall accrue on the amount so payable for the period from and after such Interest Payment Date or Maturity Date, as the case may be. “Business Day” means any day, other than a Saturday or Sunday, on which banks in the City of New York and the City of Charlotte, State of North Carolina, are not required or authorized by law or executive order to close.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All payments of principal, premium, if any, and interest in respect of this Note will be made by the Company in immediately available funds.</w:t>
      </w:r>
    </w:p>
    <w:p>
      <w:pPr>
        <w:spacing w:after="0" w:line="194"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32"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Note shall not be entitled to any benefit under the Indenture, or be valid or obligatory for any purpose.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space intentionally left blank]</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3" w:name="page54"/>
    <w:bookmarkEnd w:id="5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has caused this instrument to be duly executed.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July 17, 2006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2540</wp:posOffset>
            </wp:positionV>
            <wp:extent cx="26587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2540</wp:posOffset>
            </wp:positionV>
            <wp:extent cx="26587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Executive Vice President-General Counsel and Secretary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31127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Darlene M. Hough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TRUSTEE’S CERTIFICATE OF AUTHENTICATION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This is the Note of the series designated therein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July 17, 2006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2540</wp:posOffset>
            </wp:positionV>
            <wp:extent cx="26587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1240"/>
          </w:cols>
          <w:pgMar w:left="240" w:top="280" w:right="419" w:bottom="1440" w:gutter="0" w:footer="0" w:header="0"/>
        </w:sectPr>
      </w:pPr>
    </w:p>
    <w:bookmarkStart w:id="54" w:name="page55"/>
    <w:bookmarkEnd w:id="54"/>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[Reverse of Security]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FEDERAL REALTY INVESTMENT TRUST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6.00% Note due 2012</w:t>
      </w:r>
    </w:p>
    <w:p>
      <w:pPr>
        <w:spacing w:after="0" w:line="171" w:lineRule="exact"/>
        <w:rPr>
          <w:sz w:val="20"/>
          <w:szCs w:val="20"/>
          <w:color w:val="auto"/>
        </w:rPr>
      </w:pPr>
    </w:p>
    <w:p>
      <w:pPr>
        <w:ind w:firstLine="913"/>
        <w:spacing w:after="0" w:line="307" w:lineRule="auto"/>
        <w:rPr>
          <w:sz w:val="20"/>
          <w:szCs w:val="20"/>
          <w:color w:val="auto"/>
        </w:rPr>
      </w:pPr>
      <w:r>
        <w:rPr>
          <w:rFonts w:ascii="Arial" w:cs="Arial" w:eastAsia="Arial" w:hAnsi="Arial"/>
          <w:sz w:val="15"/>
          <w:szCs w:val="15"/>
          <w:color w:val="auto"/>
        </w:rPr>
        <w:t>This Note is one of a duly authorized issue of securities of the Company (herein called the “Securities”), issued and to be issued in one or more series under an Indenture, dated as of September 1, 1998 (herein called the “Indenture”), between the Company and U.S. Bank National Association, as Trustee (herein called the “Trustee”, which term includes any successor trustee under the Indenture with respect to the series of which this Note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Note is one of the duly authorized series of Securities designated as “6.00% Notes due 2012” (collectively, the “Notes”), and the aggregate principal amount of the Notes to be issued under such series is initially limited to $120,000,000 (except for Notes authenticated and delivered upon transfer of, or in exchange for, or in lieu of other Notes). The Company may, without the consent of the Holders of any Securities, create and issue additional notes in the future having the same terms other than the date of original issuance, the issue price and the date on which interest begins to accrue so as to form a single series with the Notes. The Notes are the unsecured and unsubordinated obligations of the Company and rank equally with all existing and future unsecured and unsubordinated indebtedness of the Company. All terms used in this Note which are defined in the Indenture shall have the meanings assigned to them in the Indenture.</w:t>
      </w:r>
    </w:p>
    <w:p>
      <w:pPr>
        <w:spacing w:after="0" w:line="112"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Notes are subject to redemption at any time, in whole or in part, at the election of the Company, at a redemption price equal to the greater of</w:t>
      </w:r>
    </w:p>
    <w:p>
      <w:pPr>
        <w:spacing w:after="0" w:line="38" w:lineRule="exact"/>
        <w:rPr>
          <w:sz w:val="20"/>
          <w:szCs w:val="20"/>
          <w:color w:val="auto"/>
        </w:rPr>
      </w:pPr>
    </w:p>
    <w:p>
      <w:pPr>
        <w:ind w:right="60" w:firstLine="8"/>
        <w:spacing w:after="0" w:line="290" w:lineRule="auto"/>
        <w:tabs>
          <w:tab w:leader="none" w:pos="2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15 basis points plus, in each case, accrued interest thereon to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left="460"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55" w:name="page56"/>
    <w:bookmarkEnd w:id="55"/>
    <w:p>
      <w:pPr>
        <w:ind w:left="46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Treasury Issue, assuming a price for the Comparable Treasury Issue (expressed as a percentage of its principal amount) equal to the Comparable Treasury Price for such Redemption Date.</w:t>
      </w:r>
    </w:p>
    <w:p>
      <w:pPr>
        <w:spacing w:after="0" w:line="51" w:lineRule="exact"/>
        <w:rPr>
          <w:sz w:val="20"/>
          <w:szCs w:val="20"/>
          <w:color w:val="auto"/>
        </w:rPr>
      </w:pPr>
    </w:p>
    <w:p>
      <w:pPr>
        <w:ind w:left="460" w:right="12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Issue</w:t>
      </w:r>
      <w:r>
        <w:rPr>
          <w:rFonts w:ascii="Arial" w:cs="Arial" w:eastAsia="Arial" w:hAnsi="Arial"/>
          <w:sz w:val="16"/>
          <w:szCs w:val="16"/>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26" w:lineRule="exact"/>
        <w:rPr>
          <w:sz w:val="20"/>
          <w:szCs w:val="20"/>
          <w:color w:val="auto"/>
        </w:rPr>
      </w:pPr>
    </w:p>
    <w:p>
      <w:pPr>
        <w:jc w:val="both"/>
        <w:ind w:left="460" w:right="220" w:firstLine="438"/>
        <w:spacing w:after="0" w:line="259" w:lineRule="auto"/>
        <w:rPr>
          <w:sz w:val="20"/>
          <w:szCs w:val="20"/>
          <w:color w:val="auto"/>
        </w:rPr>
      </w:pP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Date, after excluding the highest and lowest such Reference Treasury Dealer Quotations, or (2) if the Trustee obtains fewer than three such Reference Treasury Dealer quotations, the average of all such Quotations.</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the Company.</w:t>
      </w:r>
    </w:p>
    <w:p>
      <w:pPr>
        <w:spacing w:after="0" w:line="90" w:lineRule="exact"/>
        <w:rPr>
          <w:sz w:val="20"/>
          <w:szCs w:val="20"/>
          <w:color w:val="auto"/>
        </w:rPr>
      </w:pPr>
    </w:p>
    <w:p>
      <w:pPr>
        <w:ind w:left="460" w:right="38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(1) Citigroup Global Markets Inc. and other primary U.S. Government securities dealers in New York City selected by Wachovia Capital Markets, LLC, and their respective successors; provided, however, that if Citigroup Global Markets Inc. ceases to be a primary U.S. Government securities dealer (a “Primary Treasury Dealer”), the Company will substitute therefor another Primary Treasury Dealer; and (2) any other Primary Treasury Dealer selected by the Company.</w:t>
      </w:r>
    </w:p>
    <w:p>
      <w:pPr>
        <w:spacing w:after="0" w:line="62" w:lineRule="exact"/>
        <w:rPr>
          <w:sz w:val="20"/>
          <w:szCs w:val="20"/>
          <w:color w:val="auto"/>
        </w:rPr>
      </w:pPr>
    </w:p>
    <w:p>
      <w:pPr>
        <w:ind w:left="460" w:right="2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43"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Notice of any redemption will be given by mail to Holders of Securities, not less than 30 nor more than 60 days prior to the Redemption Date, all as provided in the Indenture.</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In the event of redemption of this Note in part only, a new Note or Notes for the unredeemed portion hereof shall be issued in the name of the Holder hereof upon the cancellation hereof.</w:t>
      </w:r>
    </w:p>
    <w:p>
      <w:pPr>
        <w:spacing w:after="0" w:line="13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56" w:name="page57"/>
    <w:bookmarkEnd w:id="56"/>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Note shall be conclusive and binding upon such Holder and upon all future Holders of this Note and other Notes issued upon the registration of transfer hereof or in exchange herefor or in lieu hereof, whether or not notation of such consent or waiver is made upon this Note.</w:t>
      </w:r>
    </w:p>
    <w:p>
      <w:pPr>
        <w:spacing w:after="0" w:line="116"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Company, which is absolute and unconditional, to pay the principal of (and premium, if any) and interest on this Note at the times, places and rate, and in the coin or currency, herein prescribed.</w:t>
      </w:r>
    </w:p>
    <w:p>
      <w:pPr>
        <w:spacing w:after="0" w:line="140" w:lineRule="exact"/>
        <w:rPr>
          <w:sz w:val="20"/>
          <w:szCs w:val="20"/>
          <w:color w:val="auto"/>
        </w:rPr>
      </w:pPr>
    </w:p>
    <w:p>
      <w:pPr>
        <w:ind w:firstLine="913"/>
        <w:spacing w:after="0" w:line="310" w:lineRule="auto"/>
        <w:rPr>
          <w:sz w:val="20"/>
          <w:szCs w:val="20"/>
          <w:color w:val="auto"/>
        </w:rPr>
      </w:pPr>
      <w:r>
        <w:rPr>
          <w:rFonts w:ascii="Arial" w:cs="Arial" w:eastAsia="Arial" w:hAnsi="Arial"/>
          <w:sz w:val="15"/>
          <w:szCs w:val="15"/>
          <w:color w:val="auto"/>
        </w:rPr>
        <w:t>The Company will not, and will not permit any Subsidiary to, incur any Debt (as defined below) if, immediately after giving effect to the incurrence of such Debt and the application of the proceeds thereof, the aggregate principal amount of all outstanding Debt of the Company and its Subsidiaries on a consolidated basis determined in accordance with generally accepted accounting principles is greater than 60% of the sum of (without duplication) (i)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w:t>
      </w:r>
    </w:p>
    <w:p>
      <w:pPr>
        <w:spacing w:after="0" w:line="108" w:lineRule="exact"/>
        <w:rPr>
          <w:sz w:val="20"/>
          <w:szCs w:val="20"/>
          <w:color w:val="auto"/>
        </w:rPr>
      </w:pPr>
    </w:p>
    <w:p>
      <w:pPr>
        <w:ind w:right="80" w:firstLine="913"/>
        <w:spacing w:after="0" w:line="283" w:lineRule="auto"/>
        <w:rPr>
          <w:sz w:val="20"/>
          <w:szCs w:val="20"/>
          <w:color w:val="auto"/>
        </w:rPr>
      </w:pPr>
      <w:r>
        <w:rPr>
          <w:rFonts w:ascii="Arial" w:cs="Arial" w:eastAsia="Arial" w:hAnsi="Arial"/>
          <w:sz w:val="16"/>
          <w:szCs w:val="16"/>
          <w:color w:val="auto"/>
        </w:rPr>
        <w:t>In addition to the foregoing limitation on the incurrence of Debt, the Company will not, and will not permit any Subsidiary to, incur any Debt secured by any mortgage, lien, charge, pledge, encumbrance or security interest of any kind upon any of the property of the Company or any Subsidiary if, immediately after giving effect to the incurrence of such Debt and the application of the proceeds thereof, the aggregate principal amount of all outstanding Debt of the Company and its Subsidiaries on a consolidated basis which is secured by any mortgage, lien, charge, pledge, encumbrance or security interest on property of the Company or any Subsidiary is greater than 40% of the sum of (without duplication) (1)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w:t>
      </w:r>
    </w:p>
    <w:p>
      <w:pPr>
        <w:ind w:right="40" w:firstLine="8"/>
        <w:spacing w:after="0" w:line="253" w:lineRule="auto"/>
        <w:tabs>
          <w:tab w:leader="none" w:pos="249"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 provided, however, that for purposes of this limitation, the amount of obligations under capital leases shown as a liability on the Company’s consolidated balance sheet shall be deducted from Debt and Total Assets.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57" w:name="page58"/>
    <w:bookmarkEnd w:id="57"/>
    <w:p>
      <w:pPr>
        <w:ind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Furthermore, the Company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(i) such Debt and any other Debt incurred by the Company and its Subsidiaries since the first day of such four-quarter period and the application of the proceeds therefrom, including to refinance other Debt, had occurred at the beginning of such period; (ii) the repayment or retirement of any other Debt by the Company and its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Company or its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21" w:lineRule="exact"/>
        <w:rPr>
          <w:sz w:val="20"/>
          <w:szCs w:val="20"/>
          <w:color w:val="auto"/>
        </w:rPr>
      </w:pPr>
    </w:p>
    <w:p>
      <w:pPr>
        <w:ind w:right="140" w:firstLine="913"/>
        <w:spacing w:after="0" w:line="370" w:lineRule="auto"/>
        <w:rPr>
          <w:sz w:val="20"/>
          <w:szCs w:val="20"/>
          <w:color w:val="auto"/>
        </w:rPr>
      </w:pPr>
      <w:r>
        <w:rPr>
          <w:rFonts w:ascii="Arial" w:cs="Arial" w:eastAsia="Arial" w:hAnsi="Arial"/>
          <w:sz w:val="15"/>
          <w:szCs w:val="15"/>
          <w:color w:val="auto"/>
        </w:rPr>
        <w:t>Furthermore, the Company and its Subsidiaries taken as a whole, will, at all times maintain an Unencumbered Total Asset Value (as defined below) in an amount not less than 150% of the aggregate outstanding principal amount of the unsecured Debt of the Company and its Subsidiaries, taken as a whole.</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left="460" w:right="40" w:firstLine="438"/>
        <w:spacing w:after="0" w:line="256" w:lineRule="auto"/>
        <w:rPr>
          <w:sz w:val="20"/>
          <w:szCs w:val="20"/>
          <w:color w:val="auto"/>
        </w:rPr>
      </w:pPr>
      <w:r>
        <w:rPr>
          <w:rFonts w:ascii="Arial" w:cs="Arial" w:eastAsia="Arial" w:hAnsi="Arial"/>
          <w:sz w:val="18"/>
          <w:szCs w:val="18"/>
          <w:color w:val="auto"/>
        </w:rPr>
        <w:t>“Acquired Debt” means Debt of a Person (i) existing at the time such Person becomes a Subsidiary or (ii)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62" w:lineRule="exact"/>
        <w:rPr>
          <w:sz w:val="20"/>
          <w:szCs w:val="20"/>
          <w:color w:val="auto"/>
        </w:rPr>
      </w:pPr>
    </w:p>
    <w:p>
      <w:pPr>
        <w:ind w:left="460" w:right="60" w:firstLine="438"/>
        <w:spacing w:after="0" w:line="370" w:lineRule="auto"/>
        <w:rPr>
          <w:sz w:val="20"/>
          <w:szCs w:val="20"/>
          <w:color w:val="auto"/>
        </w:rPr>
      </w:pPr>
      <w:r>
        <w:rPr>
          <w:rFonts w:ascii="Arial" w:cs="Arial" w:eastAsia="Arial" w:hAnsi="Arial"/>
          <w:sz w:val="15"/>
          <w:szCs w:val="15"/>
          <w:color w:val="auto"/>
        </w:rPr>
        <w:t>“Annual Debt Service Charge” as of any date means the maximum amount which is payable in any period for interest on, and original issue discount of, Debt of the Company and its Subsidiaries and the amount of dividends which are payable in respect of any Disqualified Stock (as defined below).</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58" w:name="page59"/>
    <w:bookmarkEnd w:id="58"/>
    <w:p>
      <w:pPr>
        <w:jc w:val="both"/>
        <w:ind w:right="16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Stock”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59" w:lineRule="exact"/>
        <w:rPr>
          <w:sz w:val="20"/>
          <w:szCs w:val="20"/>
          <w:color w:val="auto"/>
        </w:rPr>
      </w:pPr>
    </w:p>
    <w:p>
      <w:pPr>
        <w:ind w:right="700" w:firstLine="438"/>
        <w:spacing w:after="0" w:line="332" w:lineRule="auto"/>
        <w:rPr>
          <w:sz w:val="20"/>
          <w:szCs w:val="20"/>
          <w:color w:val="auto"/>
        </w:rPr>
      </w:pPr>
      <w:r>
        <w:rPr>
          <w:rFonts w:ascii="Arial" w:cs="Arial" w:eastAsia="Arial" w:hAnsi="Arial"/>
          <w:sz w:val="16"/>
          <w:szCs w:val="16"/>
          <w:color w:val="auto"/>
        </w:rPr>
        <w:t>“Consolidated Income Available for Debt Service” for any period means Funds from Operations (as defined below) of the Company and its Subsidiaries plus amounts which have been deducted for interest on Debt of the Company and its Subsidiaries.</w:t>
      </w:r>
    </w:p>
    <w:p>
      <w:pPr>
        <w:spacing w:after="0" w:line="4" w:lineRule="exact"/>
        <w:rPr>
          <w:sz w:val="20"/>
          <w:szCs w:val="20"/>
          <w:color w:val="auto"/>
        </w:rPr>
      </w:pPr>
    </w:p>
    <w:p>
      <w:pPr>
        <w:ind w:right="60" w:firstLine="438"/>
        <w:spacing w:after="0" w:line="302" w:lineRule="auto"/>
        <w:rPr>
          <w:sz w:val="20"/>
          <w:szCs w:val="20"/>
          <w:color w:val="auto"/>
        </w:rPr>
      </w:pPr>
      <w:r>
        <w:rPr>
          <w:rFonts w:ascii="Arial" w:cs="Arial" w:eastAsia="Arial" w:hAnsi="Arial"/>
          <w:sz w:val="15"/>
          <w:szCs w:val="15"/>
          <w:color w:val="auto"/>
        </w:rPr>
        <w:t>“Debt” means any indebtedness of the Company, or any Subsidiary, whether or not contingent, in respect of (without duplication) (i) borrowed money evidenced by bonds, notes, debentures or similar instruments, (ii) indebtedness secured by any mortgage, pledge, lien, charge, encumbrance or any security interest existing on property owned by the Company or any Subsidiary, (iii)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w:t>
      </w:r>
    </w:p>
    <w:p>
      <w:pPr>
        <w:spacing w:after="0" w:line="2" w:lineRule="exact"/>
        <w:rPr>
          <w:sz w:val="20"/>
          <w:szCs w:val="20"/>
          <w:color w:val="auto"/>
        </w:rPr>
      </w:pPr>
    </w:p>
    <w:p>
      <w:pPr>
        <w:ind w:firstLine="4"/>
        <w:spacing w:after="0" w:line="300" w:lineRule="auto"/>
        <w:tabs>
          <w:tab w:leader="none" w:pos="297"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principal amount of all obligations of the Company or any Subsidiary with respect to redemption, repayment or other repurchase of any Disqualified Stock or (v) any lease of property by the Company or any Subsidiary as lessee which is reflected on the Company’s consolidated balance sheet as a capitalized lease in accordance with generally accepted accounting principles to the extent, in the case of items of indebtedness under (i) through</w:t>
      </w:r>
    </w:p>
    <w:p>
      <w:pPr>
        <w:spacing w:after="0" w:line="1" w:lineRule="exact"/>
        <w:rPr>
          <w:rFonts w:ascii="Arial" w:cs="Arial" w:eastAsia="Arial" w:hAnsi="Arial"/>
          <w:sz w:val="15"/>
          <w:szCs w:val="15"/>
          <w:color w:val="auto"/>
        </w:rPr>
      </w:pPr>
    </w:p>
    <w:p>
      <w:pPr>
        <w:ind w:firstLine="4"/>
        <w:spacing w:after="0" w:line="288" w:lineRule="auto"/>
        <w:tabs>
          <w:tab w:leader="none" w:pos="307" w:val="left"/>
        </w:tabs>
        <w:numPr>
          <w:ilvl w:val="0"/>
          <w:numId w:val="43"/>
        </w:numPr>
        <w:rPr>
          <w:rFonts w:ascii="Arial" w:cs="Arial" w:eastAsia="Arial" w:hAnsi="Arial"/>
          <w:sz w:val="16"/>
          <w:szCs w:val="16"/>
          <w:color w:val="auto"/>
        </w:rPr>
      </w:pPr>
      <w:r>
        <w:rPr>
          <w:rFonts w:ascii="Arial" w:cs="Arial" w:eastAsia="Arial" w:hAnsi="Arial"/>
          <w:sz w:val="16"/>
          <w:szCs w:val="16"/>
          <w:color w:val="auto"/>
        </w:rPr>
        <w:t>above, that any such items (other than letters of credit) would appear as a liability on the Company’s consolidated balance sheet in accordance with generally accepted accounting principles, and also includes, to the extent not otherwise included, any obligation of the Company or any Subsidiary to be liable for, or to pay, as obligor, guarantor or otherwise (other than for purposes of collection in the ordinary course of business or for the purposes of guaranteeing the payment of all amounts due and owing pursuant to leases to which the Company is a party and has assigned its interest, provided that such assignee of the Company is not in default of any amounts due and owing under such leases), Debt of another Person (other than the Company or any Subsidiary) (it being understood that Debt shall be deemed to be incurred by the Company or any Subsidiary whenever the Company or such Subsidiary shall create, assume, guarantee or otherwise become liable in respect thereof).</w:t>
      </w:r>
    </w:p>
    <w:p>
      <w:pPr>
        <w:spacing w:after="0" w:line="42" w:lineRule="exact"/>
        <w:rPr>
          <w:sz w:val="20"/>
          <w:szCs w:val="20"/>
          <w:color w:val="auto"/>
        </w:rPr>
      </w:pPr>
    </w:p>
    <w:p>
      <w:pPr>
        <w:ind w:right="80" w:firstLine="438"/>
        <w:spacing w:after="0" w:line="298" w:lineRule="auto"/>
        <w:rPr>
          <w:sz w:val="20"/>
          <w:szCs w:val="20"/>
          <w:color w:val="auto"/>
        </w:rPr>
      </w:pPr>
      <w:r>
        <w:rPr>
          <w:rFonts w:ascii="Arial" w:cs="Arial" w:eastAsia="Arial" w:hAnsi="Arial"/>
          <w:sz w:val="16"/>
          <w:szCs w:val="16"/>
          <w:color w:val="auto"/>
        </w:rPr>
        <w:t>“Disqualified Stock” means, with respect to any Person, any Capital Stock of such Person which by the terms of such Capital Stock (or by the terms of any security into which it is convertible or for which it is exchangeable or exercisable), upon the happening of any event or otherwise (i) matures or is mandatorily redeemable, pursuant to a sinking fund obligation or otherwise, (ii) is convertible into or exchangeable or exercisable for Debt or Disqualified Stock or (iii) is redeemable at the option of the holder thereof, in whole or in part, in each case on or prior to the Stated Maturity of the Notes.</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59" w:name="page60"/>
    <w:bookmarkEnd w:id="59"/>
    <w:p>
      <w:pPr>
        <w:ind w:left="460" w:right="16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“Funds from Operations” for any period means income available to common shareholders before depreciation and amortization of real estate assets and before extraordinary items less gain on sale of real estate.</w:t>
      </w:r>
    </w:p>
    <w:p>
      <w:pPr>
        <w:spacing w:after="0" w:line="51" w:lineRule="exact"/>
        <w:rPr>
          <w:sz w:val="20"/>
          <w:szCs w:val="20"/>
          <w:color w:val="auto"/>
        </w:rPr>
      </w:pPr>
    </w:p>
    <w:p>
      <w:pPr>
        <w:ind w:left="460" w:right="200" w:firstLine="438"/>
        <w:spacing w:after="0" w:line="332" w:lineRule="auto"/>
        <w:rPr>
          <w:sz w:val="20"/>
          <w:szCs w:val="20"/>
          <w:color w:val="auto"/>
        </w:rPr>
      </w:pPr>
      <w:r>
        <w:rPr>
          <w:rFonts w:ascii="Arial" w:cs="Arial" w:eastAsia="Arial" w:hAnsi="Arial"/>
          <w:sz w:val="16"/>
          <w:szCs w:val="16"/>
          <w:color w:val="auto"/>
        </w:rPr>
        <w:t>“Total Assets” as of any date means the sum of (i) the Company’s and its Subsidiaries’ Undepreciated Real Estate Assets and (ii) all other assets of the Company and its Subsidiaries determined in accordance with generally accepted accounting principles (but excluding goodwill).</w:t>
      </w:r>
    </w:p>
    <w:p>
      <w:pPr>
        <w:spacing w:after="0" w:line="4" w:lineRule="exact"/>
        <w:rPr>
          <w:sz w:val="20"/>
          <w:szCs w:val="20"/>
          <w:color w:val="auto"/>
        </w:rPr>
      </w:pPr>
    </w:p>
    <w:p>
      <w:pPr>
        <w:ind w:left="460" w:right="100" w:firstLine="438"/>
        <w:spacing w:after="0" w:line="259" w:lineRule="auto"/>
        <w:rPr>
          <w:sz w:val="20"/>
          <w:szCs w:val="20"/>
          <w:color w:val="auto"/>
        </w:rPr>
      </w:pPr>
      <w:r>
        <w:rPr>
          <w:rFonts w:ascii="Arial" w:cs="Arial" w:eastAsia="Arial" w:hAnsi="Arial"/>
          <w:sz w:val="18"/>
          <w:szCs w:val="18"/>
          <w:color w:val="auto"/>
        </w:rPr>
        <w:t>“Undepreciated Real Estate Assets” as of any date means the cost (original cost plus capital improvements) of real estate assets of the Company and its Subsidiaries on such date, before depreciation and amortization determined on a consolidated basis in accordance with generally accepted accounting principles.</w:t>
      </w:r>
    </w:p>
    <w:p>
      <w:pPr>
        <w:spacing w:after="0" w:line="59" w:lineRule="exact"/>
        <w:rPr>
          <w:sz w:val="20"/>
          <w:szCs w:val="20"/>
          <w:color w:val="auto"/>
        </w:rPr>
      </w:pPr>
    </w:p>
    <w:p>
      <w:pPr>
        <w:ind w:left="460" w:right="240" w:firstLine="438"/>
        <w:spacing w:after="0" w:line="298" w:lineRule="auto"/>
        <w:rPr>
          <w:sz w:val="20"/>
          <w:szCs w:val="20"/>
          <w:color w:val="auto"/>
        </w:rPr>
      </w:pPr>
      <w:r>
        <w:rPr>
          <w:rFonts w:ascii="Arial" w:cs="Arial" w:eastAsia="Arial" w:hAnsi="Arial"/>
          <w:sz w:val="16"/>
          <w:szCs w:val="16"/>
          <w:color w:val="auto"/>
        </w:rPr>
        <w:t>“Unencumbered Total Asset Value” as of any date means the sum of (i) those Undepreciated Real Estate Assets not encumbered by any mortgage, lien, charge, pledge or security interest and (ii) all other assets of the Company and each of its Subsidiaries on a consolidated basis determined in accordance with generally accepted accounting principles (but excluding intangibles and accounts receivable), in each case which are unencumbered by any mortgage, lien, charge, pledge or security interest.</w:t>
      </w:r>
    </w:p>
    <w:p>
      <w:pPr>
        <w:spacing w:after="0" w:line="113" w:lineRule="exact"/>
        <w:rPr>
          <w:sz w:val="20"/>
          <w:szCs w:val="20"/>
          <w:color w:val="auto"/>
        </w:rPr>
      </w:pPr>
    </w:p>
    <w:p>
      <w:pPr>
        <w:ind w:firstLine="913"/>
        <w:spacing w:after="0" w:line="318" w:lineRule="auto"/>
        <w:rPr>
          <w:sz w:val="20"/>
          <w:szCs w:val="20"/>
          <w:color w:val="auto"/>
        </w:rPr>
      </w:pPr>
      <w:r>
        <w:rPr>
          <w:rFonts w:ascii="Arial" w:cs="Arial" w:eastAsia="Arial" w:hAnsi="Arial"/>
          <w:sz w:val="15"/>
          <w:szCs w:val="15"/>
          <w:color w:val="auto"/>
        </w:rPr>
        <w:t>Furthermore, the Company will, and will cause each of its Subsidiaries to, maintain insurance with financially sound and reputable insurance companies against such risks and in such amounts as is customarily maintained by Persons engaged in similar businesses or as may be required by applicable law, and the Company will from time to time deliver to the Agent (as such term is defined in the Credit Agreement, dated as of October 8, 2003, between the Company and the various financial institutions named therein),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00"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As provided in the Indenture and subject to certain limitations therein and herein set forth, the transfer of this Note is registrable in the Security Register of the Company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his attorney duly authorized in writing, and thereupon one or more new Notes, of authorized denominations and for the same aggregate principal amount, will be issued to the designated transferee or transferees.</w:t>
      </w:r>
    </w:p>
    <w:p>
      <w:pPr>
        <w:spacing w:after="0" w:line="116" w:lineRule="exact"/>
        <w:rPr>
          <w:sz w:val="20"/>
          <w:szCs w:val="20"/>
          <w:color w:val="auto"/>
        </w:rPr>
      </w:pPr>
    </w:p>
    <w:p>
      <w:pPr>
        <w:jc w:val="both"/>
        <w:ind w:right="220" w:firstLine="913"/>
        <w:spacing w:after="0" w:line="259" w:lineRule="auto"/>
        <w:rPr>
          <w:sz w:val="20"/>
          <w:szCs w:val="20"/>
          <w:color w:val="auto"/>
        </w:rPr>
      </w:pPr>
      <w:r>
        <w:rPr>
          <w:rFonts w:ascii="Arial" w:cs="Arial" w:eastAsia="Arial" w:hAnsi="Arial"/>
          <w:sz w:val="18"/>
          <w:szCs w:val="18"/>
          <w:color w:val="auto"/>
        </w:rPr>
        <w:t>As provided in the Indenture and subject to certain limitations therein and herein set forth, this Note is exchangeable for a like aggregate principal amount of Notes of different authorized denominations but otherwise having the same terms and conditions, as requested by the Holder hereof surrendering the same.</w:t>
      </w:r>
    </w:p>
    <w:p>
      <w:pPr>
        <w:spacing w:after="0" w:line="140" w:lineRule="exact"/>
        <w:rPr>
          <w:sz w:val="20"/>
          <w:szCs w:val="20"/>
          <w:color w:val="auto"/>
        </w:rPr>
      </w:pPr>
    </w:p>
    <w:p>
      <w:pPr>
        <w:jc w:val="center"/>
        <w:ind w:left="700" w:right="460"/>
        <w:spacing w:after="0" w:line="440" w:lineRule="auto"/>
        <w:rPr>
          <w:sz w:val="20"/>
          <w:szCs w:val="20"/>
          <w:color w:val="auto"/>
        </w:rPr>
      </w:pPr>
      <w:r>
        <w:rPr>
          <w:rFonts w:ascii="Arial" w:cs="Arial" w:eastAsia="Arial" w:hAnsi="Arial"/>
          <w:sz w:val="18"/>
          <w:szCs w:val="18"/>
          <w:color w:val="auto"/>
        </w:rPr>
        <w:t>The Securities of this series are issuable only in registered form without coupons in denominations of $1,000 and any integral multiple thereof. 9</w:t>
      </w:r>
    </w:p>
    <w:p>
      <w:pPr>
        <w:sectPr>
          <w:pgSz w:w="11900" w:h="16838" w:orient="portrait"/>
          <w:cols w:equalWidth="0" w:num="1">
            <w:col w:w="11420"/>
          </w:cols>
          <w:pgMar w:left="240" w:top="280" w:right="239" w:bottom="1440" w:gutter="0" w:footer="0" w:header="0"/>
        </w:sectPr>
      </w:pPr>
    </w:p>
    <w:bookmarkStart w:id="60" w:name="page61"/>
    <w:bookmarkEnd w:id="60"/>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service charge shall be made for any such registration of transfer or exchange, but the Company may require payment of a sum sufficient to cover any tax or other governmental charge payable in connection therewith.</w:t>
      </w:r>
    </w:p>
    <w:p>
      <w:pPr>
        <w:spacing w:after="0" w:line="132"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40"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The Indenture and the Notes shall be governed by and construed in accordance with the laws of the State of New York applicable to agreements made and to be performed entirely in such State.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4.2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Security]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6.20% Note due 2017</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CUSIP No. 313747AN7</w:t>
            </w:r>
          </w:p>
        </w:tc>
        <w:tc>
          <w:tcPr>
            <w:tcW w:w="5340" w:type="dxa"/>
            <w:vAlign w:val="bottom"/>
          </w:tcPr>
          <w:p>
            <w:pPr>
              <w:jc w:val="right"/>
              <w:spacing w:after="0"/>
              <w:rPr>
                <w:sz w:val="20"/>
                <w:szCs w:val="20"/>
                <w:color w:val="auto"/>
              </w:rPr>
            </w:pPr>
            <w:r>
              <w:rPr>
                <w:rFonts w:ascii="Arial" w:cs="Arial" w:eastAsia="Arial" w:hAnsi="Arial"/>
                <w:sz w:val="18"/>
                <w:szCs w:val="18"/>
                <w:color w:val="auto"/>
              </w:rPr>
              <w:t>$130,000,000</w:t>
            </w:r>
          </w:p>
        </w:tc>
      </w:tr>
    </w:tbl>
    <w:p>
      <w:pPr>
        <w:spacing w:after="0" w:line="150"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b w:val="1"/>
          <w:bCs w:val="1"/>
          <w:color w:val="auto"/>
        </w:rPr>
        <w:t>UNLESS THIS NOTE IS PRESENTED BY AN AUTHORIZED REPRESENTATIVE OF THE DEPOSITORY TRUST COMPANY (55 WATER STREET, NEW YORK, NEW YORK) TO THE ISSUER OR ITS AGENT FOR REGISTRATION OF TRANSFER, EXCHANGE OR PAYMENT, AND SUCH NOTE ISSUED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13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UNLESS AND UNTIL THIS NOTE IS EXCHANGED IN WHOLE OR IN PART FOR NOTES IN CERTIFICATED FORM, THIS NOTE MAY NOT BE TRANSFERRED EXCEPT AS A WHOLE BY THE DEPOSITORY TO A NOMINEE THEREOF OR BY A NOMINEE THEREOF TO THE DEPOSITORY OR ANOTHER NOMINEE OF THE DEPOSITORY OR BY THE DEPOSITORY OR ANY SUCH NOMINEE TO A SUCCESSOR OF THE DEPOSITORY OR A NOMINEE OF SUCH SUCCESSOR.</w:t>
      </w:r>
    </w:p>
    <w:p>
      <w:pPr>
        <w:spacing w:after="0" w:line="136" w:lineRule="exact"/>
        <w:rPr>
          <w:sz w:val="20"/>
          <w:szCs w:val="20"/>
          <w:color w:val="auto"/>
        </w:rPr>
      </w:pPr>
    </w:p>
    <w:p>
      <w:pPr>
        <w:ind w:right="960"/>
        <w:spacing w:after="0" w:line="275" w:lineRule="auto"/>
        <w:rPr>
          <w:sz w:val="20"/>
          <w:szCs w:val="20"/>
          <w:color w:val="auto"/>
        </w:rPr>
      </w:pPr>
      <w:r>
        <w:rPr>
          <w:rFonts w:ascii="Arial" w:cs="Arial" w:eastAsia="Arial" w:hAnsi="Arial"/>
          <w:sz w:val="18"/>
          <w:szCs w:val="18"/>
          <w:b w:val="1"/>
          <w:bCs w:val="1"/>
          <w:color w:val="auto"/>
        </w:rPr>
        <w:t>THIS NOTE WILL BE ISSUED AND MAY BE TRANSFERRED ONLY IN MINIMUM DENOMINATIONS OF $1,000 AND INTEGRAL MULTIPLES OF $1,000 IN EXCESS THEREOF.</w:t>
      </w:r>
    </w:p>
    <w:p>
      <w:pPr>
        <w:spacing w:after="0" w:line="126"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FEDERAL REALTY INVESTMENT TRUST, a Maryland real estate investment trust (herein referred to as the “Company,” which term includes any successor corporation under the Indenture referred to on the reverse hereof), for value received, hereby promises to pay to Cede &amp; Co. or registered assigns the principal sum of One Hundred Thirty Million Dollars on January 15, 2017 (the “Stated Maturity Date”) or the date fixed for earlier redemption (the “Redemption Date,” and together with the Stated Maturity Date with respect to principal repayable on such date, the “Maturity Date”), and to pay interest thereon from July 17, 2006 or from the most recent interest payment date to which interest has been paid or duly provided for, semi-annually on January 15 and July 15 in each year (each, an “Interest Payment Date”), commencing January 15, 2007, at the rate of 6.20% per annum, until the principal hereof is paid or duly provided for. The interest so payable, and punctually paid or duly provided for, on any Interest Payment Date will, as provided in such Indenture, be paid to the Holder in whose name this Note (or one or more Predecessor Securities) is registered at the close of business on the Regular Record Date for such interest, which shall be on December 31 or June 30 (whether or not a Business Day), as the case may be, next preceding such Interest Payment Date at the office or agency of the Company maintained for such purpose; provided, however, that such interest may be paid, at the Company’s option, by mailing a check to such Holder at its registered</w:t>
      </w:r>
    </w:p>
    <w:p>
      <w:pPr>
        <w:sectPr>
          <w:pgSz w:w="11900" w:h="16838" w:orient="portrait"/>
          <w:cols w:equalWidth="0" w:num="1">
            <w:col w:w="11420"/>
          </w:cols>
          <w:pgMar w:left="240" w:top="125" w:right="239" w:bottom="1440" w:gutter="0" w:footer="0" w:header="0"/>
        </w:sectPr>
      </w:pPr>
    </w:p>
    <w:bookmarkStart w:id="62" w:name="page63"/>
    <w:bookmarkEnd w:id="62"/>
    <w:p>
      <w:pPr>
        <w:ind w:right="1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address or by transfer of funds to an account maintained by such Holder within the United States. Any such interest not so punctually paid or duly provided for shall forthwith cease to be payable to the Holder on such Regular Record Date, and may be paid to the Holder in whose name this Note (or one or more Predecessor Securities) is registered at the close of business on a Special Record Date for the payment of such Defaulted Interest to be fixed by the Trustee referred to on the reverse hereof, notice whereof shall be given to Holders of Notes of this series not less than 10 days prior to such Special Record Date, or may be paid at any time in any other lawful manner not inconsistent with the requirements of any securities exchange on which the Notes of this series may be listed, and upon such notice as may be required by such exchange, all as more fully provided in the Indenture. Interest will be computed on the basis of a 360-day year of twelve 30-day months.</w:t>
      </w:r>
    </w:p>
    <w:p>
      <w:pPr>
        <w:spacing w:after="0" w:line="147" w:lineRule="exact"/>
        <w:rPr>
          <w:sz w:val="20"/>
          <w:szCs w:val="20"/>
          <w:color w:val="auto"/>
        </w:rPr>
      </w:pPr>
    </w:p>
    <w:p>
      <w:pPr>
        <w:ind w:right="280" w:firstLine="913"/>
        <w:spacing w:after="0" w:line="256" w:lineRule="auto"/>
        <w:rPr>
          <w:sz w:val="20"/>
          <w:szCs w:val="20"/>
          <w:color w:val="auto"/>
        </w:rPr>
      </w:pPr>
      <w:r>
        <w:rPr>
          <w:rFonts w:ascii="Arial" w:cs="Arial" w:eastAsia="Arial" w:hAnsi="Arial"/>
          <w:sz w:val="18"/>
          <w:szCs w:val="18"/>
          <w:color w:val="auto"/>
        </w:rPr>
        <w:t>The principal of this Note payable on the Stated Maturity Date or the principal of, premium, if any, and, if the Redemption Date is not an Interest Payment Date, interest on this Note payable on the Redemption Date will be paid against presentation of this Note at the office or agency of the Company maintained for that purpose in the Borough of Manhattan, The City of New York, in such coin or currency of the United States of America as at the time of payment is legal tender for the payment of public and private debts.</w:t>
      </w:r>
    </w:p>
    <w:p>
      <w:pPr>
        <w:spacing w:after="0" w:line="14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Interest payable on this Note on any Interest Payment Date and on the Maturity Date, as the case may be, will include interest accrued from and including the next preceding Interest Payment Date in respect of which interest has been paid or duly provided for (or from and including July 17, 2006, if no interest has been paid on this Note) to but excluding such Interest Payment Date or the Maturity Date, as the case may be. If any Interest Payment Date or the Maturity Date falls on a day that is not a Business Day, as defined below, principal, premium, if any, and/or interest payable with respect to such Interest Payment Date or Maturity Date, as the case may be, will be paid on the next succeeding Business Day with the same force and effect as if it were paid on the date such payment was due, and no interest shall accrue on the amount so payable for the period from and after such Interest Payment Date or Maturity Date, as the case may be. “Business Day” means any day, other than a Saturday or Sunday, on which banks in the City of New York and the City of Charlotte, State of North Carolina, are not required or authorized by law or executive order to close.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All payments of principal, premium, if any, and interest in respect of this Note will be made by the Company in immediately available funds.</w:t>
      </w:r>
    </w:p>
    <w:p>
      <w:pPr>
        <w:spacing w:after="0" w:line="194"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32"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Note shall not be entitled to any benefit under the Indenture, or be valid or obligatory for any purpose.</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space intentionally left blank]</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63" w:name="page64"/>
    <w:bookmarkEnd w:id="6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has caused this instrument to be duly executed.</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July 17, 2006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2540</wp:posOffset>
            </wp:positionV>
            <wp:extent cx="26587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2540</wp:posOffset>
            </wp:positionV>
            <wp:extent cx="26587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Executive Vice President-General Counsel and Secretary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31127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Darlene M. Hough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TRUSTEE’S CERTIFICATE OF AUTHENTICATION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This is the Note of the series designated therein referred to in the within-mentioned Indenture.</w:t>
      </w:r>
    </w:p>
    <w:p>
      <w:pPr>
        <w:spacing w:after="0" w:line="212" w:lineRule="exact"/>
        <w:rPr>
          <w:sz w:val="20"/>
          <w:szCs w:val="20"/>
          <w:color w:val="auto"/>
        </w:rPr>
      </w:pPr>
    </w:p>
    <w:p>
      <w:pPr>
        <w:spacing w:after="0"/>
        <w:tabs>
          <w:tab w:leader="none" w:pos="6920" w:val="left"/>
        </w:tabs>
        <w:rPr>
          <w:sz w:val="20"/>
          <w:szCs w:val="20"/>
          <w:color w:val="auto"/>
        </w:rPr>
      </w:pPr>
      <w:r>
        <w:rPr>
          <w:rFonts w:ascii="Arial" w:cs="Arial" w:eastAsia="Arial" w:hAnsi="Arial"/>
          <w:sz w:val="18"/>
          <w:szCs w:val="18"/>
          <w:color w:val="auto"/>
        </w:rPr>
        <w:t>Dated: July 17, 2006</w:t>
      </w:r>
      <w:r>
        <w:rPr>
          <w:sz w:val="20"/>
          <w:szCs w:val="20"/>
          <w:color w:val="auto"/>
        </w:rPr>
        <w:tab/>
      </w:r>
      <w:r>
        <w:rPr>
          <w:rFonts w:ascii="Arial" w:cs="Arial" w:eastAsia="Arial" w:hAnsi="Arial"/>
          <w:sz w:val="16"/>
          <w:szCs w:val="16"/>
          <w:color w:val="auto"/>
        </w:rPr>
        <w:t>U.S. BANK NATIONAL ASSOCIATION, as Trustee</w:t>
      </w:r>
    </w:p>
    <w:p>
      <w:pPr>
        <w:spacing w:after="0" w:line="225"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2540</wp:posOffset>
            </wp:positionV>
            <wp:extent cx="26073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1240"/>
          </w:cols>
          <w:pgMar w:left="240" w:top="280" w:right="419" w:bottom="1440" w:gutter="0" w:footer="0" w:header="0"/>
        </w:sectPr>
      </w:pPr>
    </w:p>
    <w:bookmarkStart w:id="64" w:name="page65"/>
    <w:bookmarkEnd w:id="64"/>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[Reverse of Security]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FEDERAL REALTY INVESTMENT TRUST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6.20% Note due 2017</w:t>
      </w:r>
    </w:p>
    <w:p>
      <w:pPr>
        <w:spacing w:after="0" w:line="171" w:lineRule="exact"/>
        <w:rPr>
          <w:sz w:val="20"/>
          <w:szCs w:val="20"/>
          <w:color w:val="auto"/>
        </w:rPr>
      </w:pPr>
    </w:p>
    <w:p>
      <w:pPr>
        <w:ind w:firstLine="913"/>
        <w:spacing w:after="0" w:line="307" w:lineRule="auto"/>
        <w:rPr>
          <w:sz w:val="20"/>
          <w:szCs w:val="20"/>
          <w:color w:val="auto"/>
        </w:rPr>
      </w:pPr>
      <w:r>
        <w:rPr>
          <w:rFonts w:ascii="Arial" w:cs="Arial" w:eastAsia="Arial" w:hAnsi="Arial"/>
          <w:sz w:val="15"/>
          <w:szCs w:val="15"/>
          <w:color w:val="auto"/>
        </w:rPr>
        <w:t>This Note is one of a duly authorized issue of securities of the Company (herein called the “Securities”), issued and to be issued in one or more series under an Indenture, dated as of September 1, 1998 (herein called the “Indenture”), between the Company and U.S. Bank National Association, as Trustee (herein called the “Trustee”, which term includes any successor trustee under the Indenture with respect to the series of which this Note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Note is one of the duly authorized series of Securities designated as “6.20% Notes due 2017” (collectively, the “Notes”), and the aggregate principal amount of the Notes to be issued under such series is initially limited to $130,000,000 (except for Notes authenticated and delivered upon transfer of, or in exchange for, or in lieu of other Notes). The Company may, without the consent of the Holders of any Securities, create and issue additional notes in the future having the same terms other than the date of original issuance, the issue price and the date on which interest begins to accrue so as to form a single series with the Notes. The Notes are the unsecured and unsubordinated obligations of the Company and rank equally with all existing and future unsecured and unsubordinated indebtedness of the Company. All terms used in this Note which are defined in the Indenture shall have the meanings assigned to them in the Indenture.</w:t>
      </w:r>
    </w:p>
    <w:p>
      <w:pPr>
        <w:spacing w:after="0" w:line="112"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Notes are subject to redemption at any time, in whole or in part, at the election of the Company, at a redemption price equal to the greater of</w:t>
      </w:r>
    </w:p>
    <w:p>
      <w:pPr>
        <w:spacing w:after="0" w:line="38" w:lineRule="exact"/>
        <w:rPr>
          <w:sz w:val="20"/>
          <w:szCs w:val="20"/>
          <w:color w:val="auto"/>
        </w:rPr>
      </w:pPr>
    </w:p>
    <w:p>
      <w:pPr>
        <w:ind w:right="60" w:firstLine="8"/>
        <w:spacing w:after="0" w:line="290" w:lineRule="auto"/>
        <w:tabs>
          <w:tab w:leader="none" w:pos="249" w:val="left"/>
        </w:tabs>
        <w:numPr>
          <w:ilvl w:val="0"/>
          <w:numId w:val="44"/>
        </w:numPr>
        <w:rPr>
          <w:rFonts w:ascii="Arial" w:cs="Arial" w:eastAsia="Arial" w:hAnsi="Arial"/>
          <w:sz w:val="16"/>
          <w:szCs w:val="16"/>
          <w:color w:val="auto"/>
        </w:rPr>
      </w:pPr>
      <w:r>
        <w:rPr>
          <w:rFonts w:ascii="Arial" w:cs="Arial" w:eastAsia="Arial" w:hAnsi="Arial"/>
          <w:sz w:val="16"/>
          <w:szCs w:val="16"/>
          <w:color w:val="auto"/>
        </w:rPr>
        <w:t>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20 basis points plus, in each case, accrued interest thereon to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left="460"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65" w:name="page66"/>
    <w:bookmarkEnd w:id="65"/>
    <w:p>
      <w:pPr>
        <w:ind w:left="46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Treasury Issue, assuming a price for the Comparable Treasury Issue (expressed as a percentage of its principal amount) equal to the Comparable Treasury Price for such Redemption Date.</w:t>
      </w:r>
    </w:p>
    <w:p>
      <w:pPr>
        <w:spacing w:after="0" w:line="51" w:lineRule="exact"/>
        <w:rPr>
          <w:sz w:val="20"/>
          <w:szCs w:val="20"/>
          <w:color w:val="auto"/>
        </w:rPr>
      </w:pPr>
    </w:p>
    <w:p>
      <w:pPr>
        <w:ind w:left="460" w:right="12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Issue</w:t>
      </w:r>
      <w:r>
        <w:rPr>
          <w:rFonts w:ascii="Arial" w:cs="Arial" w:eastAsia="Arial" w:hAnsi="Arial"/>
          <w:sz w:val="16"/>
          <w:szCs w:val="16"/>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26" w:lineRule="exact"/>
        <w:rPr>
          <w:sz w:val="20"/>
          <w:szCs w:val="20"/>
          <w:color w:val="auto"/>
        </w:rPr>
      </w:pPr>
    </w:p>
    <w:p>
      <w:pPr>
        <w:jc w:val="both"/>
        <w:ind w:left="460" w:right="220" w:firstLine="438"/>
        <w:spacing w:after="0" w:line="259" w:lineRule="auto"/>
        <w:rPr>
          <w:sz w:val="20"/>
          <w:szCs w:val="20"/>
          <w:color w:val="auto"/>
        </w:rPr>
      </w:pP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Date, after excluding the highest and lowest such Reference Treasury Dealer Quotations, or (2) if the Trustee obtains fewer than three such Reference Treasury Dealer quotations, the average of all such Quotations.</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the Company.</w:t>
      </w:r>
    </w:p>
    <w:p>
      <w:pPr>
        <w:spacing w:after="0" w:line="90" w:lineRule="exact"/>
        <w:rPr>
          <w:sz w:val="20"/>
          <w:szCs w:val="20"/>
          <w:color w:val="auto"/>
        </w:rPr>
      </w:pPr>
    </w:p>
    <w:p>
      <w:pPr>
        <w:ind w:left="460" w:right="38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(1) Citigroup Global Markets Inc. and other primary U.S. Government securities dealers in New York City selected by Wachovia Capital Markets, LLC, and their respective successors; provided, however, that if Citigroup Global Markets Inc. ceases to be a primary U.S. Government securities dealer (a “Primary Treasury Dealer”), the Company will substitute therefor another Primary Treasury Dealer; and (2) any other Primary Treasury Dealer selected by the Company.</w:t>
      </w:r>
    </w:p>
    <w:p>
      <w:pPr>
        <w:spacing w:after="0" w:line="62" w:lineRule="exact"/>
        <w:rPr>
          <w:sz w:val="20"/>
          <w:szCs w:val="20"/>
          <w:color w:val="auto"/>
        </w:rPr>
      </w:pPr>
    </w:p>
    <w:p>
      <w:pPr>
        <w:ind w:left="460" w:right="2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43"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Notice of any redemption will be given by mail to Holders of Securities, not less than 30 nor more than 60 days prior to the Redemption Date, all as provided in the Indenture.</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In the event of redemption of this Note in part only, a new Note or Notes for the unredeemed portion hereof shall be issued in the name of the Holder hereof upon the cancellation hereof.</w:t>
      </w:r>
    </w:p>
    <w:p>
      <w:pPr>
        <w:spacing w:after="0" w:line="13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66" w:name="page67"/>
    <w:bookmarkEnd w:id="66"/>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Note shall be conclusive and binding upon such Holder and upon all future Holders of this Note and other Notes issued upon the registration of transfer hereof or in exchange herefor or in lieu hereof, whether or not notation of such consent or waiver is made upon this Note.</w:t>
      </w:r>
    </w:p>
    <w:p>
      <w:pPr>
        <w:spacing w:after="0" w:line="116"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Company, which is absolute and unconditional, to pay the principal of (and premium, if any) and interest on this Note at the times, places and rate, and in the coin or currency, herein prescribed.</w:t>
      </w:r>
    </w:p>
    <w:p>
      <w:pPr>
        <w:spacing w:after="0" w:line="140" w:lineRule="exact"/>
        <w:rPr>
          <w:sz w:val="20"/>
          <w:szCs w:val="20"/>
          <w:color w:val="auto"/>
        </w:rPr>
      </w:pPr>
    </w:p>
    <w:p>
      <w:pPr>
        <w:ind w:firstLine="913"/>
        <w:spacing w:after="0" w:line="310" w:lineRule="auto"/>
        <w:rPr>
          <w:sz w:val="20"/>
          <w:szCs w:val="20"/>
          <w:color w:val="auto"/>
        </w:rPr>
      </w:pPr>
      <w:r>
        <w:rPr>
          <w:rFonts w:ascii="Arial" w:cs="Arial" w:eastAsia="Arial" w:hAnsi="Arial"/>
          <w:sz w:val="15"/>
          <w:szCs w:val="15"/>
          <w:color w:val="auto"/>
        </w:rPr>
        <w:t>The Company will not, and will not permit any Subsidiary to, incur any Debt (as defined below) if, immediately after giving effect to the incurrence of such Debt and the application of the proceeds thereof, the aggregate principal amount of all outstanding Debt of the Company and its Subsidiaries on a consolidated basis determined in accordance with generally accepted accounting principles is greater than 60% of the sum of (without duplication) (i)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w:t>
      </w:r>
    </w:p>
    <w:p>
      <w:pPr>
        <w:spacing w:after="0" w:line="108" w:lineRule="exact"/>
        <w:rPr>
          <w:sz w:val="20"/>
          <w:szCs w:val="20"/>
          <w:color w:val="auto"/>
        </w:rPr>
      </w:pPr>
    </w:p>
    <w:p>
      <w:pPr>
        <w:ind w:right="80" w:firstLine="913"/>
        <w:spacing w:after="0" w:line="283" w:lineRule="auto"/>
        <w:rPr>
          <w:sz w:val="20"/>
          <w:szCs w:val="20"/>
          <w:color w:val="auto"/>
        </w:rPr>
      </w:pPr>
      <w:r>
        <w:rPr>
          <w:rFonts w:ascii="Arial" w:cs="Arial" w:eastAsia="Arial" w:hAnsi="Arial"/>
          <w:sz w:val="16"/>
          <w:szCs w:val="16"/>
          <w:color w:val="auto"/>
        </w:rPr>
        <w:t>In addition to the foregoing limitation on the incurrence of Debt, the Company will not, and will not permit any Subsidiary to, incur any Debt secured by any mortgage, lien, charge, pledge, encumbrance or security interest of any kind upon any of the property of the Company or any Subsidiary if, immediately after giving effect to the incurrence of such Debt and the application of the proceeds thereof, the aggregate principal amount of all outstanding Debt of the Company and its Subsidiaries on a consolidated basis which is secured by any mortgage, lien, charge, pledge, encumbrance or security interest on property of the Company or any Subsidiary is greater than 40% of the sum of (without duplication) (1)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w:t>
      </w:r>
    </w:p>
    <w:p>
      <w:pPr>
        <w:ind w:right="40" w:firstLine="8"/>
        <w:spacing w:after="0" w:line="253" w:lineRule="auto"/>
        <w:tabs>
          <w:tab w:leader="none" w:pos="24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 provided, however, that for purposes of this limitation, the amount of obligations under capital leases shown as a liability on the Company’s consolidated balance sheet shall be deducted from Debt and Total Assets.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67" w:name="page68"/>
    <w:bookmarkEnd w:id="67"/>
    <w:p>
      <w:pPr>
        <w:ind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Furthermore, the Company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(i) such Debt and any other Debt incurred by the Company and its Subsidiaries since the first day of such four-quarter period and the application of the proceeds therefrom, including to refinance other Debt, had occurred at the beginning of such period; (ii) the repayment or retirement of any other Debt by the Company and its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Company or its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2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Furthermore, the Company and its Subsidiaries taken as a whole, will, at all times maintain an Unencumbered Total Asset Value (as defined below) in an amount not less than 150% of the aggregate outstanding principal amount of the unsecured Debt of the Company and its Subsidiaries, taken as a whole.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left="460" w:right="40" w:firstLine="438"/>
        <w:spacing w:after="0" w:line="256" w:lineRule="auto"/>
        <w:rPr>
          <w:sz w:val="20"/>
          <w:szCs w:val="20"/>
          <w:color w:val="auto"/>
        </w:rPr>
      </w:pPr>
      <w:r>
        <w:rPr>
          <w:rFonts w:ascii="Arial" w:cs="Arial" w:eastAsia="Arial" w:hAnsi="Arial"/>
          <w:sz w:val="18"/>
          <w:szCs w:val="18"/>
          <w:color w:val="auto"/>
        </w:rPr>
        <w:t>“Acquired Debt” means Debt of a Person (i) existing at the time such Person becomes a Subsidiary or (ii)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62" w:lineRule="exact"/>
        <w:rPr>
          <w:sz w:val="20"/>
          <w:szCs w:val="20"/>
          <w:color w:val="auto"/>
        </w:rPr>
      </w:pPr>
    </w:p>
    <w:p>
      <w:pPr>
        <w:ind w:left="460" w:right="60" w:firstLine="438"/>
        <w:spacing w:after="0" w:line="370" w:lineRule="auto"/>
        <w:rPr>
          <w:sz w:val="20"/>
          <w:szCs w:val="20"/>
          <w:color w:val="auto"/>
        </w:rPr>
      </w:pPr>
      <w:r>
        <w:rPr>
          <w:rFonts w:ascii="Arial" w:cs="Arial" w:eastAsia="Arial" w:hAnsi="Arial"/>
          <w:sz w:val="15"/>
          <w:szCs w:val="15"/>
          <w:color w:val="auto"/>
        </w:rPr>
        <w:t>“Annual Debt Service Charge” as of any date means the maximum amount which is payable in any period for interest on, and original issue discount of, Debt of the Company and its Subsidiaries and the amount of dividends which are payable in respect of any Disqualified Stock (as defined below).</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68" w:name="page69"/>
    <w:bookmarkEnd w:id="68"/>
    <w:p>
      <w:pPr>
        <w:jc w:val="both"/>
        <w:ind w:right="16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Stock”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59" w:lineRule="exact"/>
        <w:rPr>
          <w:sz w:val="20"/>
          <w:szCs w:val="20"/>
          <w:color w:val="auto"/>
        </w:rPr>
      </w:pPr>
    </w:p>
    <w:p>
      <w:pPr>
        <w:ind w:right="700" w:firstLine="438"/>
        <w:spacing w:after="0" w:line="332" w:lineRule="auto"/>
        <w:rPr>
          <w:sz w:val="20"/>
          <w:szCs w:val="20"/>
          <w:color w:val="auto"/>
        </w:rPr>
      </w:pPr>
      <w:r>
        <w:rPr>
          <w:rFonts w:ascii="Arial" w:cs="Arial" w:eastAsia="Arial" w:hAnsi="Arial"/>
          <w:sz w:val="16"/>
          <w:szCs w:val="16"/>
          <w:color w:val="auto"/>
        </w:rPr>
        <w:t>“Consolidated Income Available for Debt Service” for any period means Funds from Operations (as defined below) of the Company and its Subsidiaries plus amounts which have been deducted for interest on Debt of the Company and its Subsidiaries.</w:t>
      </w:r>
    </w:p>
    <w:p>
      <w:pPr>
        <w:spacing w:after="0" w:line="4" w:lineRule="exact"/>
        <w:rPr>
          <w:sz w:val="20"/>
          <w:szCs w:val="20"/>
          <w:color w:val="auto"/>
        </w:rPr>
      </w:pPr>
    </w:p>
    <w:p>
      <w:pPr>
        <w:ind w:right="60" w:firstLine="438"/>
        <w:spacing w:after="0" w:line="302" w:lineRule="auto"/>
        <w:rPr>
          <w:sz w:val="20"/>
          <w:szCs w:val="20"/>
          <w:color w:val="auto"/>
        </w:rPr>
      </w:pPr>
      <w:r>
        <w:rPr>
          <w:rFonts w:ascii="Arial" w:cs="Arial" w:eastAsia="Arial" w:hAnsi="Arial"/>
          <w:sz w:val="15"/>
          <w:szCs w:val="15"/>
          <w:color w:val="auto"/>
        </w:rPr>
        <w:t>“Debt” means any indebtedness of the Company, or any Subsidiary, whether or not contingent, in respect of (without duplication) (i) borrowed money evidenced by bonds, notes, debentures or similar instruments, (ii) indebtedness secured by any mortgage, pledge, lien, charge, encumbrance or any security interest existing on property owned by the Company or any Subsidiary, (iii)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w:t>
      </w:r>
    </w:p>
    <w:p>
      <w:pPr>
        <w:spacing w:after="0" w:line="2" w:lineRule="exact"/>
        <w:rPr>
          <w:sz w:val="20"/>
          <w:szCs w:val="20"/>
          <w:color w:val="auto"/>
        </w:rPr>
      </w:pPr>
    </w:p>
    <w:p>
      <w:pPr>
        <w:ind w:firstLine="4"/>
        <w:spacing w:after="0" w:line="300" w:lineRule="auto"/>
        <w:tabs>
          <w:tab w:leader="none" w:pos="297"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principal amount of all obligations of the Company or any Subsidiary with respect to redemption, repayment or other repurchase of any Disqualified Stock or (v) any lease of property by the Company or any Subsidiary as lessee which is reflected on the Company’s consolidated balance sheet as a capitalized lease in accordance with generally accepted accounting principles to the extent, in the case of items of indebtedness under (i) through</w:t>
      </w:r>
    </w:p>
    <w:p>
      <w:pPr>
        <w:spacing w:after="0" w:line="1" w:lineRule="exact"/>
        <w:rPr>
          <w:rFonts w:ascii="Arial" w:cs="Arial" w:eastAsia="Arial" w:hAnsi="Arial"/>
          <w:sz w:val="15"/>
          <w:szCs w:val="15"/>
          <w:color w:val="auto"/>
        </w:rPr>
      </w:pPr>
    </w:p>
    <w:p>
      <w:pPr>
        <w:ind w:firstLine="4"/>
        <w:spacing w:after="0" w:line="288" w:lineRule="auto"/>
        <w:tabs>
          <w:tab w:leader="none" w:pos="307" w:val="left"/>
        </w:tabs>
        <w:numPr>
          <w:ilvl w:val="0"/>
          <w:numId w:val="47"/>
        </w:numPr>
        <w:rPr>
          <w:rFonts w:ascii="Arial" w:cs="Arial" w:eastAsia="Arial" w:hAnsi="Arial"/>
          <w:sz w:val="16"/>
          <w:szCs w:val="16"/>
          <w:color w:val="auto"/>
        </w:rPr>
      </w:pPr>
      <w:r>
        <w:rPr>
          <w:rFonts w:ascii="Arial" w:cs="Arial" w:eastAsia="Arial" w:hAnsi="Arial"/>
          <w:sz w:val="16"/>
          <w:szCs w:val="16"/>
          <w:color w:val="auto"/>
        </w:rPr>
        <w:t>above, that any such items (other than letters of credit) would appear as a liability on the Company’s consolidated balance sheet in accordance with generally accepted accounting principles, and also includes, to the extent not otherwise included, any obligation of the Company or any Subsidiary to be liable for, or to pay, as obligor, guarantor or otherwise (other than for purposes of collection in the ordinary course of business or for the purposes of guaranteeing the payment of all amounts due and owing pursuant to leases to which the Company is a party and has assigned its interest, provided that such assignee of the Company is not in default of any amounts due and owing under such leases), Debt of another Person (other than the Company or any Subsidiary) (it being understood that Debt shall be deemed to be incurred by the Company or any Subsidiary whenever the Company or such Subsidiary shall create, assume, guarantee or otherwise become liable in respect thereof).</w:t>
      </w:r>
    </w:p>
    <w:p>
      <w:pPr>
        <w:spacing w:after="0" w:line="42" w:lineRule="exact"/>
        <w:rPr>
          <w:sz w:val="20"/>
          <w:szCs w:val="20"/>
          <w:color w:val="auto"/>
        </w:rPr>
      </w:pPr>
    </w:p>
    <w:p>
      <w:pPr>
        <w:ind w:right="80" w:firstLine="438"/>
        <w:spacing w:after="0" w:line="298" w:lineRule="auto"/>
        <w:rPr>
          <w:sz w:val="20"/>
          <w:szCs w:val="20"/>
          <w:color w:val="auto"/>
        </w:rPr>
      </w:pPr>
      <w:r>
        <w:rPr>
          <w:rFonts w:ascii="Arial" w:cs="Arial" w:eastAsia="Arial" w:hAnsi="Arial"/>
          <w:sz w:val="16"/>
          <w:szCs w:val="16"/>
          <w:color w:val="auto"/>
        </w:rPr>
        <w:t>“Disqualified Stock” means, with respect to any Person, any Capital Stock of such Person which by the terms of such Capital Stock (or by the terms of any security into which it is convertible or for which it is exchangeable or exercisable), upon the happening of any event or otherwise (i) matures or is mandatorily redeemable, pursuant to a sinking fund obligation or otherwise, (ii) is convertible into or exchangeable or exercisable for Debt or Disqualified Stock or (iii) is redeemable at the option of the holder thereof, in whole or in part, in each case on or prior to the Stated Maturity of the Notes.</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69" w:name="page70"/>
    <w:bookmarkEnd w:id="69"/>
    <w:p>
      <w:pPr>
        <w:ind w:left="460" w:right="16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“Funds from Operations” for any period means income available to common shareholders before depreciation and amortization of real estate assets and before extraordinary items less gain on sale of real estate.</w:t>
      </w:r>
    </w:p>
    <w:p>
      <w:pPr>
        <w:spacing w:after="0" w:line="51" w:lineRule="exact"/>
        <w:rPr>
          <w:sz w:val="20"/>
          <w:szCs w:val="20"/>
          <w:color w:val="auto"/>
        </w:rPr>
      </w:pPr>
    </w:p>
    <w:p>
      <w:pPr>
        <w:ind w:left="460" w:right="200" w:firstLine="438"/>
        <w:spacing w:after="0" w:line="332" w:lineRule="auto"/>
        <w:rPr>
          <w:sz w:val="20"/>
          <w:szCs w:val="20"/>
          <w:color w:val="auto"/>
        </w:rPr>
      </w:pPr>
      <w:r>
        <w:rPr>
          <w:rFonts w:ascii="Arial" w:cs="Arial" w:eastAsia="Arial" w:hAnsi="Arial"/>
          <w:sz w:val="16"/>
          <w:szCs w:val="16"/>
          <w:color w:val="auto"/>
        </w:rPr>
        <w:t>“Total Assets” as of any date means the sum of (i) the Company’s and its Subsidiaries’ Undepreciated Real Estate Assets and (ii) all other assets of the Company and its Subsidiaries determined in accordance with generally accepted accounting principles (but excluding goodwill).</w:t>
      </w:r>
    </w:p>
    <w:p>
      <w:pPr>
        <w:spacing w:after="0" w:line="4" w:lineRule="exact"/>
        <w:rPr>
          <w:sz w:val="20"/>
          <w:szCs w:val="20"/>
          <w:color w:val="auto"/>
        </w:rPr>
      </w:pPr>
    </w:p>
    <w:p>
      <w:pPr>
        <w:ind w:left="460" w:right="100" w:firstLine="438"/>
        <w:spacing w:after="0" w:line="259" w:lineRule="auto"/>
        <w:rPr>
          <w:sz w:val="20"/>
          <w:szCs w:val="20"/>
          <w:color w:val="auto"/>
        </w:rPr>
      </w:pPr>
      <w:r>
        <w:rPr>
          <w:rFonts w:ascii="Arial" w:cs="Arial" w:eastAsia="Arial" w:hAnsi="Arial"/>
          <w:sz w:val="18"/>
          <w:szCs w:val="18"/>
          <w:color w:val="auto"/>
        </w:rPr>
        <w:t>“Undepreciated Real Estate Assets” as of any date means the cost (original cost plus capital improvements) of real estate assets of the Company and its Subsidiaries on such date, before depreciation and amortization determined on a consolidated basis in accordance with generally accepted accounting principles.</w:t>
      </w:r>
    </w:p>
    <w:p>
      <w:pPr>
        <w:spacing w:after="0" w:line="59" w:lineRule="exact"/>
        <w:rPr>
          <w:sz w:val="20"/>
          <w:szCs w:val="20"/>
          <w:color w:val="auto"/>
        </w:rPr>
      </w:pPr>
    </w:p>
    <w:p>
      <w:pPr>
        <w:ind w:left="460" w:right="240" w:firstLine="438"/>
        <w:spacing w:after="0" w:line="298" w:lineRule="auto"/>
        <w:rPr>
          <w:sz w:val="20"/>
          <w:szCs w:val="20"/>
          <w:color w:val="auto"/>
        </w:rPr>
      </w:pPr>
      <w:r>
        <w:rPr>
          <w:rFonts w:ascii="Arial" w:cs="Arial" w:eastAsia="Arial" w:hAnsi="Arial"/>
          <w:sz w:val="16"/>
          <w:szCs w:val="16"/>
          <w:color w:val="auto"/>
        </w:rPr>
        <w:t>“Unencumbered Total Asset Value” as of any date means the sum of (i) those Undepreciated Real Estate Assets not encumbered by any mortgage, lien, charge, pledge or security interest and (ii) all other assets of the Company and each of its Subsidiaries on a consolidated basis determined in accordance with generally accepted accounting principles (but excluding intangibles and accounts receivable), in each case which are unencumbered by any mortgage, lien, charge, pledge or security interest.</w:t>
      </w:r>
    </w:p>
    <w:p>
      <w:pPr>
        <w:spacing w:after="0" w:line="113" w:lineRule="exact"/>
        <w:rPr>
          <w:sz w:val="20"/>
          <w:szCs w:val="20"/>
          <w:color w:val="auto"/>
        </w:rPr>
      </w:pPr>
    </w:p>
    <w:p>
      <w:pPr>
        <w:ind w:firstLine="913"/>
        <w:spacing w:after="0" w:line="318" w:lineRule="auto"/>
        <w:rPr>
          <w:sz w:val="20"/>
          <w:szCs w:val="20"/>
          <w:color w:val="auto"/>
        </w:rPr>
      </w:pPr>
      <w:r>
        <w:rPr>
          <w:rFonts w:ascii="Arial" w:cs="Arial" w:eastAsia="Arial" w:hAnsi="Arial"/>
          <w:sz w:val="15"/>
          <w:szCs w:val="15"/>
          <w:color w:val="auto"/>
        </w:rPr>
        <w:t>Furthermore, the Company will, and will cause each of its Subsidiaries to, maintain insurance with financially sound and reputable insurance companies against such risks and in such amounts as is customarily maintained by Persons engaged in similar businesses or as may be required by applicable law, and the Company will from time to time deliver to the Agent (as such term is defined in the Credit Agreement, dated as of October 8, 2003, between the Company and the various financial institutions named therein),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00"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As provided in the Indenture and subject to certain limitations therein and herein set forth, the transfer of this Note is registrable in the Security Register of the Company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his attorney duly authorized in writing, and thereupon one or more new Notes, of authorized denominations and for the same aggregate principal amount, will be issued to the designated transferee or transferees.</w:t>
      </w:r>
    </w:p>
    <w:p>
      <w:pPr>
        <w:spacing w:after="0" w:line="116" w:lineRule="exact"/>
        <w:rPr>
          <w:sz w:val="20"/>
          <w:szCs w:val="20"/>
          <w:color w:val="auto"/>
        </w:rPr>
      </w:pPr>
    </w:p>
    <w:p>
      <w:pPr>
        <w:jc w:val="both"/>
        <w:ind w:right="220" w:firstLine="913"/>
        <w:spacing w:after="0" w:line="259" w:lineRule="auto"/>
        <w:rPr>
          <w:sz w:val="20"/>
          <w:szCs w:val="20"/>
          <w:color w:val="auto"/>
        </w:rPr>
      </w:pPr>
      <w:r>
        <w:rPr>
          <w:rFonts w:ascii="Arial" w:cs="Arial" w:eastAsia="Arial" w:hAnsi="Arial"/>
          <w:sz w:val="18"/>
          <w:szCs w:val="18"/>
          <w:color w:val="auto"/>
        </w:rPr>
        <w:t>As provided in the Indenture and subject to certain limitations therein and herein set forth, this Note is exchangeable for a like aggregate principal amount of Notes of different authorized denominations but otherwise having the same terms and conditions, as requested by the Holder hereof surrendering the same.</w:t>
      </w:r>
    </w:p>
    <w:p>
      <w:pPr>
        <w:spacing w:after="0" w:line="140" w:lineRule="exact"/>
        <w:rPr>
          <w:sz w:val="20"/>
          <w:szCs w:val="20"/>
          <w:color w:val="auto"/>
        </w:rPr>
      </w:pPr>
    </w:p>
    <w:p>
      <w:pPr>
        <w:jc w:val="center"/>
        <w:ind w:left="700" w:right="460"/>
        <w:spacing w:after="0" w:line="440" w:lineRule="auto"/>
        <w:rPr>
          <w:sz w:val="20"/>
          <w:szCs w:val="20"/>
          <w:color w:val="auto"/>
        </w:rPr>
      </w:pPr>
      <w:r>
        <w:rPr>
          <w:rFonts w:ascii="Arial" w:cs="Arial" w:eastAsia="Arial" w:hAnsi="Arial"/>
          <w:sz w:val="18"/>
          <w:szCs w:val="18"/>
          <w:color w:val="auto"/>
        </w:rPr>
        <w:t>The Securities of this series are issuable only in registered form without coupons in denominations of $1,000 and any integral multiple thereof. 9</w:t>
      </w:r>
    </w:p>
    <w:p>
      <w:pPr>
        <w:sectPr>
          <w:pgSz w:w="11900" w:h="16838" w:orient="portrait"/>
          <w:cols w:equalWidth="0" w:num="1">
            <w:col w:w="11420"/>
          </w:cols>
          <w:pgMar w:left="240" w:top="280" w:right="239" w:bottom="1440" w:gutter="0" w:footer="0" w:header="0"/>
        </w:sectPr>
      </w:pPr>
    </w:p>
    <w:bookmarkStart w:id="70" w:name="page71"/>
    <w:bookmarkEnd w:id="70"/>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service charge shall be made for any such registration of transfer or exchange, but the Company may require payment of a sum sufficient to cover any tax or other governmental charge payable in connection therewith.</w:t>
      </w:r>
    </w:p>
    <w:p>
      <w:pPr>
        <w:spacing w:after="0" w:line="132"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40"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The Indenture and the Notes shall be governed by and construed in accordance with the laws of the State of New York applicable to agreements made and to be performed entirely in such State.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 LETTERHEAD]</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13, 2006</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Rockville, Maryland 20852</w:t>
      </w:r>
    </w:p>
    <w:p>
      <w:pPr>
        <w:spacing w:after="0" w:line="1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Federal Realty Investment Trust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Underwritten Public Offering of $120,000,000 of its 6.00% Notes due 2012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and $130,000,000 of its 6.20% Notes due 2017</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acted as counsel to Federal Realty Investment Trust, a Maryland real estate investment trust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filing with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and Exchange Commission under the Securities Act of 1933, as amended, of a prospectus supplement dated July 12, 2006 (the “</w:t>
      </w:r>
      <w:r>
        <w:rPr>
          <w:rFonts w:ascii="Arial" w:cs="Arial" w:eastAsia="Arial" w:hAnsi="Arial"/>
          <w:sz w:val="16"/>
          <w:szCs w:val="16"/>
          <w:b w:val="1"/>
          <w:bCs w:val="1"/>
          <w:color w:val="auto"/>
        </w:rPr>
        <w:t>Prospectus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w:t>
      </w:r>
      <w:r>
        <w:rPr>
          <w:rFonts w:ascii="Arial" w:cs="Arial" w:eastAsia="Arial" w:hAnsi="Arial"/>
          <w:sz w:val="16"/>
          <w:szCs w:val="16"/>
          <w:color w:val="auto"/>
        </w:rPr>
        <w:t>”) to the prospectus dated June 20, 2006 (the “</w:t>
      </w:r>
      <w:r>
        <w:rPr>
          <w:rFonts w:ascii="Arial" w:cs="Arial" w:eastAsia="Arial" w:hAnsi="Arial"/>
          <w:sz w:val="16"/>
          <w:szCs w:val="16"/>
          <w:b w:val="1"/>
          <w:bCs w:val="1"/>
          <w:color w:val="auto"/>
        </w:rPr>
        <w:t>Base Prospectus</w:t>
      </w:r>
      <w:r>
        <w:rPr>
          <w:rFonts w:ascii="Arial" w:cs="Arial" w:eastAsia="Arial" w:hAnsi="Arial"/>
          <w:sz w:val="16"/>
          <w:szCs w:val="16"/>
          <w:color w:val="auto"/>
        </w:rPr>
        <w:t>”) contained in the registration statement on Form S-3 (File No. 333-135159)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which was filed on June 20, 2006. The Base Prospectus and the Prospectus Supplement are together referred to herein 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w:t>
      </w:r>
      <w:r>
        <w:rPr>
          <w:rFonts w:ascii="Arial" w:cs="Arial" w:eastAsia="Arial" w:hAnsi="Arial"/>
          <w:sz w:val="16"/>
          <w:szCs w:val="16"/>
          <w:color w:val="auto"/>
        </w:rPr>
        <w:t>.” The Prospectus relates to the issuance and sale by the Company of $120,000,000 of its 6.00% Notes due 2012 and $130,000,000 of its 6.20%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due 2017 (collectively, the “</w:t>
      </w:r>
      <w:r>
        <w:rPr>
          <w:rFonts w:ascii="Arial" w:cs="Arial" w:eastAsia="Arial" w:hAnsi="Arial"/>
          <w:sz w:val="16"/>
          <w:szCs w:val="16"/>
          <w:b w:val="1"/>
          <w:bCs w:val="1"/>
          <w:color w:val="auto"/>
        </w:rPr>
        <w:t>Notes</w:t>
      </w:r>
      <w:r>
        <w:rPr>
          <w:rFonts w:ascii="Arial" w:cs="Arial" w:eastAsia="Arial" w:hAnsi="Arial"/>
          <w:sz w:val="16"/>
          <w:szCs w:val="16"/>
          <w:color w:val="auto"/>
        </w:rPr>
        <w:t>”), pursuant to the Underwriting Agreement dated July 12, 2006 between the Company and the Underwriters (as defined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below)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and the related Pricing Agreement dated July 12, 2006 between the Company and the Underwriters (the “</w:t>
      </w:r>
      <w:r>
        <w:rPr>
          <w:rFonts w:ascii="Arial" w:cs="Arial" w:eastAsia="Arial" w:hAnsi="Arial"/>
          <w:sz w:val="16"/>
          <w:szCs w:val="16"/>
          <w:b w:val="1"/>
          <w:bCs w:val="1"/>
          <w:color w:val="auto"/>
        </w:rPr>
        <w:t>Pricing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w:t>
      </w:r>
      <w:r>
        <w:rPr>
          <w:rFonts w:ascii="Arial" w:cs="Arial" w:eastAsia="Arial" w:hAnsi="Arial"/>
          <w:sz w:val="16"/>
          <w:szCs w:val="16"/>
          <w:color w:val="auto"/>
        </w:rPr>
        <w:t>”), to the firms named in Schedule I to the Pricing Agreement (the “</w:t>
      </w:r>
      <w:r>
        <w:rPr>
          <w:rFonts w:ascii="Arial" w:cs="Arial" w:eastAsia="Arial" w:hAnsi="Arial"/>
          <w:sz w:val="16"/>
          <w:szCs w:val="16"/>
          <w:b w:val="1"/>
          <w:bCs w:val="1"/>
          <w:color w:val="auto"/>
        </w:rPr>
        <w:t>Underwriters</w:t>
      </w:r>
      <w:r>
        <w:rPr>
          <w:rFonts w:ascii="Arial" w:cs="Arial" w:eastAsia="Arial" w:hAnsi="Arial"/>
          <w:sz w:val="16"/>
          <w:szCs w:val="16"/>
          <w:color w:val="auto"/>
        </w:rPr>
        <w:t>”). The Notes will be offered and sold pursuant to an Indenture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dated as of September 1, 1998 between the Company and U.S. Bank National Association, successor to Wachovia Bank, National Association,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successor to First Union National Bank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rendering our opinion, we have examined the following:</w:t>
      </w:r>
    </w:p>
    <w:p>
      <w:pPr>
        <w:spacing w:after="0" w:line="90"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Prospectus;</w:t>
      </w:r>
    </w:p>
    <w:p>
      <w:pPr>
        <w:sectPr>
          <w:pgSz w:w="11900" w:h="16838" w:orient="portrait"/>
          <w:cols w:equalWidth="0" w:num="1">
            <w:col w:w="11420"/>
          </w:cols>
          <w:pgMar w:left="240" w:top="125" w:right="239" w:bottom="1440" w:gutter="0" w:footer="0" w:header="0"/>
        </w:sectPr>
      </w:pPr>
    </w:p>
    <w:bookmarkStart w:id="72" w:name="page73"/>
    <w:bookmarkEnd w:id="72"/>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13, 2006</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2</w:t>
      </w:r>
    </w:p>
    <w:p>
      <w:pPr>
        <w:spacing w:after="0" w:line="205"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Indenture, as certified by the Secretary of the Company on July 13, 2006;</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Declaration of Trust of the Company, as amended and corrected, as certified by the Maryland State Department of Assessments and Taxation on July 5, 2006;</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Amended and Restated Bylaws, as amended, of the Company, as certified by the Secretary of the Company on July 13, 2006;</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forms of Notes;</w:t>
      </w:r>
    </w:p>
    <w:p>
      <w:pPr>
        <w:spacing w:after="0" w:line="84" w:lineRule="exact"/>
        <w:rPr>
          <w:rFonts w:ascii="Arial" w:cs="Arial" w:eastAsia="Arial" w:hAnsi="Arial"/>
          <w:sz w:val="18"/>
          <w:szCs w:val="18"/>
          <w:color w:val="auto"/>
        </w:rPr>
      </w:pPr>
    </w:p>
    <w:p>
      <w:pPr>
        <w:ind w:left="900" w:right="1000" w:hanging="446"/>
        <w:spacing w:after="0" w:line="275"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resolutions adopted by the Board of Trustees of the Company on February 13, 2004, February 17, 2006 and June 30, 2006 (the “</w:t>
      </w:r>
      <w:r>
        <w:rPr>
          <w:rFonts w:ascii="Arial" w:cs="Arial" w:eastAsia="Arial" w:hAnsi="Arial"/>
          <w:sz w:val="18"/>
          <w:szCs w:val="18"/>
          <w:b w:val="1"/>
          <w:bCs w:val="1"/>
          <w:color w:val="auto"/>
        </w:rPr>
        <w:t>Board</w:t>
      </w:r>
      <w:r>
        <w:rPr>
          <w:rFonts w:ascii="Arial" w:cs="Arial" w:eastAsia="Arial" w:hAnsi="Arial"/>
          <w:sz w:val="18"/>
          <w:szCs w:val="18"/>
          <w:color w:val="auto"/>
        </w:rPr>
        <w:t xml:space="preserve"> </w:t>
      </w:r>
      <w:r>
        <w:rPr>
          <w:rFonts w:ascii="Arial" w:cs="Arial" w:eastAsia="Arial" w:hAnsi="Arial"/>
          <w:sz w:val="18"/>
          <w:szCs w:val="18"/>
          <w:b w:val="1"/>
          <w:bCs w:val="1"/>
          <w:color w:val="auto"/>
        </w:rPr>
        <w:t>Resolutions</w:t>
      </w:r>
      <w:r>
        <w:rPr>
          <w:rFonts w:ascii="Arial" w:cs="Arial" w:eastAsia="Arial" w:hAnsi="Arial"/>
          <w:sz w:val="18"/>
          <w:szCs w:val="18"/>
          <w:color w:val="auto"/>
        </w:rPr>
        <w:t>”), as certified by the Secretary of the Company on July 13, 2006;</w:t>
      </w:r>
    </w:p>
    <w:p>
      <w:pPr>
        <w:spacing w:after="0" w:line="38" w:lineRule="exact"/>
        <w:rPr>
          <w:rFonts w:ascii="Arial" w:cs="Arial" w:eastAsia="Arial" w:hAnsi="Arial"/>
          <w:sz w:val="18"/>
          <w:szCs w:val="18"/>
          <w:color w:val="auto"/>
        </w:rPr>
      </w:pPr>
    </w:p>
    <w:p>
      <w:pPr>
        <w:ind w:left="900" w:right="280" w:hanging="446"/>
        <w:spacing w:after="0" w:line="338"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resolutions adopted by the Pricing Committee of the Board of Trustees of the Company on July 12, 2006 (the “</w:t>
      </w:r>
      <w:r>
        <w:rPr>
          <w:rFonts w:ascii="Arial" w:cs="Arial" w:eastAsia="Arial" w:hAnsi="Arial"/>
          <w:sz w:val="16"/>
          <w:szCs w:val="16"/>
          <w:b w:val="1"/>
          <w:bCs w:val="1"/>
          <w:color w:val="auto"/>
        </w:rPr>
        <w:t>Pricing Committee Resolutions</w:t>
      </w:r>
      <w:r>
        <w:rPr>
          <w:rFonts w:ascii="Arial" w:cs="Arial" w:eastAsia="Arial" w:hAnsi="Arial"/>
          <w:sz w:val="16"/>
          <w:szCs w:val="16"/>
          <w:color w:val="auto"/>
        </w:rPr>
        <w:t>” and, together with the Board Resolutions, the “</w:t>
      </w:r>
      <w:r>
        <w:rPr>
          <w:rFonts w:ascii="Arial" w:cs="Arial" w:eastAsia="Arial" w:hAnsi="Arial"/>
          <w:sz w:val="16"/>
          <w:szCs w:val="16"/>
          <w:b w:val="1"/>
          <w:bCs w:val="1"/>
          <w:color w:val="auto"/>
        </w:rPr>
        <w:t>Resolutions</w:t>
      </w:r>
      <w:r>
        <w:rPr>
          <w:rFonts w:ascii="Arial" w:cs="Arial" w:eastAsia="Arial" w:hAnsi="Arial"/>
          <w:sz w:val="16"/>
          <w:szCs w:val="16"/>
          <w:color w:val="auto"/>
        </w:rPr>
        <w:t>”), as certified by the Secretary of the Company on July 13, 2006;</w:t>
      </w: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certificate of an officer of the Company dated as of the date hereof; and</w:t>
      </w:r>
    </w:p>
    <w:p>
      <w:pPr>
        <w:spacing w:after="0" w:line="90"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other documents, corporate records, certificates of public officials and other instruments as we have deemed necessary for the purposes of rendering this opinion.</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our examination of the aforesaid documents, we have assumed the legal capacity of all natural persons, the genuineness of all signatures, the completeness and authenticity of all documents submitted to us as originals, and the conformity to original documents of all documents submitted to us as certified, telecopied, photostatic or reproduced copies. In connection with the opinions expressed below, we have assumed that, at and prior to the time of the sale and delivery of any Notes pursuant to the Registration Statement, (i) the Resolutions have not been amended, modified or rescinded, (ii) no stop order suspending the effectiveness of the Registration Statement has been issued and no proceedings with respect thereto have been commenced or threatened, and (iii) there has not occurred any change in law materially adversely affecting the power of the Company to offer and sell the Notes or the validity of the Notes.</w:t>
      </w:r>
    </w:p>
    <w:p>
      <w:pPr>
        <w:sectPr>
          <w:pgSz w:w="11900" w:h="16838" w:orient="portrait"/>
          <w:cols w:equalWidth="0" w:num="1">
            <w:col w:w="11380"/>
          </w:cols>
          <w:pgMar w:left="240" w:top="280" w:right="279" w:bottom="1440" w:gutter="0" w:footer="0" w:header="0"/>
        </w:sectPr>
      </w:pPr>
    </w:p>
    <w:bookmarkStart w:id="73" w:name="page74"/>
    <w:bookmarkEnd w:id="73"/>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13, 2006</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3</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also assumed that the offering, sale and delivery of the Notes, and compliance by the Company with the rights, powers, privileges and preferences and other terms of the Notes will not at the time of such offering, sale and delivery violate or conflict with (i) the Declaration of Trust, as then amended, restated and supplemented, and Bylaws, as then amended, restated and supplemented, of the Company, (ii) any provision of any license, indenture, instrument, mortgage, contract, document or agreement to which the Company is then a party or by which the Company is then bound, or (iii) any law or regulation or any decree, judgment or order then applicable to the Company.</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Based upon the foregoing and subject to the limitations and qualifications hereinafter set forth, we are of the opinion that the Notes will constitute legally valid and binding obligations of the Company, enforceable against the Company in accordance with their terms when duly executed and delivered by the Company against payment therefor and countersigned or authenticated by the Trustee in accordance with the Indenture and delivered to and paid for by the purchasers of the Notes in the manner contemplated by the Underwriting Agreement.</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opinion above with respect to the enforceability of obligations may be limited by bankruptcy, insolvency, reorganization, moratorium or other laws affecting creditors’ rights (including, without limitation, the effect of statutory and other law regarding fraudulent conveyances, fraudulent transfers and preferential transfers) and by the exercise of judicial discretion and the application of principles of equity, including, without limitation, requirements of good faith, fair dealing, conscionability and materiality (regardless of whether the Notes are considered in a proceeding in equity or at law). Such opinions shall be understood to mean only that if there is a default in performance of an obligation, (i) if a failure to pay or other damage can be shown and (ii) if the defaulting party can be brought into a court which will hear the case and apply the governing law, then, subject to the availability of defenses and to the exceptions set forth in the previous sentence, the court will provide a money damage (or perhaps injunctive or specific performance) remedy.</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This opinion is limited to the laws of the United States, Maryland law and New York contract law (but not including any statutes, ordinances, administrative decisions, rules or regulations of any political subdivision of the State of New York), in each case excluding choice of law provisions thereof. We render no opinions with respect to the law of any other jurisdiction. Our opinion is rendered only with respect to the laws and</w:t>
      </w:r>
    </w:p>
    <w:p>
      <w:pPr>
        <w:sectPr>
          <w:pgSz w:w="11900" w:h="16838" w:orient="portrait"/>
          <w:cols w:equalWidth="0" w:num="1">
            <w:col w:w="11380"/>
          </w:cols>
          <w:pgMar w:left="240" w:top="280" w:right="27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13, 2006</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4</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rules, regulations and orders thereunder that are currently in effect. We assume no obligation to advise you of any changes in the foregoing subsequent to the delivery of this opinion.</w:t>
      </w:r>
    </w:p>
    <w:p>
      <w:pPr>
        <w:spacing w:after="0" w:line="13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hereby consent to the filing of this opinion as an exhibit to the Registration Statement and to the use of our name in the Prospectus under the caption “Legal Matters.” The giving of this consent, however, does not constitute an admission that we are “experts” within the meaning of Section 11 of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or within the category of persons whose consent is required by Section 7 of the Act.</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PILLSBURY WINTHROP SHAW PITTMAN LLP</w:t>
      </w:r>
    </w:p>
    <w:p>
      <w:pPr>
        <w:sectPr>
          <w:pgSz w:w="11900" w:h="16838" w:orient="portrait"/>
          <w:cols w:equalWidth="0" w:num="1">
            <w:col w:w="11280"/>
          </w:cols>
          <w:pgMar w:left="240" w:top="280" w:right="37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8.1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[PILLSBURY WINTHROP SHAW PITTMAN LETTERHEAD]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13, 2006</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Rockville, Maryland 20852</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registration statement on Form S-3 (the “Registration Statement,” which term includes the prospectus dated June 20, 2006 (the “Base Prospectus”), the prospectus supplement relating to the Notes dated July 12, 2006 (the “Prospectus Supplement”), and all documents incorporated and deemed to be incorporated by reference therein) with the Securities and Exchange Commission, relating to the issuance and sale by the Company of $120,000,000 aggregate principal amount of its 6% notes due 2012 and $130,000,000 aggregate principal amount of its 6.2% notes due 2017 (collectively, the “Notes”).</w:t>
      </w:r>
    </w:p>
    <w:p>
      <w:pPr>
        <w:spacing w:after="0" w:line="144"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 (3) 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2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w:t>
      </w:r>
    </w:p>
    <w:p>
      <w:pPr>
        <w:sectPr>
          <w:pgSz w:w="11900" w:h="16838" w:orient="portrait"/>
          <w:cols w:equalWidth="0" w:num="1">
            <w:col w:w="11420"/>
          </w:cols>
          <w:pgMar w:left="240" w:top="125" w:right="239" w:bottom="1440" w:gutter="0" w:footer="0" w:header="0"/>
        </w:sectPr>
      </w:pPr>
    </w:p>
    <w:bookmarkStart w:id="76" w:name="page77"/>
    <w:bookmarkEnd w:id="76"/>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13, 2006</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representations of the Company are with respect to matters set forth in the Internal 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2006;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(2006) taxable year and for future taxable years, and (iii) the discussions in (x) the Base Prospectus under the caption “Federal Income Tax Consequences,” (y) the Prospectus Supplement under the caption “Certain Federal Income Tax Considerations,” and (z) the Company’s Annual Report on Form 10-K for the year ended December 31, 2005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Base Prospectus under “Federal Income Tax Consequences” are hereby confirmed.</w:t>
      </w:r>
    </w:p>
    <w:p>
      <w:pPr>
        <w:spacing w:after="0" w:line="12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opinions set forth in this letter are based on existing law as contained in the Code, Treasury Regulations (including any Temporary and Proposed Regulations), and interpretations of the foregoing by the Internal Revenue Service (“IRS”)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w:t>
      </w:r>
    </w:p>
    <w:p>
      <w:pPr>
        <w:sectPr>
          <w:pgSz w:w="11900" w:h="16838" w:orient="portrait"/>
          <w:cols w:equalWidth="0" w:num="1">
            <w:col w:w="11420"/>
          </w:cols>
          <w:pgMar w:left="240" w:top="280" w:right="239" w:bottom="1440" w:gutter="0" w:footer="0" w:header="0"/>
        </w:sectPr>
      </w:pPr>
    </w:p>
    <w:bookmarkStart w:id="77" w:name="page78"/>
    <w:bookmarkEnd w:id="77"/>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13,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 assurance can be given as to whether, for any given taxable year, the actual ownership of the Company’s stock and its actual operating results and distributions satisfy the tests necessary to achieve and maintain its status as a REIT.</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PILLSBURY WINTHROP SHAW PITTMAN LLP</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PILLSBURY WINTHROP SHAW PITTMAN LLP</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decimal"/>
      <w:start w:val="1"/>
    </w:lvl>
    <w:lvl w:ilvl="1">
      <w:lvlJc w:val="left"/>
      <w:lvlText w:val="(%2)"/>
      <w:numFmt w:val="lowerLetter"/>
      <w:start w:val="1"/>
    </w:lvl>
  </w:abstractNum>
  <w:abstractNum w:abstractNumId="2">
    <w:nsid w:val="B03E0C6"/>
    <w:multiLevelType w:val="hybridMultilevel"/>
    <w:lvl w:ilvl="0">
      <w:lvlJc w:val="left"/>
      <w:lvlText w:val="(%1)"/>
      <w:numFmt w:val="lowerLetter"/>
      <w:start w:val="2"/>
    </w:lvl>
  </w:abstractNum>
  <w:abstractNum w:abstractNumId="3">
    <w:nsid w:val="189A769B"/>
    <w:multiLevelType w:val="hybridMultilevel"/>
    <w:lvl w:ilvl="0">
      <w:lvlJc w:val="left"/>
      <w:lvlText w:val="(%1)"/>
      <w:numFmt w:val="lowerLetter"/>
      <w:start w:val="3"/>
    </w:lvl>
  </w:abstractNum>
  <w:abstractNum w:abstractNumId="4">
    <w:nsid w:val="54E49EB4"/>
    <w:multiLevelType w:val="hybridMultilevel"/>
    <w:lvl w:ilvl="0">
      <w:lvlJc w:val="left"/>
      <w:lvlText w:val="%1)"/>
      <w:numFmt w:val="decimal"/>
      <w:start w:val="163"/>
    </w:lvl>
    <w:lvl w:ilvl="1">
      <w:lvlJc w:val="left"/>
      <w:lvlText w:val="(%2)"/>
      <w:numFmt w:val="upperLetter"/>
      <w:start w:val="1"/>
    </w:lvl>
  </w:abstractNum>
  <w:abstractNum w:abstractNumId="5">
    <w:nsid w:val="71F32454"/>
    <w:multiLevelType w:val="hybridMultilevel"/>
    <w:lvl w:ilvl="0">
      <w:lvlJc w:val="left"/>
      <w:lvlText w:val="(%1)"/>
      <w:numFmt w:val="lowerLetter"/>
      <w:start w:val="4"/>
    </w:lvl>
  </w:abstractNum>
  <w:abstractNum w:abstractNumId="6">
    <w:nsid w:val="2CA88611"/>
    <w:multiLevelType w:val="hybridMultilevel"/>
    <w:lvl w:ilvl="0">
      <w:lvlJc w:val="left"/>
      <w:lvlText w:val="(%1)"/>
      <w:numFmt w:val="lowerLetter"/>
      <w:start w:val="5"/>
    </w:lvl>
  </w:abstractNum>
  <w:abstractNum w:abstractNumId="7">
    <w:nsid w:val="836C40E"/>
    <w:multiLevelType w:val="hybridMultilevel"/>
    <w:lvl w:ilvl="0">
      <w:lvlJc w:val="left"/>
      <w:lvlText w:val="(%1)"/>
      <w:numFmt w:val="lowerLetter"/>
      <w:start w:val="26"/>
    </w:lvl>
    <w:lvl w:ilvl="1">
      <w:lvlJc w:val="left"/>
      <w:lvlText w:val="(%2)"/>
      <w:numFmt w:val="lowerLetter"/>
      <w:start w:val="8"/>
    </w:lvl>
  </w:abstractNum>
  <w:abstractNum w:abstractNumId="8">
    <w:nsid w:val="2901D82"/>
    <w:multiLevelType w:val="hybridMultilevel"/>
    <w:lvl w:ilvl="0">
      <w:lvlJc w:val="left"/>
      <w:lvlText w:val="(%1)"/>
      <w:numFmt w:val="lowerLetter"/>
      <w:start w:val="11"/>
    </w:lvl>
  </w:abstractNum>
  <w:abstractNum w:abstractNumId="9">
    <w:nsid w:val="3A95F874"/>
    <w:multiLevelType w:val="hybridMultilevel"/>
    <w:lvl w:ilvl="0">
      <w:lvlJc w:val="left"/>
      <w:lvlText w:val="(%1)"/>
      <w:numFmt w:val="lowerLetter"/>
      <w:start w:val="14"/>
    </w:lvl>
  </w:abstractNum>
  <w:abstractNum w:abstractNumId="10">
    <w:nsid w:val="8138641"/>
    <w:multiLevelType w:val="hybridMultilevel"/>
    <w:lvl w:ilvl="0">
      <w:lvlJc w:val="left"/>
      <w:lvlText w:val="%1."/>
      <w:numFmt w:val="decimal"/>
      <w:start w:val="3"/>
    </w:lvl>
    <w:lvl w:ilvl="1">
      <w:lvlJc w:val="left"/>
      <w:lvlText w:val="(%2)"/>
      <w:numFmt w:val="lowerLetter"/>
      <w:start w:val="1"/>
    </w:lvl>
  </w:abstractNum>
  <w:abstractNum w:abstractNumId="11">
    <w:nsid w:val="1E7FF521"/>
    <w:multiLevelType w:val="hybridMultilevel"/>
    <w:lvl w:ilvl="0">
      <w:lvlJc w:val="left"/>
      <w:lvlText w:val="(%1)"/>
      <w:numFmt w:val="lowerLetter"/>
      <w:start w:val="2"/>
    </w:lvl>
  </w:abstractNum>
  <w:abstractNum w:abstractNumId="12">
    <w:nsid w:val="7C3DBD3D"/>
    <w:multiLevelType w:val="hybridMultilevel"/>
    <w:lvl w:ilvl="0">
      <w:lvlJc w:val="left"/>
      <w:lvlText w:val="(%1)"/>
      <w:numFmt w:val="lowerLetter"/>
      <w:start w:val="4"/>
    </w:lvl>
  </w:abstractNum>
  <w:abstractNum w:abstractNumId="13">
    <w:nsid w:val="737B8DDC"/>
    <w:multiLevelType w:val="hybridMultilevel"/>
    <w:lvl w:ilvl="0">
      <w:lvlJc w:val="left"/>
      <w:lvlText w:val="(%1)"/>
      <w:numFmt w:val="lowerLetter"/>
      <w:start w:val="7"/>
    </w:lvl>
  </w:abstractNum>
  <w:abstractNum w:abstractNumId="14">
    <w:nsid w:val="6CEAF087"/>
    <w:multiLevelType w:val="hybridMultilevel"/>
    <w:lvl w:ilvl="0">
      <w:lvlJc w:val="left"/>
      <w:lvlText w:val="%1"/>
      <w:numFmt w:val="lowerRoman"/>
      <w:start w:val="1"/>
    </w:lvl>
    <w:lvl w:ilvl="1">
      <w:lvlJc w:val="left"/>
      <w:lvlText w:val="(%2)"/>
      <w:numFmt w:val="lowerRoman"/>
      <w:start w:val="1"/>
    </w:lvl>
  </w:abstractNum>
  <w:abstractNum w:abstractNumId="15">
    <w:nsid w:val="22221A70"/>
    <w:multiLevelType w:val="hybridMultilevel"/>
    <w:lvl w:ilvl="0">
      <w:lvlJc w:val="left"/>
      <w:lvlText w:val="(%1)"/>
      <w:numFmt w:val="lowerRoman"/>
      <w:start w:val="2"/>
    </w:lvl>
    <w:lvl w:ilvl="1">
      <w:lvlJc w:val="left"/>
      <w:lvlText w:val="%2"/>
      <w:numFmt w:val="lowerRoman"/>
      <w:start w:val="1"/>
    </w:lvl>
  </w:abstractNum>
  <w:abstractNum w:abstractNumId="16">
    <w:nsid w:val="4516DDE9"/>
    <w:multiLevelType w:val="hybridMultilevel"/>
    <w:lvl w:ilvl="0">
      <w:lvlJc w:val="left"/>
      <w:lvlText w:val="%1"/>
      <w:numFmt w:val="decimal"/>
      <w:start w:val="1"/>
    </w:lvl>
    <w:lvl w:ilvl="1">
      <w:lvlJc w:val="left"/>
      <w:lvlText w:val="(%2)"/>
      <w:numFmt w:val="lowerLetter"/>
      <w:start w:val="10"/>
    </w:lvl>
  </w:abstractNum>
  <w:abstractNum w:abstractNumId="17">
    <w:nsid w:val="3006C83E"/>
    <w:multiLevelType w:val="hybridMultilevel"/>
    <w:lvl w:ilvl="0">
      <w:lvlJc w:val="left"/>
      <w:lvlText w:val="%1."/>
      <w:numFmt w:val="decimal"/>
      <w:start w:val="6"/>
    </w:lvl>
    <w:lvl w:ilvl="1">
      <w:lvlJc w:val="left"/>
      <w:lvlText w:val="%2"/>
      <w:numFmt w:val="lowerLetter"/>
      <w:start w:val="1"/>
    </w:lvl>
  </w:abstractNum>
  <w:abstractNum w:abstractNumId="18">
    <w:nsid w:val="614FD4A1"/>
    <w:multiLevelType w:val="hybridMultilevel"/>
    <w:lvl w:ilvl="0">
      <w:lvlJc w:val="left"/>
      <w:lvlText w:val="%1."/>
      <w:numFmt w:val="decimal"/>
      <w:start w:val="7"/>
    </w:lvl>
    <w:lvl w:ilvl="1">
      <w:lvlJc w:val="left"/>
      <w:lvlText w:val="(%2)"/>
      <w:numFmt w:val="lowerLetter"/>
      <w:start w:val="1"/>
    </w:lvl>
  </w:abstractNum>
  <w:abstractNum w:abstractNumId="19">
    <w:nsid w:val="419AC241"/>
    <w:multiLevelType w:val="hybridMultilevel"/>
    <w:lvl w:ilvl="0">
      <w:lvlJc w:val="left"/>
      <w:lvlText w:val="(%1)"/>
      <w:numFmt w:val="lowerLetter"/>
      <w:start w:val="3"/>
    </w:lvl>
  </w:abstractNum>
  <w:abstractNum w:abstractNumId="20">
    <w:nsid w:val="5577F8E1"/>
    <w:multiLevelType w:val="hybridMultilevel"/>
    <w:lvl w:ilvl="0">
      <w:lvlJc w:val="left"/>
      <w:lvlText w:val="%1"/>
      <w:numFmt w:val="lowerLetter"/>
      <w:start w:val="1"/>
    </w:lvl>
    <w:lvl w:ilvl="1">
      <w:lvlJc w:val="left"/>
      <w:lvlText w:val="(%2)"/>
      <w:numFmt w:val="lowerLetter"/>
      <w:start w:val="7"/>
    </w:lvl>
  </w:abstractNum>
  <w:abstractNum w:abstractNumId="21">
    <w:nsid w:val="440BADFC"/>
    <w:multiLevelType w:val="hybridMultilevel"/>
    <w:lvl w:ilvl="0">
      <w:lvlJc w:val="left"/>
      <w:lvlText w:val="(%1)"/>
      <w:numFmt w:val="lowerLetter"/>
      <w:start w:val="26"/>
    </w:lvl>
    <w:lvl w:ilvl="1">
      <w:lvlJc w:val="left"/>
      <w:lvlText w:val="(%2)"/>
      <w:numFmt w:val="lowerLetter"/>
      <w:start w:val="8"/>
    </w:lvl>
  </w:abstractNum>
  <w:abstractNum w:abstractNumId="22">
    <w:nsid w:val="5072367"/>
    <w:multiLevelType w:val="hybridMultilevel"/>
    <w:lvl w:ilvl="0">
      <w:lvlJc w:val="left"/>
      <w:lvlText w:val="%1"/>
      <w:numFmt w:val="decimal"/>
      <w:start w:val="1"/>
    </w:lvl>
    <w:lvl w:ilvl="1">
      <w:lvlJc w:val="left"/>
      <w:lvlText w:val="(%2)"/>
      <w:numFmt w:val="lowerLetter"/>
      <w:start w:val="10"/>
    </w:lvl>
  </w:abstractNum>
  <w:abstractNum w:abstractNumId="23">
    <w:nsid w:val="3804823E"/>
    <w:multiLevelType w:val="hybridMultilevel"/>
    <w:lvl w:ilvl="0">
      <w:lvlJc w:val="left"/>
      <w:lvlText w:val="%1."/>
      <w:numFmt w:val="decimal"/>
      <w:start w:val="8"/>
    </w:lvl>
    <w:lvl w:ilvl="1">
      <w:lvlJc w:val="left"/>
      <w:lvlText w:val="%2"/>
      <w:numFmt w:val="lowerLetter"/>
      <w:start w:val="1"/>
    </w:lvl>
  </w:abstractNum>
  <w:abstractNum w:abstractNumId="24">
    <w:nsid w:val="77465F01"/>
    <w:multiLevelType w:val="hybridMultilevel"/>
    <w:lvl w:ilvl="0">
      <w:lvlJc w:val="left"/>
      <w:lvlText w:val="(%1)"/>
      <w:numFmt w:val="lowerLetter"/>
      <w:start w:val="2"/>
    </w:lvl>
  </w:abstractNum>
  <w:abstractNum w:abstractNumId="25">
    <w:nsid w:val="7724C67E"/>
    <w:multiLevelType w:val="hybridMultilevel"/>
    <w:lvl w:ilvl="0">
      <w:lvlJc w:val="left"/>
      <w:lvlText w:val="%1"/>
      <w:numFmt w:val="lowerLetter"/>
      <w:start w:val="1"/>
    </w:lvl>
    <w:lvl w:ilvl="1">
      <w:lvlJc w:val="left"/>
      <w:lvlText w:val="(%2)"/>
      <w:numFmt w:val="lowerLetter"/>
      <w:start w:val="4"/>
    </w:lvl>
  </w:abstractNum>
  <w:abstractNum w:abstractNumId="26">
    <w:nsid w:val="5C482A97"/>
    <w:multiLevelType w:val="hybridMultilevel"/>
    <w:lvl w:ilvl="0">
      <w:lvlJc w:val="left"/>
      <w:lvlText w:val="(%1)"/>
      <w:numFmt w:val="lowerLetter"/>
      <w:start w:val="2"/>
    </w:lvl>
    <w:lvl w:ilvl="1">
      <w:lvlJc w:val="left"/>
      <w:lvlText w:val="%2"/>
      <w:numFmt w:val="lowerLetter"/>
      <w:start w:val="1"/>
    </w:lvl>
  </w:abstractNum>
  <w:abstractNum w:abstractNumId="27">
    <w:nsid w:val="2463B9EA"/>
    <w:multiLevelType w:val="hybridMultilevel"/>
    <w:lvl w:ilvl="0">
      <w:lvlJc w:val="left"/>
      <w:lvlText w:val="(%1)"/>
      <w:numFmt w:val="lowerLetter"/>
      <w:start w:val="5"/>
    </w:lvl>
  </w:abstractNum>
  <w:abstractNum w:abstractNumId="28">
    <w:nsid w:val="5E884ADC"/>
    <w:multiLevelType w:val="hybridMultilevel"/>
    <w:lvl w:ilvl="0">
      <w:lvlJc w:val="left"/>
      <w:lvlText w:val="%1."/>
      <w:numFmt w:val="decimal"/>
      <w:start w:val="9"/>
    </w:lvl>
  </w:abstractNum>
  <w:abstractNum w:abstractNumId="29">
    <w:nsid w:val="51EAD36B"/>
    <w:multiLevelType w:val="hybridMultilevel"/>
    <w:lvl w:ilvl="0">
      <w:lvlJc w:val="left"/>
      <w:lvlText w:val="(%1)"/>
      <w:numFmt w:val="lowerLetter"/>
      <w:start w:val="2"/>
    </w:lvl>
  </w:abstractNum>
  <w:abstractNum w:abstractNumId="30">
    <w:nsid w:val="2D517796"/>
    <w:multiLevelType w:val="hybridMultilevel"/>
    <w:lvl w:ilvl="0">
      <w:lvlJc w:val="left"/>
      <w:lvlText w:val="(%1)"/>
      <w:numFmt w:val="lowerLetter"/>
      <w:start w:val="3"/>
    </w:lvl>
  </w:abstractNum>
  <w:abstractNum w:abstractNumId="31">
    <w:nsid w:val="580BD78F"/>
    <w:multiLevelType w:val="hybridMultilevel"/>
    <w:lvl w:ilvl="0">
      <w:lvlJc w:val="left"/>
      <w:lvlText w:val="%1."/>
      <w:numFmt w:val="decimal"/>
      <w:start w:val="10"/>
    </w:lvl>
  </w:abstractNum>
  <w:abstractNum w:abstractNumId="32">
    <w:nsid w:val="153EA438"/>
    <w:multiLevelType w:val="hybridMultilevel"/>
    <w:lvl w:ilvl="0">
      <w:lvlJc w:val="left"/>
      <w:lvlText w:val="%1."/>
      <w:numFmt w:val="decimal"/>
      <w:start w:val="13"/>
    </w:lvl>
  </w:abstractNum>
  <w:abstractNum w:abstractNumId="33">
    <w:nsid w:val="3855585C"/>
    <w:multiLevelType w:val="hybridMultilevel"/>
    <w:lvl w:ilvl="0">
      <w:lvlJc w:val="left"/>
      <w:lvlText w:val="(%1)"/>
      <w:numFmt w:val="lowerRoman"/>
      <w:start w:val="1"/>
    </w:lvl>
  </w:abstractNum>
  <w:abstractNum w:abstractNumId="34">
    <w:nsid w:val="70A64E2A"/>
    <w:multiLevelType w:val="hybridMultilevel"/>
    <w:lvl w:ilvl="0">
      <w:lvlJc w:val="left"/>
      <w:lvlText w:val="(%1)"/>
      <w:numFmt w:val="lowerRoman"/>
      <w:start w:val="7"/>
    </w:lvl>
  </w:abstractNum>
  <w:abstractNum w:abstractNumId="35">
    <w:nsid w:val="6A2342EC"/>
    <w:multiLevelType w:val="hybridMultilevel"/>
    <w:lvl w:ilvl="0">
      <w:lvlJc w:val="left"/>
      <w:lvlText w:val="(%1)"/>
      <w:numFmt w:val="lowerRoman"/>
      <w:start w:val="12"/>
    </w:lvl>
  </w:abstractNum>
  <w:abstractNum w:abstractNumId="36">
    <w:nsid w:val="2A487CB0"/>
    <w:multiLevelType w:val="hybridMultilevel"/>
    <w:lvl w:ilvl="0">
      <w:lvlJc w:val="left"/>
      <w:lvlText w:val="(%1)"/>
      <w:numFmt w:val="lowerLetter"/>
      <w:start w:val="1"/>
    </w:lvl>
  </w:abstractNum>
  <w:abstractNum w:abstractNumId="37">
    <w:nsid w:val="1D4ED43B"/>
    <w:multiLevelType w:val="hybridMultilevel"/>
    <w:lvl w:ilvl="0">
      <w:lvlJc w:val="left"/>
      <w:lvlText w:val="(%1)"/>
      <w:numFmt w:val="lowerLetter"/>
      <w:start w:val="2"/>
    </w:lvl>
  </w:abstractNum>
  <w:abstractNum w:abstractNumId="38">
    <w:nsid w:val="725A06FB"/>
    <w:multiLevelType w:val="hybridMultilevel"/>
    <w:lvl w:ilvl="0">
      <w:lvlJc w:val="left"/>
      <w:lvlText w:val="(%1)"/>
      <w:numFmt w:val="lowerLetter"/>
      <w:start w:val="8"/>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decimal"/>
      <w:start w:val="2"/>
    </w:lvl>
  </w:abstractNum>
  <w:abstractNum w:abstractNumId="41">
    <w:nsid w:val="7A6D8D3C"/>
    <w:multiLevelType w:val="hybridMultilevel"/>
    <w:lvl w:ilvl="0">
      <w:lvlJc w:val="left"/>
      <w:lvlText w:val="(%1)"/>
      <w:numFmt w:val="lowerRoman"/>
      <w:start w:val="4"/>
    </w:lvl>
  </w:abstractNum>
  <w:abstractNum w:abstractNumId="42">
    <w:nsid w:val="4B588F54"/>
    <w:multiLevelType w:val="hybridMultilevel"/>
    <w:lvl w:ilvl="0">
      <w:lvlJc w:val="left"/>
      <w:lvlText w:val="(%1)"/>
      <w:numFmt w:val="lowerRoman"/>
      <w:start w:val="3"/>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decimal"/>
      <w:start w:val="2"/>
    </w:lvl>
  </w:abstractNum>
  <w:abstractNum w:abstractNumId="45">
    <w:nsid w:val="38437FDB"/>
    <w:multiLevelType w:val="hybridMultilevel"/>
    <w:lvl w:ilvl="0">
      <w:lvlJc w:val="left"/>
      <w:lvlText w:val="(%1)"/>
      <w:numFmt w:val="lowerRoman"/>
      <w:start w:val="4"/>
    </w:lvl>
  </w:abstractNum>
  <w:abstractNum w:abstractNumId="46">
    <w:nsid w:val="7644A45C"/>
    <w:multiLevelType w:val="hybridMultilevel"/>
    <w:lvl w:ilvl="0">
      <w:lvlJc w:val="left"/>
      <w:lvlText w:val="(%1)"/>
      <w:numFmt w:val="lowerRoman"/>
      <w:start w:val="3"/>
    </w:lvl>
  </w:abstractNum>
  <w:abstractNum w:abstractNumId="47">
    <w:nsid w:val="32FFF902"/>
    <w:multiLevelType w:val="hybridMultilevel"/>
    <w:lvl w:ilvl="0">
      <w:lvlJc w:val="left"/>
      <w:lvlText w:val="(%1)"/>
      <w:numFmt w:val="lowerRoman"/>
      <w:start w:val="1"/>
    </w:lvl>
  </w:abstractNum>
  <w:abstractNum w:abstractNumId="48">
    <w:nsid w:val="684A481A"/>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2019-12-13T00:52:38Z</dcterms:created>
  <dcterms:modified xsi:type="dcterms:W3CDTF">2019-12-13T00:52:38Z</dcterms:modified>
</cp:coreProperties>
</file>