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7"/>
          <w:szCs w:val="17"/>
          <w:b w:val="1"/>
          <w:bCs w:val="1"/>
          <w:color w:val="auto"/>
        </w:rPr>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Schedule 13G</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(Amendment No.:4 )*</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Name of issuer: </w:t>
      </w:r>
      <w:r>
        <w:rPr>
          <w:rFonts w:ascii="Arial" w:cs="Arial" w:eastAsia="Arial" w:hAnsi="Arial"/>
          <w:sz w:val="17"/>
          <w:szCs w:val="17"/>
          <w:b w:val="1"/>
          <w:bCs w:val="1"/>
          <w:color w:val="auto"/>
        </w:rPr>
        <w:t>FEDERAL REALTY INVS TRUST</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2008</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ind w:left="100" w:right="9980" w:hanging="9"/>
        <w:spacing w:after="0" w:line="29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w:t>
      </w:r>
    </w:p>
    <w:p>
      <w:pPr>
        <w:spacing w:after="0" w:line="1"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7"/>
          <w:szCs w:val="17"/>
          <w:color w:val="auto"/>
        </w:rPr>
        <w:t>( ) Rule 13d-1(d)</w:t>
      </w:r>
    </w:p>
    <w:p>
      <w:pPr>
        <w:spacing w:after="0" w:line="220" w:lineRule="exact"/>
        <w:rPr>
          <w:sz w:val="24"/>
          <w:szCs w:val="24"/>
          <w:color w:val="auto"/>
        </w:rPr>
      </w:pPr>
    </w:p>
    <w:p>
      <w:pPr>
        <w:ind w:right="320" w:firstLine="114"/>
        <w:spacing w:after="0" w:line="28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9" w:lineRule="exact"/>
        <w:rPr>
          <w:sz w:val="24"/>
          <w:szCs w:val="24"/>
          <w:color w:val="auto"/>
        </w:rPr>
      </w:pPr>
    </w:p>
    <w:p>
      <w:pPr>
        <w:ind w:firstLine="114"/>
        <w:spacing w:after="0" w:line="31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27138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b w:val="1"/>
          <w:bCs w:val="1"/>
          <w:color w:val="auto"/>
        </w:rPr>
        <w:t>13G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220" w:lineRule="exact"/>
        <w:rPr>
          <w:sz w:val="20"/>
          <w:szCs w:val="20"/>
          <w:color w:val="auto"/>
        </w:rPr>
      </w:pPr>
    </w:p>
    <w:p>
      <w:pPr>
        <w:ind w:left="220" w:hanging="215"/>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THE VANGUARD GROUP, INC. - 23-1945930</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25" w:lineRule="exact"/>
        <w:rPr>
          <w:sz w:val="20"/>
          <w:szCs w:val="20"/>
          <w:color w:val="auto"/>
        </w:rPr>
      </w:pPr>
    </w:p>
    <w:p>
      <w:pPr>
        <w:ind w:left="520"/>
        <w:spacing w:after="0"/>
        <w:tabs>
          <w:tab w:leader="none" w:pos="47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 xml:space="preserve">B. </w:t>
      </w:r>
      <w:r>
        <w:rPr>
          <w:rFonts w:ascii="Arial" w:cs="Arial" w:eastAsia="Arial" w:hAnsi="Arial"/>
          <w:sz w:val="17"/>
          <w:szCs w:val="17"/>
          <w:u w:val="single" w:color="auto"/>
          <w:color w:val="auto"/>
        </w:rPr>
        <w:t>X</w:t>
      </w:r>
    </w:p>
    <w:p>
      <w:pPr>
        <w:spacing w:after="0" w:line="225" w:lineRule="exact"/>
        <w:rPr>
          <w:sz w:val="20"/>
          <w:szCs w:val="20"/>
          <w:color w:val="auto"/>
        </w:rPr>
      </w:pPr>
    </w:p>
    <w:p>
      <w:pPr>
        <w:ind w:left="220" w:hanging="215"/>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100" w:right="6539" w:hanging="95"/>
        <w:spacing w:after="0" w:line="516"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7" w:lineRule="exact"/>
        <w:rPr>
          <w:sz w:val="20"/>
          <w:szCs w:val="20"/>
          <w:color w:val="auto"/>
        </w:rPr>
      </w:pPr>
    </w:p>
    <w:p>
      <w:pPr>
        <w:ind w:left="100" w:right="8279" w:hanging="95"/>
        <w:spacing w:after="0" w:line="516" w:lineRule="auto"/>
        <w:tabs>
          <w:tab w:leader="none" w:pos="185"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26,842</w:t>
      </w:r>
    </w:p>
    <w:p>
      <w:pPr>
        <w:spacing w:after="0" w:line="1" w:lineRule="exact"/>
        <w:rPr>
          <w:rFonts w:ascii="Arial" w:cs="Arial" w:eastAsia="Arial" w:hAnsi="Arial"/>
          <w:sz w:val="17"/>
          <w:szCs w:val="17"/>
          <w:color w:val="auto"/>
        </w:rPr>
      </w:pPr>
    </w:p>
    <w:p>
      <w:pPr>
        <w:ind w:left="180" w:hanging="175"/>
        <w:spacing w:after="0"/>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100" w:right="7859" w:hanging="95"/>
        <w:spacing w:after="0" w:line="516"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4,311,601</w:t>
      </w:r>
    </w:p>
    <w:p>
      <w:pPr>
        <w:spacing w:after="0" w:line="1" w:lineRule="exact"/>
        <w:rPr>
          <w:rFonts w:ascii="Arial" w:cs="Arial" w:eastAsia="Arial" w:hAnsi="Arial"/>
          <w:sz w:val="17"/>
          <w:szCs w:val="17"/>
          <w:color w:val="auto"/>
        </w:rPr>
      </w:pPr>
    </w:p>
    <w:p>
      <w:pPr>
        <w:ind w:left="220" w:hanging="215"/>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100" w:right="3779" w:hanging="95"/>
        <w:spacing w:after="0" w:line="516"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4,311,601</w:t>
      </w:r>
    </w:p>
    <w:p>
      <w:pPr>
        <w:spacing w:after="0" w:line="1" w:lineRule="exact"/>
        <w:rPr>
          <w:rFonts w:ascii="Arial" w:cs="Arial" w:eastAsia="Arial" w:hAnsi="Arial"/>
          <w:sz w:val="17"/>
          <w:szCs w:val="17"/>
          <w:color w:val="auto"/>
        </w:rPr>
      </w:pPr>
    </w:p>
    <w:p>
      <w:pPr>
        <w:ind w:left="100" w:right="3199" w:hanging="95"/>
        <w:spacing w:after="0" w:line="516"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5"/>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7.31%</w:t>
      </w:r>
    </w:p>
    <w:p>
      <w:pPr>
        <w:spacing w:after="0" w:line="225" w:lineRule="exact"/>
        <w:rPr>
          <w:sz w:val="20"/>
          <w:szCs w:val="20"/>
          <w:color w:val="auto"/>
        </w:rPr>
      </w:pPr>
    </w:p>
    <w:p>
      <w:pPr>
        <w:ind w:left="300" w:hanging="295"/>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25"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2713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14" w:lineRule="exact"/>
        <w:rPr>
          <w:sz w:val="20"/>
          <w:szCs w:val="20"/>
          <w:color w:val="auto"/>
        </w:rPr>
      </w:pPr>
    </w:p>
    <w:p>
      <w:pPr>
        <w:ind w:right="4219"/>
        <w:spacing w:after="0" w:line="520" w:lineRule="auto"/>
        <w:rPr>
          <w:sz w:val="20"/>
          <w:szCs w:val="20"/>
          <w:color w:val="auto"/>
        </w:rPr>
      </w:pPr>
      <w:r>
        <w:rPr>
          <w:rFonts w:ascii="Arial" w:cs="Arial" w:eastAsia="Arial" w:hAnsi="Arial"/>
          <w:sz w:val="17"/>
          <w:szCs w:val="17"/>
          <w:color w:val="auto"/>
        </w:rPr>
        <w:t xml:space="preserve">Check the following [line] if a fee is being paid with this statement </w:t>
      </w:r>
      <w:r>
        <w:rPr>
          <w:rFonts w:ascii="Arial" w:cs="Arial" w:eastAsia="Arial" w:hAnsi="Arial"/>
          <w:sz w:val="17"/>
          <w:szCs w:val="17"/>
          <w:b w:val="1"/>
          <w:bCs w:val="1"/>
          <w:color w:val="auto"/>
        </w:rPr>
        <w:t>N/A</w:t>
      </w:r>
      <w:r>
        <w:rPr>
          <w:rFonts w:ascii="Arial" w:cs="Arial" w:eastAsia="Arial" w:hAnsi="Arial"/>
          <w:sz w:val="17"/>
          <w:szCs w:val="17"/>
          <w:color w:val="auto"/>
        </w:rPr>
        <w:t xml:space="preserve"> </w:t>
      </w:r>
      <w:r>
        <w:rPr>
          <w:rFonts w:ascii="Arial" w:cs="Arial" w:eastAsia="Arial" w:hAnsi="Arial"/>
          <w:sz w:val="17"/>
          <w:szCs w:val="17"/>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FEDERAL REALTY INVS TRUST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MD 20852-4041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Malvern, PA 19355</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This statement is being filed pursuant to Rule 13d-1. An Investment Advisor in accordance with §240.13-d 1(b)(1)(ii)(E)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5" w:lineRule="exact"/>
        <w:rPr>
          <w:sz w:val="20"/>
          <w:szCs w:val="20"/>
          <w:color w:val="auto"/>
        </w:rPr>
      </w:pPr>
    </w:p>
    <w:p>
      <w:pPr>
        <w:ind w:left="100" w:right="7959" w:hanging="95"/>
        <w:spacing w:after="0" w:line="516" w:lineRule="auto"/>
        <w:tabs>
          <w:tab w:leader="none" w:pos="247"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4,311,601</w:t>
      </w:r>
    </w:p>
    <w:p>
      <w:pPr>
        <w:spacing w:after="0" w:line="1" w:lineRule="exact"/>
        <w:rPr>
          <w:rFonts w:ascii="Arial" w:cs="Arial" w:eastAsia="Arial" w:hAnsi="Arial"/>
          <w:sz w:val="17"/>
          <w:szCs w:val="17"/>
          <w:color w:val="auto"/>
        </w:rPr>
      </w:pPr>
    </w:p>
    <w:p>
      <w:pPr>
        <w:ind w:left="240" w:hanging="235"/>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2713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ind w:left="360" w:hanging="26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9" w:lineRule="exact"/>
        <w:rPr>
          <w:rFonts w:ascii="Arial" w:cs="Arial" w:eastAsia="Arial" w:hAnsi="Arial"/>
          <w:sz w:val="17"/>
          <w:szCs w:val="17"/>
          <w:color w:val="auto"/>
        </w:rPr>
      </w:pPr>
    </w:p>
    <w:p>
      <w:pPr>
        <w:ind w:left="720" w:hanging="239"/>
        <w:spacing w:after="0"/>
        <w:tabs>
          <w:tab w:leader="none" w:pos="720"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sole power to vote or direct to vote: </w:t>
      </w:r>
      <w:r>
        <w:rPr>
          <w:rFonts w:ascii="Arial" w:cs="Arial" w:eastAsia="Arial" w:hAnsi="Arial"/>
          <w:sz w:val="17"/>
          <w:szCs w:val="17"/>
          <w:b w:val="1"/>
          <w:bCs w:val="1"/>
          <w:color w:val="auto"/>
        </w:rPr>
        <w:t>26,842</w:t>
      </w:r>
    </w:p>
    <w:p>
      <w:pPr>
        <w:spacing w:after="0" w:line="231" w:lineRule="exact"/>
        <w:rPr>
          <w:rFonts w:ascii="Arial" w:cs="Arial" w:eastAsia="Arial" w:hAnsi="Arial"/>
          <w:sz w:val="17"/>
          <w:szCs w:val="17"/>
          <w:color w:val="auto"/>
        </w:rPr>
      </w:pPr>
    </w:p>
    <w:p>
      <w:pPr>
        <w:ind w:left="780" w:hanging="299"/>
        <w:spacing w:after="0"/>
        <w:tabs>
          <w:tab w:leader="none" w:pos="780" w:val="left"/>
        </w:tabs>
        <w:numPr>
          <w:ilvl w:val="1"/>
          <w:numId w:val="7"/>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9" w:lineRule="exact"/>
        <w:rPr>
          <w:rFonts w:ascii="Arial" w:cs="Arial" w:eastAsia="Arial" w:hAnsi="Arial"/>
          <w:sz w:val="17"/>
          <w:szCs w:val="17"/>
          <w:color w:val="auto"/>
        </w:rPr>
      </w:pPr>
    </w:p>
    <w:p>
      <w:pPr>
        <w:ind w:left="820" w:hanging="339"/>
        <w:spacing w:after="0"/>
        <w:tabs>
          <w:tab w:leader="none" w:pos="820"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sole power to dispose of or to direct the disposition of: </w:t>
      </w:r>
      <w:r>
        <w:rPr>
          <w:rFonts w:ascii="Arial" w:cs="Arial" w:eastAsia="Arial" w:hAnsi="Arial"/>
          <w:sz w:val="17"/>
          <w:szCs w:val="17"/>
          <w:b w:val="1"/>
          <w:bCs w:val="1"/>
          <w:color w:val="auto"/>
        </w:rPr>
        <w:t>4,311,601</w:t>
      </w:r>
    </w:p>
    <w:p>
      <w:pPr>
        <w:spacing w:after="0" w:line="231" w:lineRule="exact"/>
        <w:rPr>
          <w:rFonts w:ascii="Arial" w:cs="Arial" w:eastAsia="Arial" w:hAnsi="Arial"/>
          <w:sz w:val="17"/>
          <w:szCs w:val="17"/>
          <w:color w:val="auto"/>
        </w:rPr>
      </w:pPr>
    </w:p>
    <w:p>
      <w:pPr>
        <w:ind w:left="820" w:hanging="339"/>
        <w:spacing w:after="0"/>
        <w:tabs>
          <w:tab w:leader="none" w:pos="820" w:val="left"/>
        </w:tabs>
        <w:numPr>
          <w:ilvl w:val="1"/>
          <w:numId w:val="7"/>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u w:val="single" w:color="auto"/>
          <w:color w:val="auto"/>
        </w:rPr>
        <w:t>Comments:</w:t>
      </w:r>
    </w:p>
    <w:p>
      <w:pPr>
        <w:spacing w:after="0" w:line="225" w:lineRule="exact"/>
        <w:rPr>
          <w:rFonts w:ascii="Arial" w:cs="Arial" w:eastAsia="Arial" w:hAnsi="Arial"/>
          <w:sz w:val="17"/>
          <w:szCs w:val="17"/>
          <w:color w:val="auto"/>
        </w:rPr>
      </w:pPr>
    </w:p>
    <w:p>
      <w:pPr>
        <w:ind w:left="100" w:right="7460" w:hanging="86"/>
        <w:spacing w:after="0" w:line="516" w:lineRule="auto"/>
        <w:rPr>
          <w:rFonts w:ascii="Arial" w:cs="Arial" w:eastAsia="Arial" w:hAnsi="Arial"/>
          <w:sz w:val="17"/>
          <w:szCs w:val="17"/>
          <w:color w:val="auto"/>
        </w:rPr>
      </w:pPr>
      <w:r>
        <w:rPr>
          <w:rFonts w:ascii="Arial" w:cs="Arial" w:eastAsia="Arial" w:hAnsi="Arial"/>
          <w:sz w:val="17"/>
          <w:szCs w:val="17"/>
          <w:u w:val="single" w:color="auto"/>
          <w:color w:val="auto"/>
        </w:rPr>
        <w:t xml:space="preserve">Item 5 - Ownership of Five Percent or Less of a Class: </w:t>
      </w:r>
      <w:r>
        <w:rPr>
          <w:rFonts w:ascii="Arial" w:cs="Arial" w:eastAsia="Arial" w:hAnsi="Arial"/>
          <w:sz w:val="17"/>
          <w:szCs w:val="17"/>
          <w:color w:val="auto"/>
        </w:rPr>
        <w:t>Not Applicable</w:t>
      </w:r>
    </w:p>
    <w:p>
      <w:pPr>
        <w:spacing w:after="0" w:line="1" w:lineRule="exact"/>
        <w:rPr>
          <w:rFonts w:ascii="Arial" w:cs="Arial" w:eastAsia="Arial" w:hAnsi="Arial"/>
          <w:sz w:val="17"/>
          <w:szCs w:val="17"/>
          <w:color w:val="auto"/>
        </w:rPr>
      </w:pPr>
    </w:p>
    <w:p>
      <w:pPr>
        <w:ind w:left="100" w:right="5900" w:hanging="86"/>
        <w:spacing w:after="0" w:line="516" w:lineRule="auto"/>
        <w:rPr>
          <w:rFonts w:ascii="Arial" w:cs="Arial" w:eastAsia="Arial" w:hAnsi="Arial"/>
          <w:sz w:val="17"/>
          <w:szCs w:val="17"/>
          <w:color w:val="auto"/>
        </w:rPr>
      </w:pPr>
      <w:r>
        <w:rPr>
          <w:rFonts w:ascii="Arial" w:cs="Arial" w:eastAsia="Arial" w:hAnsi="Arial"/>
          <w:sz w:val="17"/>
          <w:szCs w:val="17"/>
          <w:u w:val="single" w:color="auto"/>
          <w:color w:val="auto"/>
        </w:rPr>
        <w:t xml:space="preserve">Item 6 - Ownership of More Than Five Percent on Behalf of Another Person: </w:t>
      </w:r>
      <w:r>
        <w:rPr>
          <w:rFonts w:ascii="Arial" w:cs="Arial" w:eastAsia="Arial" w:hAnsi="Arial"/>
          <w:sz w:val="17"/>
          <w:szCs w:val="17"/>
          <w:color w:val="auto"/>
        </w:rPr>
        <w:t>Not applicable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See Attached Appendix A</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5" w:lineRule="exact"/>
        <w:rPr>
          <w:sz w:val="20"/>
          <w:szCs w:val="20"/>
          <w:color w:val="auto"/>
        </w:rPr>
      </w:pPr>
    </w:p>
    <w:p>
      <w:pPr>
        <w:jc w:val="both"/>
        <w:ind w:firstLine="114"/>
        <w:spacing w:after="0" w:line="27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0000FF"/>
        </w:rPr>
        <w:t xml:space="preserve">Date: </w:t>
      </w:r>
      <w:r>
        <w:rPr>
          <w:rFonts w:ascii="Arial" w:cs="Arial" w:eastAsia="Arial" w:hAnsi="Arial"/>
          <w:sz w:val="17"/>
          <w:szCs w:val="17"/>
          <w:u w:val="single" w:color="auto"/>
          <w:color w:val="0000FF"/>
        </w:rPr>
        <w:t>2-13-2009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-9525</wp:posOffset>
            </wp:positionV>
            <wp:extent cx="1211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 William McNabb III</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27138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instructions of Item 7 of Schedule 13G, Vanguard Fiduciary Trust Company ("VFTC"), a wholly-owned subsidiary of The Vanguard Group, Inc., is the beneficial owner of 26,842 shares or 0.05% of the Common Stock outstanding of the Company as a result of its serving as investment manager of collective trust accounts. VFTC directs the voting of these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-9525</wp:posOffset>
            </wp:positionV>
            <wp:extent cx="1211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William McNabb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*By: /s/ Glenn Booraem</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3"/>
          <w:szCs w:val="13"/>
          <w:color w:val="auto"/>
        </w:rPr>
        <w:t>Glenn Booream, pursuant to a Power of Attorney filed on February 9, 2009, see File Number 811-3916, Incorporated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2019-12-09T23:05:51Z</dcterms:created>
  <dcterms:modified xsi:type="dcterms:W3CDTF">2019-12-09T23:05:51Z</dcterms:modified>
</cp:coreProperties>
</file>