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2,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August 2, 2006, Federal Realty Investment Trust issued supplemental data pertaining to its operations, as well as a press release, to report its financial results for the quarter ended June 30, 2006. The supplemental data and press release are furnished as Exhibit 99.1 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212" w:lineRule="exact"/>
        <w:rPr>
          <w:sz w:val="20"/>
          <w:szCs w:val="20"/>
          <w:color w:val="auto"/>
        </w:rPr>
      </w:pPr>
    </w:p>
    <w:p>
      <w:pPr>
        <w:ind w:left="48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2006 (including press release dated August 2, 2006)</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60" w:val="left"/>
          <w:tab w:leader="none" w:pos="6040" w:val="left"/>
        </w:tabs>
        <w:rPr>
          <w:sz w:val="20"/>
          <w:szCs w:val="20"/>
          <w:color w:val="auto"/>
        </w:rPr>
      </w:pPr>
      <w:r>
        <w:rPr>
          <w:rFonts w:ascii="Arial" w:cs="Arial" w:eastAsia="Arial" w:hAnsi="Arial"/>
          <w:sz w:val="18"/>
          <w:szCs w:val="18"/>
          <w:color w:val="auto"/>
        </w:rPr>
        <w:t>Date:</w:t>
        <w:tab/>
        <w:t>August 2, 2006</w:t>
      </w:r>
      <w:r>
        <w:rPr>
          <w:sz w:val="20"/>
          <w:szCs w:val="20"/>
          <w:color w:val="auto"/>
        </w:rPr>
        <w:tab/>
      </w:r>
      <w:r>
        <w:rPr>
          <w:rFonts w:ascii="Arial" w:cs="Arial" w:eastAsia="Arial" w:hAnsi="Arial"/>
          <w:sz w:val="16"/>
          <w:szCs w:val="16"/>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Larry E. Finger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8890</wp:posOffset>
            </wp:positionV>
            <wp:extent cx="6740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07"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2006</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99"/>
          </w:cols>
          <w:pgMar w:left="260" w:top="28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291"/>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216"/>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94"/>
              </w:rPr>
              <w:t>SUPPLEMENTAL INFORMATION</w:t>
            </w:r>
          </w:p>
        </w:tc>
        <w:tc>
          <w:tcPr>
            <w:tcW w:w="2440" w:type="dxa"/>
            <w:vAlign w:val="bottom"/>
          </w:tcPr>
          <w:p>
            <w:pPr>
              <w:spacing w:after="0"/>
              <w:rPr>
                <w:sz w:val="18"/>
                <w:szCs w:val="18"/>
                <w:color w:val="auto"/>
              </w:rPr>
            </w:pPr>
          </w:p>
        </w:tc>
      </w:tr>
      <w:tr>
        <w:trPr>
          <w:trHeight w:val="222"/>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88"/>
              </w:rPr>
              <w:t>JUNE 30, 2006</w:t>
            </w:r>
          </w:p>
        </w:tc>
        <w:tc>
          <w:tcPr>
            <w:tcW w:w="2440" w:type="dxa"/>
            <w:vAlign w:val="bottom"/>
          </w:tcPr>
          <w:p>
            <w:pPr>
              <w:spacing w:after="0"/>
              <w:rPr>
                <w:sz w:val="19"/>
                <w:szCs w:val="19"/>
                <w:color w:val="auto"/>
              </w:rPr>
            </w:pPr>
          </w:p>
        </w:tc>
      </w:tr>
      <w:tr>
        <w:trPr>
          <w:trHeight w:val="378"/>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419"/>
        </w:trPr>
        <w:tc>
          <w:tcPr>
            <w:tcW w:w="8980" w:type="dxa"/>
            <w:vAlign w:val="bottom"/>
          </w:tcPr>
          <w:p>
            <w:pPr>
              <w:spacing w:after="0"/>
              <w:rPr>
                <w:sz w:val="20"/>
                <w:szCs w:val="20"/>
                <w:color w:val="auto"/>
              </w:rPr>
            </w:pPr>
            <w:r>
              <w:rPr>
                <w:rFonts w:ascii="Arial" w:cs="Arial" w:eastAsia="Arial" w:hAnsi="Arial"/>
                <w:sz w:val="18"/>
                <w:szCs w:val="18"/>
                <w:color w:val="auto"/>
              </w:rPr>
              <w:t>1.   Second Quarter 2006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Operating Results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Market Data</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980" w:type="dxa"/>
            <w:vAlign w:val="bottom"/>
          </w:tcPr>
          <w:p>
            <w:pPr>
              <w:ind w:left="76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Outstanding Debt and Capital Lease Obligations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8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Debt Maturities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88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880" w:type="dxa"/>
            <w:vAlign w:val="bottom"/>
          </w:tcPr>
          <w:p>
            <w:pPr>
              <w:ind w:left="60"/>
              <w:spacing w:after="0"/>
              <w:rPr>
                <w:sz w:val="20"/>
                <w:szCs w:val="20"/>
                <w:color w:val="auto"/>
              </w:rPr>
            </w:pPr>
            <w:r>
              <w:rPr>
                <w:rFonts w:ascii="Arial" w:cs="Arial" w:eastAsia="Arial" w:hAnsi="Arial"/>
                <w:sz w:val="18"/>
                <w:szCs w:val="18"/>
                <w:color w:val="auto"/>
              </w:rPr>
              <w:t>Santana Row Summary</w:t>
            </w:r>
          </w:p>
        </w:tc>
        <w:tc>
          <w:tcPr>
            <w:tcW w:w="3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880" w:type="dxa"/>
            <w:vAlign w:val="bottom"/>
          </w:tcPr>
          <w:p>
            <w:pPr>
              <w:ind w:left="60"/>
              <w:spacing w:after="0"/>
              <w:rPr>
                <w:sz w:val="20"/>
                <w:szCs w:val="20"/>
                <w:color w:val="auto"/>
              </w:rPr>
            </w:pPr>
            <w:r>
              <w:rPr>
                <w:rFonts w:ascii="Arial" w:cs="Arial" w:eastAsia="Arial" w:hAnsi="Arial"/>
                <w:sz w:val="18"/>
                <w:szCs w:val="18"/>
                <w:color w:val="auto"/>
              </w:rPr>
              <w:t>2006 Significant Acquisitions and Dispositions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88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88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88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88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88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88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88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2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Summarized Operating Results and Balance Sheets</w:t>
            </w:r>
          </w:p>
        </w:tc>
        <w:tc>
          <w:tcPr>
            <w:tcW w:w="3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Outstanding Debt and Debt Maturities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Significant Acquisitions and Dispositions</w:t>
            </w:r>
          </w:p>
        </w:tc>
        <w:tc>
          <w:tcPr>
            <w:tcW w:w="3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8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Real Estate Status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788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3, 2006 (as amended), and include the following:</w:t>
      </w:r>
    </w:p>
    <w:p>
      <w:pPr>
        <w:spacing w:after="0" w:line="6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i w:val="1"/>
          <w:iCs w:val="1"/>
          <w:color w:val="auto"/>
        </w:rPr>
      </w:pPr>
    </w:p>
    <w:p>
      <w:pPr>
        <w:ind w:left="780" w:right="440" w:hanging="326"/>
        <w:spacing w:after="0" w:line="332" w:lineRule="auto"/>
        <w:tabs>
          <w:tab w:leader="none" w:pos="7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780" w:hanging="326"/>
        <w:spacing w:after="0"/>
        <w:tabs>
          <w:tab w:leader="none" w:pos="7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sell the condominium units at Santana Row for the expected prices or within the anticipated time frames;</w:t>
      </w:r>
    </w:p>
    <w:p>
      <w:pPr>
        <w:spacing w:after="0" w:line="113" w:lineRule="exact"/>
        <w:rPr>
          <w:rFonts w:ascii="Arial" w:cs="Arial" w:eastAsia="Arial" w:hAnsi="Arial"/>
          <w:sz w:val="16"/>
          <w:szCs w:val="16"/>
          <w:i w:val="1"/>
          <w:iCs w:val="1"/>
          <w:color w:val="auto"/>
        </w:rPr>
      </w:pPr>
    </w:p>
    <w:p>
      <w:pPr>
        <w:ind w:left="780" w:right="80" w:hanging="326"/>
        <w:spacing w:after="0" w:line="268" w:lineRule="auto"/>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780" w:hanging="326"/>
        <w:spacing w:after="0" w:line="256" w:lineRule="auto"/>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62" w:lineRule="exact"/>
        <w:rPr>
          <w:rFonts w:ascii="Arial" w:cs="Arial" w:eastAsia="Arial" w:hAnsi="Arial"/>
          <w:sz w:val="18"/>
          <w:szCs w:val="18"/>
          <w:i w:val="1"/>
          <w:iCs w:val="1"/>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780" w:right="140" w:hanging="326"/>
        <w:spacing w:after="0" w:line="259" w:lineRule="auto"/>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780" w:right="160" w:hanging="326"/>
        <w:spacing w:after="0" w:line="259" w:lineRule="auto"/>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3, 2006 (as amended).</w:t>
      </w:r>
    </w:p>
    <w:p>
      <w:pPr>
        <w:sectPr>
          <w:pgSz w:w="11900" w:h="16838" w:orient="portrait"/>
          <w:cols w:equalWidth="0" w:num="1">
            <w:col w:w="11380"/>
          </w:cols>
          <w:pgMar w:left="240" w:top="274" w:right="2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63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100" w:type="dxa"/>
            <w:vAlign w:val="bottom"/>
          </w:tcPr>
          <w:p>
            <w:pPr>
              <w:spacing w:after="0"/>
              <w:rPr>
                <w:sz w:val="19"/>
                <w:szCs w:val="19"/>
                <w:color w:val="auto"/>
              </w:rPr>
            </w:pPr>
          </w:p>
        </w:tc>
      </w:tr>
      <w:tr>
        <w:trPr>
          <w:trHeight w:val="380"/>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310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780" w:type="dxa"/>
            <w:vAlign w:val="bottom"/>
          </w:tcPr>
          <w:p>
            <w:pPr>
              <w:spacing w:after="0"/>
              <w:rPr>
                <w:sz w:val="19"/>
                <w:szCs w:val="19"/>
                <w:color w:val="auto"/>
              </w:rPr>
            </w:pPr>
          </w:p>
        </w:tc>
        <w:tc>
          <w:tcPr>
            <w:tcW w:w="3100" w:type="dxa"/>
            <w:vAlign w:val="bottom"/>
          </w:tcPr>
          <w:p>
            <w:pPr>
              <w:ind w:left="1120"/>
              <w:spacing w:after="0"/>
              <w:rPr>
                <w:sz w:val="20"/>
                <w:szCs w:val="20"/>
                <w:color w:val="auto"/>
              </w:rPr>
            </w:pPr>
            <w:r>
              <w:rPr>
                <w:rFonts w:ascii="Arial" w:cs="Arial" w:eastAsia="Arial" w:hAnsi="Arial"/>
                <w:sz w:val="18"/>
                <w:szCs w:val="18"/>
                <w:color w:val="auto"/>
              </w:rPr>
              <w:t>Suzanne O’Neill</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3100" w:type="dxa"/>
            <w:vAlign w:val="bottom"/>
          </w:tcPr>
          <w:p>
            <w:pPr>
              <w:ind w:left="1120"/>
              <w:spacing w:after="0"/>
              <w:rPr>
                <w:sz w:val="20"/>
                <w:szCs w:val="20"/>
                <w:color w:val="auto"/>
              </w:rPr>
            </w:pPr>
            <w:r>
              <w:rPr>
                <w:rFonts w:ascii="Arial" w:cs="Arial" w:eastAsia="Arial" w:hAnsi="Arial"/>
                <w:sz w:val="18"/>
                <w:szCs w:val="18"/>
                <w:color w:val="auto"/>
                <w:w w:val="87"/>
              </w:rPr>
              <w:t>Manager, Investor Relations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780" w:type="dxa"/>
            <w:vAlign w:val="bottom"/>
          </w:tcPr>
          <w:p>
            <w:pPr>
              <w:spacing w:after="0"/>
              <w:rPr>
                <w:sz w:val="18"/>
                <w:szCs w:val="18"/>
                <w:color w:val="auto"/>
              </w:rPr>
            </w:pPr>
          </w:p>
        </w:tc>
        <w:tc>
          <w:tcPr>
            <w:tcW w:w="3100" w:type="dxa"/>
            <w:vAlign w:val="bottom"/>
          </w:tcPr>
          <w:p>
            <w:pPr>
              <w:ind w:left="1120"/>
              <w:spacing w:after="0"/>
              <w:rPr>
                <w:sz w:val="20"/>
                <w:szCs w:val="20"/>
                <w:color w:val="auto"/>
              </w:rPr>
            </w:pPr>
            <w:r>
              <w:rPr>
                <w:rFonts w:ascii="Arial" w:cs="Arial" w:eastAsia="Arial" w:hAnsi="Arial"/>
                <w:sz w:val="18"/>
                <w:szCs w:val="18"/>
                <w:color w:val="auto"/>
              </w:rPr>
              <w:t>301/998-8358</w:t>
            </w: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3100" w:type="dxa"/>
            <w:vAlign w:val="bottom"/>
          </w:tcPr>
          <w:p>
            <w:pPr>
              <w:ind w:left="1120"/>
              <w:spacing w:after="0"/>
              <w:rPr>
                <w:sz w:val="20"/>
                <w:szCs w:val="20"/>
                <w:color w:val="auto"/>
              </w:rPr>
            </w:pPr>
            <w:r>
              <w:rPr>
                <w:rFonts w:ascii="Arial" w:cs="Arial" w:eastAsia="Arial" w:hAnsi="Arial"/>
                <w:sz w:val="18"/>
                <w:szCs w:val="18"/>
                <w:i w:val="1"/>
                <w:iCs w:val="1"/>
                <w:color w:val="auto"/>
                <w:w w:val="94"/>
              </w:rPr>
              <w:t>soneill@federalrealty.com</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2006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ROCKVILLE, Md. (August 2, 2006) – Federal Realty Investment Trust (NYSE:FRT) today reported operating results for its second quarter ended June 30, 2006.</w:t>
      </w:r>
    </w:p>
    <w:p>
      <w:pPr>
        <w:spacing w:after="0" w:line="113" w:lineRule="exact"/>
        <w:rPr>
          <w:sz w:val="20"/>
          <w:szCs w:val="20"/>
          <w:color w:val="auto"/>
        </w:rPr>
      </w:pPr>
    </w:p>
    <w:p>
      <w:pPr>
        <w:ind w:left="780" w:right="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Funds from operations available for common shareholders (FFO) per diluted share was $0.83 and earnings per diluted common share was $0.66 for the quarter ended June 30, 2006, versus $0.77 and $0.41, respectively, for second quarter 2005.</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FFO per diluted share was $1.64 and earnings per diluted common share was $1.19 for the six months ended June 30, 2006, versus $1.51 and $0.81, respectively, for the six months ended June 30, 2005.</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compared to second quarter 2005, same-center property operating income increased 5.9% including redevelopments and expansions, and 5.6% excluding redevelopments and expansions.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 increases on lease rollovers for retail space for which there was a prior tenant were 17% on a cash-basis and 25% on a GAAP-basis for the quarter ended June 30, 2006.</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Trust’s portfolio was 96.7% leased and 94.7% occupied as of June 30,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common dividend was increased extending the Trust’s record of consecutive annual dividend increases to 39 years.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Guidance for 2006 FFO per diluted share was narrowed to a range of $3.33 to $3.35.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second quarter 2006, Federal Realty reported FFO of $44.6 million, or $0.83 per diluted share. This compares to FFO of $41.2 million, or $0.77 per diluted share, reported in second quarter 2005. For the six months ended June 30, 2006, Federal Realty reported FFO of $88.0 million, or $1.64 per diluted share. This compares to FFO of $80.5 million, or $1.51 per diluted share, for the same six-month period in 2005.</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income available for common shareholders was $35.4 million and earnings per diluted common share was $0.66 for the quarter ended June 30, 2006, versus $21.9 million and $0.41, respectively, for second quarter 2005. Year-to-date, Federal Realty reported net income available for common shareholders of $63.5 million, or $1.19 per diluted share. This compares to net income available for common shareholders of $43.1 million, or $0.81 per diluted share, for the six months ended June 30,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On a same-center basis, including redevelopments and expansions, property operating income increased 5.9% over second quarter 2005. When redevelopments and expansions are excluded from the same-center results, property operating income increased 5.6% from second quarter 2005.</w:t>
      </w:r>
    </w:p>
    <w:p>
      <w:pPr>
        <w:spacing w:after="0" w:line="8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Overall, the Trust’s portfolio was 96.7% leased and 94.7% occupied as of June 30, 2006, compared to 95.0% and 91.5%, respectively, on June 30, 2005. Federal Realty’s same-center portfolio was 97.7% leased and 96.2% occupied on June 30, 2006, compared to 96.4% and 95.5%, respectively, on June 30, 2005.</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second quarter 2006, the Trust signed 76 leases for approximately 325,000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276,000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17%. The average contractual rent on this comparable space for the first year of the new lease is $24.40 per square foot compared to the average contractual rent of $20.90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25% for second quarter 2006. As of June 30, 2006, Federal Realty’s average contractual, cash basis minimum rent for retail and commercial space in its portfolio is $18.95 per square foot.</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“Our core properties continue to demonstrate the internal growth that we expect to see from our high quality assets in their strong locations; performance that we expect to continue for the foreseeable future,” commented Donald C. Wood, president and chief executive officer of Federal Realty Investment Trust.</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Residential condominium sales at Santana Row, Federal Realty’s mixed-use community in San Jose, Calif., remain strong. Through July 31, 2006, the Trust had closed sales on 215 units and had four units under contract, with associated gross sales proceeds of $149.2 million and $4.0 million, respectively, which would complete the sale of the 219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Federal Realty also announced today that its Board of Trustees increased the regular dividend rate on its common shares, declaring a regular quarterly cash dividend of $0.575 per share on its common shares, resulting in an indicated annual rate of $2.30 per share, an increase of $0.08 annually. The regular common dividend will be payable on October 16, 2006, to common shareholders of record as of September 22, 2006. This increase represents the 39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consecutive year that Federal Realty has increased its common dividend, the longest record of consecutive annual dividend increases in the REIT sector.</w:t>
      </w:r>
    </w:p>
    <w:p>
      <w:pPr>
        <w:spacing w:after="0" w:line="12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are extremely proud of the company’s ability to increase our dividend for the 39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 said Wood. “Over the past 39 years, the Trust and the REIT industry have endured many macro- and micro-level issues, and through them all, we have been able to maintain our streak of dividend increases. This is a significant indicator as to the ongoing stability and consistency of our performance.”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Federal Realty’s Board of Trustees declared a regular quarterly cash dividend of $0.53125 per share on the Trust’s Series B Cumulative Redeemable Preferred Shares (NYSE: FRTprB). Dividends on the Series B Cumulative Redeemable Preferred Shares will be payable on October 31, 2006, to shareholders of record on October 16,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Federal Realty’s guidance for 2006 FFO per diluted share was narrowed to a range of $3.33 to $3.35, and its 2006 earnings per diluted common share guidance increased to a range of $1.97 to $1.99.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500" w:right="340" w:hanging="451"/>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28, 2006 – The Trust closed a new $300 million unsecured revolving credit facility to replace its existing $300 million unsecured revolving credit facility, which was scheduled to mature on October 7, 2006.</w:t>
      </w:r>
    </w:p>
    <w:p>
      <w:pPr>
        <w:spacing w:after="0" w:line="50" w:lineRule="exact"/>
        <w:rPr>
          <w:rFonts w:ascii="Arial" w:cs="Arial" w:eastAsia="Arial" w:hAnsi="Arial"/>
          <w:sz w:val="18"/>
          <w:szCs w:val="18"/>
          <w:color w:val="auto"/>
        </w:rPr>
      </w:pPr>
    </w:p>
    <w:p>
      <w:pPr>
        <w:ind w:left="500" w:right="500" w:hanging="451"/>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17, 2006 – The Trust closed a $250 million senior unsecured note offering comprised of a $130 million tranche due January 2017 with a 6.20% coupon, and a $120 million tranche due July 2012 with a 6.00% coupon.</w:t>
      </w:r>
    </w:p>
    <w:p>
      <w:pPr>
        <w:spacing w:after="0" w:line="50" w:lineRule="exact"/>
        <w:rPr>
          <w:rFonts w:ascii="Arial" w:cs="Arial" w:eastAsia="Arial" w:hAnsi="Arial"/>
          <w:sz w:val="18"/>
          <w:szCs w:val="18"/>
          <w:color w:val="auto"/>
        </w:rPr>
      </w:pPr>
    </w:p>
    <w:p>
      <w:pPr>
        <w:ind w:left="500" w:right="240" w:hanging="451"/>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11, 2006 – Federal Realty announced the appointment of Gail P. Steinel, executive vice president of BearingPoint Inc., to Federal Realty’s board of trustees.</w:t>
      </w:r>
    </w:p>
    <w:p>
      <w:pPr>
        <w:spacing w:after="0" w:line="50" w:lineRule="exact"/>
        <w:rPr>
          <w:rFonts w:ascii="Arial" w:cs="Arial" w:eastAsia="Arial" w:hAnsi="Arial"/>
          <w:sz w:val="18"/>
          <w:szCs w:val="18"/>
          <w:color w:val="auto"/>
        </w:rPr>
      </w:pPr>
    </w:p>
    <w:p>
      <w:pPr>
        <w:ind w:left="500" w:right="60" w:hanging="451"/>
        <w:spacing w:after="0" w:line="298"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June 8, 2006 – Federal Realty announced the addition of two grocery-anchored shopping centers to the Trust’s joint venture with Clarion Lion Properties Fund. Barcroft Plaza is located in the Washington, D.C. metropolitan area and was acquired for $25.1 million in an off-market transaction. In addition, Greenlawn Plaza, a property that the Trust acquired in 2000, was contributed to the venture. This redeveloped and stabilized property was also acquired in an off-market transaction and valued at $20.4 million when it was contributed to the venture.</w:t>
      </w:r>
    </w:p>
    <w:p>
      <w:pPr>
        <w:spacing w:after="0" w:line="99" w:lineRule="exact"/>
        <w:rPr>
          <w:rFonts w:ascii="Arial" w:cs="Arial" w:eastAsia="Arial" w:hAnsi="Arial"/>
          <w:sz w:val="16"/>
          <w:szCs w:val="16"/>
          <w:color w:val="auto"/>
        </w:rPr>
      </w:pPr>
    </w:p>
    <w:p>
      <w:pPr>
        <w:ind w:left="5460" w:hanging="102"/>
        <w:spacing w:after="0"/>
        <w:tabs>
          <w:tab w:leader="none" w:pos="5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500" w:right="420" w:hanging="451"/>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3, 2006 – Federal Realty announced that its Board of Trustees has declared a regular quarterly cash dividend of $0.555 per share on its common shares, resulting in an indicated annual dividend rate of $2.22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second quarter 2006 earnings conference call, which is scheduled for August 3, 2006, at 11 a.m. Eastern Daylight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September 4, 2006, by dialing (866) 448-4809.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17.7 million square feet located primarily in strategic metropolitan markets in the Northeast, Mid-Atlantic, and California. In addition, the Trust has an ownership interest in approximately 0.7 million square feet of retail space through its joint venture with Clarion Lion Properties Fund in which the Trust has a 30% interest. Our operating portfolio (excluding joint venture properties) was 96.7% leased to national, regional, and local retailers as of June 30, 2006, with no single tenant accounting for more than approximately 2.6% of annualized base rent. Federal Realty has paid quarterly dividends to its shareholders continuously since its founding in 1962, and has increased its dividend rate for 39 consecutive years, the longest record in the REIT industry. Shares of Federal Realty are traded on the NYSE under the symbol FRT.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most recent annual report on Form 10-K (as amended), and include the following:</w:t>
      </w:r>
    </w:p>
    <w:p>
      <w:pPr>
        <w:spacing w:after="0" w:line="62"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i w:val="1"/>
          <w:iCs w:val="1"/>
          <w:color w:val="auto"/>
        </w:rPr>
      </w:pPr>
    </w:p>
    <w:p>
      <w:pPr>
        <w:ind w:left="780" w:right="440" w:hanging="326"/>
        <w:spacing w:after="0" w:line="332" w:lineRule="auto"/>
        <w:tabs>
          <w:tab w:leader="none" w:pos="7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780" w:hanging="326"/>
        <w:spacing w:after="0"/>
        <w:tabs>
          <w:tab w:leader="none" w:pos="7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sell the condominium units at Santana Row for the expected prices or within the anticipated time frames;</w:t>
      </w:r>
    </w:p>
    <w:p>
      <w:pPr>
        <w:spacing w:after="0" w:line="113" w:lineRule="exact"/>
        <w:rPr>
          <w:rFonts w:ascii="Arial" w:cs="Arial" w:eastAsia="Arial" w:hAnsi="Arial"/>
          <w:sz w:val="16"/>
          <w:szCs w:val="16"/>
          <w:i w:val="1"/>
          <w:iCs w:val="1"/>
          <w:color w:val="auto"/>
        </w:rPr>
      </w:pPr>
    </w:p>
    <w:p>
      <w:pPr>
        <w:ind w:left="780" w:right="80" w:hanging="326"/>
        <w:spacing w:after="0" w:line="268"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780" w:hanging="326"/>
        <w:spacing w:after="0" w:line="256"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62" w:lineRule="exact"/>
        <w:rPr>
          <w:rFonts w:ascii="Arial" w:cs="Arial" w:eastAsia="Arial" w:hAnsi="Arial"/>
          <w:sz w:val="18"/>
          <w:szCs w:val="18"/>
          <w:i w:val="1"/>
          <w:iCs w:val="1"/>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57" w:lineRule="exact"/>
        <w:rPr>
          <w:rFonts w:ascii="Arial" w:cs="Arial" w:eastAsia="Arial" w:hAnsi="Arial"/>
          <w:sz w:val="18"/>
          <w:szCs w:val="18"/>
          <w:i w:val="1"/>
          <w:iCs w:val="1"/>
          <w:color w:val="auto"/>
        </w:rPr>
      </w:pPr>
    </w:p>
    <w:p>
      <w:pPr>
        <w:ind w:left="5460" w:hanging="102"/>
        <w:spacing w:after="0"/>
        <w:tabs>
          <w:tab w:leader="none" w:pos="5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780" w:hanging="326"/>
        <w:spacing w:after="0" w:line="259" w:lineRule="auto"/>
        <w:tabs>
          <w:tab w:leader="none" w:pos="7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780" w:right="20" w:hanging="326"/>
        <w:spacing w:after="0" w:line="259" w:lineRule="auto"/>
        <w:tabs>
          <w:tab w:leader="none" w:pos="7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most current annual report on Form 10-K (as amended) and our quarterly reports on Form 10-Q.</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240" w:top="280"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17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CONSOLIDATED OPERATING RESULTS</w:t>
            </w:r>
          </w:p>
        </w:tc>
        <w:tc>
          <w:tcPr>
            <w:tcW w:w="4360" w:type="dxa"/>
            <w:vAlign w:val="bottom"/>
            <w:tcBorders>
              <w:bottom w:val="single" w:sz="8" w:color="CCEEFF"/>
            </w:tcBorders>
            <w:gridSpan w:val="4"/>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105,533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210,498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420"/>
              <w:spacing w:after="0"/>
              <w:rPr>
                <w:sz w:val="20"/>
                <w:szCs w:val="20"/>
                <w:color w:val="auto"/>
              </w:rPr>
            </w:pPr>
            <w:r>
              <w:rPr>
                <w:rFonts w:ascii="Arial" w:cs="Arial" w:eastAsia="Arial" w:hAnsi="Arial"/>
                <w:sz w:val="18"/>
                <w:szCs w:val="18"/>
                <w:color w:val="auto"/>
              </w:rPr>
              <w:t>Other property income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Mortgage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217,125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42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120,966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114,241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20" w:type="dxa"/>
            <w:vAlign w:val="bottom"/>
            <w:gridSpan w:val="6"/>
          </w:tcPr>
          <w:p>
            <w:pPr>
              <w:spacing w:after="0"/>
              <w:rPr>
                <w:sz w:val="20"/>
                <w:szCs w:val="20"/>
                <w:color w:val="auto"/>
              </w:rPr>
            </w:pPr>
            <w:r>
              <w:rPr>
                <w:rFonts w:ascii="Arial" w:cs="Arial" w:eastAsia="Arial" w:hAnsi="Arial"/>
                <w:sz w:val="18"/>
                <w:szCs w:val="18"/>
                <w:color w:val="auto"/>
              </w:rPr>
              <w:t>Other interest income</w:t>
            </w: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(21,827)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(49,034)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Income from real estate partnership</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1"/>
        </w:trPr>
        <w:tc>
          <w:tcPr>
            <w:tcW w:w="7520" w:type="dxa"/>
            <w:vAlign w:val="bottom"/>
            <w:gridSpan w:val="6"/>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22,271</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45,659</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42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6"/>
          </w:tcPr>
          <w:p>
            <w:pPr>
              <w:spacing w:after="0"/>
              <w:rPr>
                <w:sz w:val="20"/>
                <w:szCs w:val="20"/>
                <w:color w:val="auto"/>
              </w:rPr>
            </w:pPr>
            <w:r>
              <w:rPr>
                <w:rFonts w:ascii="Arial" w:cs="Arial" w:eastAsia="Arial" w:hAnsi="Arial"/>
                <w:sz w:val="18"/>
                <w:szCs w:val="18"/>
                <w:color w:val="auto"/>
              </w:rPr>
              <w:t>Results from discontinued operations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38,256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520" w:type="dxa"/>
            <w:vAlign w:val="bottom"/>
            <w:gridSpan w:val="6"/>
          </w:tcPr>
          <w:p>
            <w:pPr>
              <w:spacing w:after="0"/>
              <w:rPr>
                <w:sz w:val="20"/>
                <w:szCs w:val="20"/>
                <w:color w:val="auto"/>
              </w:rPr>
            </w:pPr>
            <w:r>
              <w:rPr>
                <w:rFonts w:ascii="Arial" w:cs="Arial" w:eastAsia="Arial" w:hAnsi="Arial"/>
                <w:sz w:val="18"/>
                <w:szCs w:val="18"/>
                <w:color w:val="auto"/>
              </w:rPr>
              <w:t>Dividends on preferred stock</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(5,738)</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21,938</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52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(23,771)</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of real estate partnership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6"/>
          </w:tcPr>
          <w:p>
            <w:pPr>
              <w:spacing w:after="0"/>
              <w:rPr>
                <w:sz w:val="20"/>
                <w:szCs w:val="20"/>
                <w:color w:val="auto"/>
              </w:rPr>
            </w:pPr>
            <w:r>
              <w:rPr>
                <w:rFonts w:ascii="Arial" w:cs="Arial" w:eastAsia="Arial" w:hAnsi="Arial"/>
                <w:sz w:val="18"/>
                <w:szCs w:val="18"/>
                <w:color w:val="auto"/>
              </w:rPr>
              <w:t>Funds from operations</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47,208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93,279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Weighted average number of common shares, diluted</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2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Weighted average number of common shares, basic</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EARNINGS PER COMMON SHARE, DILUTED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Continuing operations</w:t>
            </w:r>
          </w:p>
        </w:tc>
        <w:tc>
          <w:tcPr>
            <w:tcW w:w="394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0.38</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0.67</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27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BALANCE SHEETS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Real estate, at cost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2,790,717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2,852,696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2,829,321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(696,691)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(663,750)</w:t>
            </w: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Net real estate</w:t>
            </w:r>
          </w:p>
        </w:tc>
        <w:tc>
          <w:tcPr>
            <w:tcW w:w="4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2,156,005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Investment in real estate partnership</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2,348,469</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2,350,852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 and mortgage notes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1,556,812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2,348,469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2,350,852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440" w:type="dxa"/>
            <w:vAlign w:val="bottom"/>
            <w:vMerge w:val="restart"/>
          </w:tcPr>
          <w:p>
            <w:pPr>
              <w:jc w:val="right"/>
              <w:ind w:right="357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bottom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w w:val="82"/>
              </w:rPr>
              <w:t>except per</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6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82"/>
              </w:rPr>
              <w:t>except per</w:t>
            </w:r>
          </w:p>
        </w:tc>
        <w:tc>
          <w:tcPr>
            <w:tcW w:w="90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w w:val="88"/>
              </w:rPr>
              <w:t>share data)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680" w:type="dxa"/>
            <w:vAlign w:val="bottom"/>
            <w:gridSpan w:val="2"/>
            <w:vMerge w:val="continue"/>
          </w:tcPr>
          <w:p>
            <w:pPr>
              <w:spacing w:after="0"/>
              <w:rPr>
                <w:sz w:val="12"/>
                <w:szCs w:val="12"/>
                <w:color w:val="auto"/>
              </w:rPr>
            </w:pPr>
          </w:p>
        </w:tc>
        <w:tc>
          <w:tcPr>
            <w:tcW w:w="90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w w:val="88"/>
              </w:rPr>
              <w:t>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2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(FFO) (1)</w:t>
            </w: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6"/>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38,256</w:t>
            </w:r>
          </w:p>
        </w:tc>
        <w:tc>
          <w:tcPr>
            <w:tcW w:w="40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24,807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69,287</w:t>
            </w:r>
          </w:p>
        </w:tc>
        <w:tc>
          <w:tcPr>
            <w:tcW w:w="40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(15,034)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(23,771)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22,010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20,735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43,884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6"/>
          </w:tcPr>
          <w:p>
            <w:pPr>
              <w:spacing w:after="0"/>
              <w:rPr>
                <w:sz w:val="20"/>
                <w:szCs w:val="20"/>
                <w:color w:val="auto"/>
              </w:rPr>
            </w:pPr>
            <w:r>
              <w:rPr>
                <w:rFonts w:ascii="Arial" w:cs="Arial" w:eastAsia="Arial" w:hAnsi="Arial"/>
                <w:sz w:val="18"/>
                <w:szCs w:val="18"/>
                <w:color w:val="auto"/>
              </w:rPr>
              <w:t>Depreciation of real estate partnership assets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(2,869)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(5,738)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5580" w:type="dxa"/>
            <w:vAlign w:val="bottom"/>
            <w:gridSpan w:val="7"/>
          </w:tcPr>
          <w:p>
            <w:pPr>
              <w:spacing w:after="0"/>
              <w:rPr>
                <w:sz w:val="20"/>
                <w:szCs w:val="20"/>
                <w:color w:val="auto"/>
              </w:rPr>
            </w:pPr>
            <w:r>
              <w:rPr>
                <w:rFonts w:ascii="Arial" w:cs="Arial" w:eastAsia="Arial" w:hAnsi="Arial"/>
                <w:sz w:val="18"/>
                <w:szCs w:val="18"/>
                <w:b w:val="1"/>
                <w:bCs w:val="1"/>
                <w:color w:val="auto"/>
              </w:rPr>
              <w:t>Funds from operations available for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44,584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88,019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53,305</w:t>
            </w:r>
          </w:p>
        </w:tc>
        <w:tc>
          <w:tcPr>
            <w:tcW w:w="0" w:type="dxa"/>
            <w:vAlign w:val="bottom"/>
          </w:tcPr>
          <w:p>
            <w:pPr>
              <w:spacing w:after="0"/>
              <w:rPr>
                <w:sz w:val="1"/>
                <w:szCs w:val="1"/>
                <w:color w:val="auto"/>
              </w:rPr>
            </w:pPr>
          </w:p>
        </w:tc>
      </w:tr>
      <w:tr>
        <w:trPr>
          <w:trHeight w:val="20"/>
        </w:trPr>
        <w:tc>
          <w:tcPr>
            <w:tcW w:w="55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Funds from operations available for common shareholders per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60" w:type="dxa"/>
            <w:vAlign w:val="bottom"/>
            <w:gridSpan w:val="5"/>
          </w:tcPr>
          <w:p>
            <w:pPr>
              <w:spacing w:after="0"/>
              <w:rPr>
                <w:sz w:val="20"/>
                <w:szCs w:val="20"/>
                <w:color w:val="auto"/>
              </w:rPr>
            </w:pPr>
            <w:r>
              <w:rPr>
                <w:rFonts w:ascii="Arial" w:cs="Arial" w:eastAsia="Arial" w:hAnsi="Arial"/>
                <w:sz w:val="18"/>
                <w:szCs w:val="18"/>
                <w:b w:val="1"/>
                <w:bCs w:val="1"/>
                <w:color w:val="auto"/>
              </w:rPr>
              <w:t>diluted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0.83</w:t>
            </w:r>
          </w:p>
        </w:tc>
        <w:tc>
          <w:tcPr>
            <w:tcW w:w="400" w:type="dxa"/>
            <w:vAlign w:val="bottom"/>
          </w:tcPr>
          <w:p>
            <w:pPr>
              <w:spacing w:after="0"/>
              <w:rPr>
                <w:sz w:val="19"/>
                <w:szCs w:val="19"/>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19"/>
                <w:szCs w:val="19"/>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Summary of Capital Expenditures</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6"/>
          </w:tcPr>
          <w:p>
            <w:pPr>
              <w:spacing w:after="0"/>
              <w:rPr>
                <w:sz w:val="20"/>
                <w:szCs w:val="20"/>
                <w:color w:val="auto"/>
              </w:rPr>
            </w:pPr>
            <w:r>
              <w:rPr>
                <w:rFonts w:ascii="Arial" w:cs="Arial" w:eastAsia="Arial" w:hAnsi="Arial"/>
                <w:sz w:val="18"/>
                <w:szCs w:val="18"/>
                <w:color w:val="auto"/>
              </w:rPr>
              <w:t>Non-maintenance capital expenditures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Development, redevelopment and expansions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60" w:type="dxa"/>
            <w:vAlign w:val="bottom"/>
            <w:gridSpan w:val="5"/>
          </w:tcPr>
          <w:p>
            <w:pPr>
              <w:ind w:left="220"/>
              <w:spacing w:after="0"/>
              <w:rPr>
                <w:sz w:val="20"/>
                <w:szCs w:val="20"/>
                <w:color w:val="auto"/>
              </w:rPr>
            </w:pPr>
            <w:r>
              <w:rPr>
                <w:rFonts w:ascii="Arial" w:cs="Arial" w:eastAsia="Arial" w:hAnsi="Arial"/>
                <w:sz w:val="18"/>
                <w:szCs w:val="18"/>
                <w:color w:val="auto"/>
              </w:rPr>
              <w:t>Tenant improvements and incentives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6"/>
          </w:tcPr>
          <w:p>
            <w:pPr>
              <w:spacing w:after="0"/>
              <w:rPr>
                <w:sz w:val="20"/>
                <w:szCs w:val="20"/>
                <w:color w:val="auto"/>
              </w:rPr>
            </w:pPr>
            <w:r>
              <w:rPr>
                <w:rFonts w:ascii="Arial" w:cs="Arial" w:eastAsia="Arial" w:hAnsi="Arial"/>
                <w:sz w:val="18"/>
                <w:szCs w:val="18"/>
                <w:color w:val="auto"/>
              </w:rPr>
              <w:t>Maintenance capital expenditures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22,998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44,758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46,204</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66,166</w:t>
            </w:r>
          </w:p>
        </w:tc>
        <w:tc>
          <w:tcPr>
            <w:tcW w:w="0" w:type="dxa"/>
            <w:vAlign w:val="bottom"/>
          </w:tcPr>
          <w:p>
            <w:pPr>
              <w:spacing w:after="0"/>
              <w:rPr>
                <w:sz w:val="1"/>
                <w:szCs w:val="1"/>
                <w:color w:val="auto"/>
              </w:rPr>
            </w:pPr>
          </w:p>
        </w:tc>
      </w:tr>
      <w:tr>
        <w:trPr>
          <w:trHeight w:val="20"/>
        </w:trPr>
        <w:tc>
          <w:tcPr>
            <w:tcW w:w="55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Dividends and Payout Ratios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8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Regular 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58,882</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60" w:type="dxa"/>
            <w:vAlign w:val="bottom"/>
            <w:gridSpan w:val="5"/>
          </w:tcPr>
          <w:p>
            <w:pPr>
              <w:ind w:left="220"/>
              <w:spacing w:after="0"/>
              <w:rPr>
                <w:sz w:val="20"/>
                <w:szCs w:val="20"/>
                <w:color w:val="auto"/>
              </w:rPr>
            </w:pPr>
            <w:r>
              <w:rPr>
                <w:rFonts w:ascii="Arial" w:cs="Arial" w:eastAsia="Arial" w:hAnsi="Arial"/>
                <w:sz w:val="18"/>
                <w:szCs w:val="18"/>
                <w:color w:val="auto"/>
              </w:rPr>
              <w:t>Special common dividends declared</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60" w:type="dxa"/>
            <w:vAlign w:val="bottom"/>
            <w:gridSpan w:val="5"/>
            <w:vMerge w:val="restart"/>
          </w:tcPr>
          <w:p>
            <w:pPr>
              <w:ind w:left="220"/>
              <w:spacing w:after="0"/>
              <w:rPr>
                <w:sz w:val="20"/>
                <w:szCs w:val="20"/>
                <w:color w:val="auto"/>
              </w:rPr>
            </w:pPr>
            <w:r>
              <w:rPr>
                <w:rFonts w:ascii="Arial" w:cs="Arial" w:eastAsia="Arial" w:hAnsi="Arial"/>
                <w:sz w:val="18"/>
                <w:szCs w:val="18"/>
                <w:color w:val="auto"/>
              </w:rPr>
              <w:t>Dividend payout ratio % - FFO (excluding special dividends) (2)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Glossary of Terms. FFO available for common shareholders excludes the gain on sale of condominiums at Santana Row.</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of condominiums at Santana Row has resulted in special dividends in the fourth quarter of 2005 and the first quarter of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8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4"/>
              </w:rPr>
              <w:t>except</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data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53,065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52,665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44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3,714,550</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3,107,235</w:t>
            </w:r>
          </w:p>
        </w:tc>
        <w:tc>
          <w:tcPr>
            <w:tcW w:w="0" w:type="dxa"/>
            <w:vAlign w:val="bottom"/>
          </w:tcPr>
          <w:p>
            <w:pPr>
              <w:spacing w:after="0"/>
              <w:rPr>
                <w:sz w:val="1"/>
                <w:szCs w:val="1"/>
                <w:color w:val="auto"/>
              </w:rPr>
            </w:pPr>
          </w:p>
        </w:tc>
      </w:tr>
      <w:tr>
        <w:trPr>
          <w:trHeight w:val="110"/>
        </w:trPr>
        <w:tc>
          <w:tcPr>
            <w:tcW w:w="8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preferred shares outstanding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Market price per Series B preferred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25.47</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137,538</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143,316</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3,852,088</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3,250,551</w:t>
            </w:r>
          </w:p>
        </w:tc>
        <w:tc>
          <w:tcPr>
            <w:tcW w:w="0" w:type="dxa"/>
            <w:vAlign w:val="bottom"/>
          </w:tcPr>
          <w:p>
            <w:pPr>
              <w:spacing w:after="0"/>
              <w:rPr>
                <w:sz w:val="1"/>
                <w:szCs w:val="1"/>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(2)</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1,393,766</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1,342,492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5,245,854</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4,593,043</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$59.00</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9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9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7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3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54,546,427 shares issued net of 1,481,189 shares held in Treasury as of June 30, 2006. As of June 30, 2005, consists of 54,145,519 shares issued net of 1,480,201 shares held in Treasury. Amounts do not include 402,210 and 423,576 Operating Partnership Units outstanding at June 30, 2006 and June 30, 2005, respectively.</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debt includes capital leases and mortgages payable, notes payable, and senior notes and debentures. It does not include the $23.2 million which is the Trust’s 30% share of the total $77.4 million debt of the partnership with Clarion Lion Properties Fund.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6"/>
              </w:rPr>
              <w:t>Three months ended June 30,</w:t>
            </w:r>
          </w:p>
        </w:tc>
        <w:tc>
          <w:tcPr>
            <w:tcW w:w="120" w:type="dxa"/>
            <w:vAlign w:val="bottom"/>
          </w:tcPr>
          <w:p>
            <w:pPr>
              <w:spacing w:after="0"/>
              <w:rPr>
                <w:sz w:val="14"/>
                <w:szCs w:val="14"/>
                <w:color w:val="auto"/>
              </w:rPr>
            </w:pPr>
          </w:p>
        </w:tc>
        <w:tc>
          <w:tcPr>
            <w:tcW w:w="17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70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center"/>
              <w:ind w:right="35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Rental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440"/>
              <w:spacing w:after="0"/>
              <w:rPr>
                <w:sz w:val="20"/>
                <w:szCs w:val="20"/>
                <w:color w:val="auto"/>
              </w:rPr>
            </w:pPr>
            <w:r>
              <w:rPr>
                <w:rFonts w:ascii="Arial" w:cs="Arial" w:eastAsia="Arial" w:hAnsi="Arial"/>
                <w:sz w:val="18"/>
                <w:szCs w:val="18"/>
                <w:color w:val="auto"/>
              </w:rPr>
              <w:t>Minimum rents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Retail and commercial properties (1)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80,285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73,562</w:t>
            </w:r>
          </w:p>
        </w:tc>
        <w:tc>
          <w:tcPr>
            <w:tcW w:w="9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$ 159,273</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880"/>
              <w:spacing w:after="0"/>
              <w:rPr>
                <w:sz w:val="20"/>
                <w:szCs w:val="20"/>
                <w:color w:val="auto"/>
              </w:rPr>
            </w:pPr>
            <w:r>
              <w:rPr>
                <w:rFonts w:ascii="Arial" w:cs="Arial" w:eastAsia="Arial" w:hAnsi="Arial"/>
                <w:sz w:val="18"/>
                <w:szCs w:val="18"/>
                <w:color w:val="auto"/>
              </w:rPr>
              <w:t>Residential (2)</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17,915</w:t>
            </w:r>
          </w:p>
        </w:tc>
        <w:tc>
          <w:tcPr>
            <w:tcW w:w="9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39,712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440"/>
              <w:spacing w:after="0"/>
              <w:rPr>
                <w:sz w:val="20"/>
                <w:szCs w:val="20"/>
                <w:color w:val="auto"/>
              </w:rPr>
            </w:pPr>
            <w:r>
              <w:rPr>
                <w:rFonts w:ascii="Arial" w:cs="Arial" w:eastAsia="Arial" w:hAnsi="Arial"/>
                <w:sz w:val="18"/>
                <w:szCs w:val="18"/>
                <w:color w:val="auto"/>
              </w:rPr>
              <w:t>Percentage rents</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rental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rental income</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105,533</w:t>
            </w:r>
          </w:p>
        </w:tc>
        <w:tc>
          <w:tcPr>
            <w:tcW w:w="2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95,762</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w w:val="99"/>
              </w:rPr>
              <w:t>$ 210,498</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193,545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Minimum rents include $3.1 and $3.2 million for the six months ended June 30, 2006 and 2005, respectively, and $1.7 million and $1.4 million for the three months ended June 30, 2006 and 2005, respectively, to recognize minimum rents on a straight line basis as required by GAAP. Minimum rents include $1.0 million and $0.8 million for the six months ended June 30, 2006 and 2005, respectively, and $0.5 million and $0.4 million for the three months ended June 30, 2006 and 2005, to recognize income from the amortization of in-place leases in accordance with SFAS 141.</w:t>
      </w:r>
    </w:p>
    <w:p>
      <w:pPr>
        <w:spacing w:after="0" w:line="2"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 minimum rents consist of rents at Rollingwood Apartments, the Crest at Congressional Apartments and the residential units at Santana Row not sold or held for sale at June 30, 2006. The Trust has 259 newly constructed residential units at Santana Row which commenced occupancy in April 2005 and were 94% and 27% leased on June 30, 2006 and 2005,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Interest Rate as of</w:t>
            </w:r>
          </w:p>
        </w:tc>
        <w:tc>
          <w:tcPr>
            <w:tcW w:w="8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 as of</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Maturity Date</w:t>
            </w:r>
          </w:p>
        </w:tc>
        <w:tc>
          <w:tcPr>
            <w:tcW w:w="3000" w:type="dxa"/>
            <w:vAlign w:val="bottom"/>
            <w:gridSpan w:val="4"/>
          </w:tcPr>
          <w:p>
            <w:pPr>
              <w:jc w:val="right"/>
              <w:ind w:right="1500"/>
              <w:spacing w:after="0"/>
              <w:rPr>
                <w:sz w:val="20"/>
                <w:szCs w:val="20"/>
                <w:color w:val="auto"/>
              </w:rPr>
            </w:pPr>
            <w:r>
              <w:rPr>
                <w:rFonts w:ascii="Arial" w:cs="Arial" w:eastAsia="Arial" w:hAnsi="Arial"/>
                <w:sz w:val="14"/>
                <w:szCs w:val="14"/>
                <w:b w:val="1"/>
                <w:bCs w:val="1"/>
                <w:color w:val="auto"/>
              </w:rPr>
              <w:t>June 30, 2006</w:t>
            </w:r>
          </w:p>
        </w:tc>
        <w:tc>
          <w:tcPr>
            <w:tcW w:w="8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2006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1700" w:type="dxa"/>
            <w:vAlign w:val="bottom"/>
            <w:tcBorders>
              <w:bottom w:val="single" w:sz="8" w:color="CCEEFF"/>
            </w:tcBorders>
            <w:gridSpan w:val="4"/>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10/01/08</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6.510%</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164 E Houston Street</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10/06/08</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7.500%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04/01/09</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Federal Plaza</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06/01/11</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6.750%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09/01/11</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Crow Canyon</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08/11/13</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5.400%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Hauppauge</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7.950%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16,176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Wildwood</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7.950%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26,734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Brick Plaza</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7.415%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31,869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Mount Vernon</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04/15/28</w:t>
            </w:r>
          </w:p>
        </w:tc>
        <w:tc>
          <w:tcPr>
            <w:tcW w:w="17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6"/>
              </w:rPr>
              <w:t>5.660%(b)</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40" w:type="dxa"/>
            <w:vAlign w:val="bottom"/>
            <w:gridSpan w:val="7"/>
          </w:tcPr>
          <w:p>
            <w:pPr>
              <w:ind w:left="420"/>
              <w:spacing w:after="0"/>
              <w:rPr>
                <w:sz w:val="20"/>
                <w:szCs w:val="20"/>
                <w:color w:val="auto"/>
              </w:rPr>
            </w:pPr>
            <w:r>
              <w:rPr>
                <w:rFonts w:ascii="Arial" w:cs="Arial" w:eastAsia="Arial" w:hAnsi="Arial"/>
                <w:sz w:val="18"/>
                <w:szCs w:val="18"/>
                <w:color w:val="auto"/>
              </w:rPr>
              <w:t>Total Mortgage Loans</w:t>
            </w: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268,978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01/31/13</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10/07/06</w:t>
            </w:r>
          </w:p>
        </w:tc>
        <w:tc>
          <w:tcPr>
            <w:tcW w:w="300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LIBOR + .65%(c)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Term note with banks</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10/07/06</w:t>
            </w:r>
          </w:p>
        </w:tc>
        <w:tc>
          <w:tcPr>
            <w:tcW w:w="3000" w:type="dxa"/>
            <w:vAlign w:val="bottom"/>
            <w:gridSpan w:val="4"/>
          </w:tcPr>
          <w:p>
            <w:pPr>
              <w:ind w:left="1300"/>
              <w:spacing w:after="0"/>
              <w:rPr>
                <w:sz w:val="20"/>
                <w:szCs w:val="20"/>
                <w:color w:val="auto"/>
              </w:rPr>
            </w:pPr>
            <w:r>
              <w:rPr>
                <w:rFonts w:ascii="Arial" w:cs="Arial" w:eastAsia="Arial" w:hAnsi="Arial"/>
                <w:sz w:val="18"/>
                <w:szCs w:val="18"/>
                <w:color w:val="auto"/>
              </w:rPr>
              <w:t>LIBOR + .85%(d)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Term note with banks</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10/07/08</w:t>
            </w:r>
          </w:p>
        </w:tc>
        <w:tc>
          <w:tcPr>
            <w:tcW w:w="300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LIBOR + .85%(d)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Escondido (Municipal bonds)</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10/01/16</w:t>
            </w:r>
          </w:p>
        </w:tc>
        <w:tc>
          <w:tcPr>
            <w:tcW w:w="1760" w:type="dxa"/>
            <w:vAlign w:val="bottom"/>
          </w:tcPr>
          <w:p>
            <w:pPr>
              <w:spacing w:after="0"/>
              <w:rPr>
                <w:sz w:val="19"/>
                <w:szCs w:val="19"/>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3.551%(e)</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Total Notes Payable</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363,119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00" w:type="dxa"/>
            <w:vAlign w:val="bottom"/>
            <w:gridSpan w:val="9"/>
          </w:tcPr>
          <w:p>
            <w:pPr>
              <w:spacing w:after="0" w:line="182" w:lineRule="exact"/>
              <w:rPr>
                <w:sz w:val="20"/>
                <w:szCs w:val="20"/>
                <w:color w:val="auto"/>
              </w:rPr>
            </w:pPr>
            <w:r>
              <w:rPr>
                <w:rFonts w:ascii="Arial" w:cs="Arial" w:eastAsia="Arial" w:hAnsi="Arial"/>
                <w:sz w:val="18"/>
                <w:szCs w:val="18"/>
                <w:b w:val="1"/>
                <w:bCs w:val="1"/>
                <w:color w:val="auto"/>
              </w:rPr>
              <w:t>Senior Notes and Debentures</w:t>
            </w: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6.125% Notes</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11/15/07</w:t>
            </w:r>
          </w:p>
        </w:tc>
        <w:tc>
          <w:tcPr>
            <w:tcW w:w="176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w w:val="99"/>
              </w:rPr>
              <w:t>6.325%(f)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8.75% Notes</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12/01/09</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4.50% Notes</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02/15/11</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4.500%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06/01/16</w:t>
            </w:r>
          </w:p>
        </w:tc>
        <w:tc>
          <w:tcPr>
            <w:tcW w:w="2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7.48% Debentures</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08/15/26</w:t>
            </w:r>
          </w:p>
        </w:tc>
        <w:tc>
          <w:tcPr>
            <w:tcW w:w="176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7.480%(g)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08/01/27</w:t>
            </w:r>
          </w:p>
        </w:tc>
        <w:tc>
          <w:tcPr>
            <w:tcW w:w="17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6"/>
              </w:rPr>
              <w:t>6.820%(h)</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color w:val="auto"/>
              </w:rPr>
              <w:t>Subtotal</w:t>
            </w: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615,000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rPr>
              <w:t>Unamortized Debt Discount</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40" w:type="dxa"/>
            <w:vAlign w:val="bottom"/>
            <w:gridSpan w:val="7"/>
          </w:tcPr>
          <w:p>
            <w:pPr>
              <w:ind w:left="420"/>
              <w:spacing w:after="0"/>
              <w:rPr>
                <w:sz w:val="20"/>
                <w:szCs w:val="20"/>
                <w:color w:val="auto"/>
              </w:rPr>
            </w:pPr>
            <w:r>
              <w:rPr>
                <w:rFonts w:ascii="Arial" w:cs="Arial" w:eastAsia="Arial" w:hAnsi="Arial"/>
                <w:sz w:val="18"/>
                <w:szCs w:val="18"/>
                <w:color w:val="auto"/>
              </w:rPr>
              <w:t>Total Senior Notes and</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ind w:left="20"/>
              <w:spacing w:after="0"/>
              <w:rPr>
                <w:sz w:val="20"/>
                <w:szCs w:val="20"/>
                <w:color w:val="auto"/>
              </w:rPr>
            </w:pPr>
            <w:r>
              <w:rPr>
                <w:rFonts w:ascii="Arial" w:cs="Arial" w:eastAsia="Arial" w:hAnsi="Arial"/>
                <w:sz w:val="18"/>
                <w:szCs w:val="18"/>
                <w:color w:val="auto"/>
              </w:rPr>
              <w:t>Debentures</w:t>
            </w: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613,458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Lease Obligations</w:t>
            </w: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0" w:type="dxa"/>
            <w:vAlign w:val="bottom"/>
            <w:tcBorders>
              <w:top w:val="single" w:sz="8" w:color="CCEEFF"/>
            </w:tcBorders>
            <w:gridSpan w:val="4"/>
          </w:tcPr>
          <w:p>
            <w:pPr>
              <w:jc w:val="right"/>
              <w:ind w:right="600"/>
              <w:spacing w:after="0"/>
              <w:rPr>
                <w:sz w:val="20"/>
                <w:szCs w:val="20"/>
                <w:color w:val="auto"/>
              </w:rPr>
            </w:pPr>
            <w:r>
              <w:rPr>
                <w:rFonts w:ascii="Arial" w:cs="Arial" w:eastAsia="Arial" w:hAnsi="Arial"/>
                <w:sz w:val="18"/>
                <w:szCs w:val="18"/>
                <w:color w:val="auto"/>
              </w:rPr>
              <w:t>Various through 2077 (i)</w:t>
            </w: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CCEEFF"/>
              <w:bottom w:val="single" w:sz="8" w:color="auto"/>
            </w:tcBorders>
            <w:gridSpan w:val="2"/>
          </w:tcPr>
          <w:p>
            <w:pPr>
              <w:jc w:val="right"/>
              <w:spacing w:after="0"/>
              <w:rPr>
                <w:sz w:val="20"/>
                <w:szCs w:val="20"/>
                <w:color w:val="auto"/>
              </w:rPr>
            </w:pPr>
            <w:r>
              <w:rPr>
                <w:rFonts w:ascii="Arial" w:cs="Arial" w:eastAsia="Arial" w:hAnsi="Arial"/>
                <w:sz w:val="18"/>
                <w:szCs w:val="18"/>
                <w:color w:val="auto"/>
              </w:rPr>
              <w:t>148,211</w:t>
            </w:r>
          </w:p>
        </w:tc>
        <w:tc>
          <w:tcPr>
            <w:tcW w:w="3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1,393,766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Effective Rate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June 30, 2006 (j)</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1,182,366</w:t>
            </w: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89"/>
              </w:rPr>
              <w:t>Total variable rate debt</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211,400</w:t>
            </w:r>
          </w:p>
        </w:tc>
        <w:tc>
          <w:tcPr>
            <w:tcW w:w="32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DEBT AND CAPITAL LEASES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w:t>
            </w:r>
          </w:p>
        </w:tc>
        <w:tc>
          <w:tcPr>
            <w:tcW w:w="1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1,393,766</w:t>
            </w:r>
          </w:p>
        </w:tc>
        <w:tc>
          <w:tcPr>
            <w:tcW w:w="3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6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3"/>
              </w:rPr>
              <w:t>Three months ended June 30,</w:t>
            </w:r>
          </w:p>
        </w:tc>
        <w:tc>
          <w:tcPr>
            <w:tcW w:w="23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Borders>
              <w:bottom w:val="single" w:sz="8" w:color="auto"/>
            </w:tcBorders>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Operational Statistics</w:t>
            </w:r>
          </w:p>
        </w:tc>
        <w:tc>
          <w:tcPr>
            <w:tcW w:w="1100" w:type="dxa"/>
            <w:vAlign w:val="bottom"/>
            <w:tcBorders>
              <w:bottom w:val="single" w:sz="8" w:color="CCEEFF"/>
            </w:tcBorders>
            <w:gridSpan w:val="2"/>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13"/>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ind w:left="60"/>
              <w:spacing w:after="0"/>
              <w:rPr>
                <w:sz w:val="20"/>
                <w:szCs w:val="20"/>
                <w:color w:val="auto"/>
              </w:rPr>
            </w:pPr>
            <w:r>
              <w:rPr>
                <w:rFonts w:ascii="Arial" w:cs="Arial" w:eastAsia="Arial" w:hAnsi="Arial"/>
                <w:sz w:val="18"/>
                <w:szCs w:val="18"/>
                <w:color w:val="auto"/>
              </w:rPr>
              <w:t>(k)</w:t>
            </w: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3.02x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2.57x</w:t>
            </w:r>
          </w:p>
        </w:tc>
        <w:tc>
          <w:tcPr>
            <w:tcW w:w="240" w:type="dxa"/>
            <w:vAlign w:val="bottom"/>
          </w:tcPr>
          <w:p>
            <w:pPr>
              <w:spacing w:after="0"/>
              <w:rPr>
                <w:sz w:val="19"/>
                <w:szCs w:val="19"/>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2.90x</w:t>
            </w:r>
          </w:p>
        </w:tc>
        <w:tc>
          <w:tcPr>
            <w:tcW w:w="20" w:type="dxa"/>
            <w:vAlign w:val="bottom"/>
          </w:tcPr>
          <w:p>
            <w:pPr>
              <w:spacing w:after="0"/>
              <w:rPr>
                <w:sz w:val="19"/>
                <w:szCs w:val="19"/>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2.58x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13"/>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dividends (k)</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2.50x</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2.43x</w:t>
            </w: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2.49x</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90"/>
              </w:rPr>
              <w:t>2.43x</w:t>
            </w:r>
          </w:p>
        </w:tc>
        <w:tc>
          <w:tcPr>
            <w:tcW w:w="4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($23.2 million) of the $77.4 million debt of the partnership with Clarion Lion Properties Fund.</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anytime thereafter.</w:t>
      </w:r>
    </w:p>
    <w:p>
      <w:pPr>
        <w:ind w:left="460" w:right="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$300 million three-year revolving credit facility, with a one-year extension option. The weighted average effective rate, before amortization of debt fees, was 5.43% and 5.26% for the three and six months ended June 30, 2006. On July 28, 2006, this revolving credit facility was paid in full and replaced with a new 4-year $300 million credit facility.</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notes were repaid in full on July 17, 2006 from the proceeds of our issuance of $120 million of fixed rate notes which mature in July 2012 and bear interest at 6.00% and $130 million of fixed rate notes which mature in January 2017 and bear interest at 6.20%.</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ectPr>
          <w:pgSz w:w="11900" w:h="16838" w:orient="portrait"/>
          <w:cols w:equalWidth="0" w:num="1">
            <w:col w:w="11420"/>
          </w:cols>
          <w:pgMar w:left="240" w:top="274" w:right="239" w:bottom="0" w:gutter="0" w:footer="0" w:header="0"/>
        </w:sectPr>
      </w:pPr>
    </w:p>
    <w:bookmarkStart w:id="16" w:name="page17"/>
    <w:bookmarkEnd w:id="16"/>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5" w:lineRule="exact"/>
        <w:rPr>
          <w:rFonts w:ascii="Arial" w:cs="Arial" w:eastAsia="Arial" w:hAnsi="Arial"/>
          <w:sz w:val="18"/>
          <w:szCs w:val="18"/>
          <w:color w:val="auto"/>
        </w:rPr>
      </w:pPr>
    </w:p>
    <w:p>
      <w:pPr>
        <w:ind w:left="452" w:right="72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as of June 30, 2006 is 9.25% on a basis of minimum rent and 13.05% including performance-based participation.</w:t>
      </w:r>
    </w:p>
    <w:p>
      <w:pPr>
        <w:ind w:left="452" w:right="82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and discounts, if applicable, and excludes performance-based rent on capital lease obligations.</w:t>
      </w:r>
    </w:p>
    <w:p>
      <w:pPr>
        <w:ind w:left="452" w:hanging="452"/>
        <w:spacing w:after="0" w:line="255"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B preferred shares. Adjusted EBITDA is reconciled to net income in the Glossary of Terms.</w:t>
      </w:r>
    </w:p>
    <w:p>
      <w:pPr>
        <w:spacing w:after="0" w:line="13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72"/>
          </w:cols>
          <w:pgMar w:left="248" w:top="13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Scheduled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8"/>
        </w:trPr>
        <w:tc>
          <w:tcPr>
            <w:tcW w:w="45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Amortization</w:t>
            </w:r>
          </w:p>
        </w:tc>
        <w:tc>
          <w:tcPr>
            <w:tcW w:w="44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9"/>
              </w:rPr>
              <w:t>Maturities (1)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204,449</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2007</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155,747</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165,692</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2009</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179,349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185,854</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6,996</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2011</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112,252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119,335</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7,195</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2013</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26,416</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7,454</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2015</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145,807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153,008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363,162</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202,802</w:t>
            </w: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1,192,506</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1,395,308(2)</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Maturities include a $100 million term note in 2006, $102 million drawn under the Trust’s $300 million three-year revolving credit facility in 2006 and $150 million term note in 2008. The two term notes were repaid in full on July 17, 2006 from the proceeds of $120 million and $130 million fixed rate notes which mature in 2012 and 2017, respectively. The credit facility was paid in full on July 28, 2006 and replaced with a new $300 million 4-year credit facility which matures in 2010.</w:t>
      </w:r>
    </w:p>
    <w:p>
      <w:pPr>
        <w:spacing w:after="0" w:line="1"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discount on certain senior notes and debentures.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300" w:type="dxa"/>
            <w:vAlign w:val="bottom"/>
          </w:tcPr>
          <w:p>
            <w:pPr>
              <w:spacing w:after="0"/>
              <w:rPr>
                <w:sz w:val="14"/>
                <w:szCs w:val="14"/>
                <w:color w:val="auto"/>
              </w:rPr>
            </w:pPr>
          </w:p>
        </w:tc>
        <w:tc>
          <w:tcPr>
            <w:tcW w:w="15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4"/>
                <w:szCs w:val="14"/>
                <w:color w:val="auto"/>
              </w:rPr>
            </w:pPr>
          </w:p>
        </w:tc>
        <w:tc>
          <w:tcPr>
            <w:tcW w:w="31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Opportunity</w:t>
            </w:r>
          </w:p>
        </w:tc>
        <w:tc>
          <w:tcPr>
            <w:tcW w:w="3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Projected</w:t>
            </w:r>
          </w:p>
        </w:tc>
        <w:tc>
          <w:tcPr>
            <w:tcW w:w="1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1"/>
              </w:rPr>
              <w:t>Projected</w:t>
            </w:r>
          </w:p>
        </w:tc>
        <w:tc>
          <w:tcPr>
            <w:tcW w:w="14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ROI (2)</w:t>
            </w:r>
          </w:p>
        </w:tc>
        <w:tc>
          <w:tcPr>
            <w:tcW w:w="160" w:type="dxa"/>
            <w:vAlign w:val="bottom"/>
          </w:tcPr>
          <w:p>
            <w:pPr>
              <w:spacing w:after="0"/>
              <w:rPr>
                <w:sz w:val="13"/>
                <w:szCs w:val="13"/>
                <w:color w:val="auto"/>
              </w:rPr>
            </w:pPr>
          </w:p>
        </w:tc>
        <w:tc>
          <w:tcPr>
            <w:tcW w:w="70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w w:val="92"/>
              </w:rPr>
              <w:t>Cost (1)</w:t>
            </w:r>
          </w:p>
        </w:tc>
        <w:tc>
          <w:tcPr>
            <w:tcW w:w="140" w:type="dxa"/>
            <w:vAlign w:val="bottom"/>
          </w:tcPr>
          <w:p>
            <w:pPr>
              <w:spacing w:after="0"/>
              <w:rPr>
                <w:sz w:val="13"/>
                <w:szCs w:val="13"/>
                <w:color w:val="auto"/>
              </w:rPr>
            </w:pPr>
          </w:p>
        </w:tc>
        <w:tc>
          <w:tcPr>
            <w:tcW w:w="4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4"/>
              </w:rPr>
              <w:t>Projects Anticipated to Stabilize in 2006 (3)</w:t>
            </w:r>
          </w:p>
        </w:tc>
        <w:tc>
          <w:tcPr>
            <w:tcW w:w="3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Santana Phase IV</w:t>
            </w:r>
          </w:p>
        </w:tc>
        <w:tc>
          <w:tcPr>
            <w:tcW w:w="1860" w:type="dxa"/>
            <w:vAlign w:val="bottom"/>
            <w:gridSpan w:val="2"/>
          </w:tcPr>
          <w:p>
            <w:pPr>
              <w:ind w:left="300"/>
              <w:spacing w:after="0"/>
              <w:rPr>
                <w:sz w:val="20"/>
                <w:szCs w:val="20"/>
                <w:color w:val="auto"/>
              </w:rPr>
            </w:pPr>
            <w:r>
              <w:rPr>
                <w:rFonts w:ascii="Arial" w:cs="Arial" w:eastAsia="Arial" w:hAnsi="Arial"/>
                <w:sz w:val="18"/>
                <w:szCs w:val="18"/>
                <w:color w:val="auto"/>
              </w:rPr>
              <w:t>San Jose, CA</w:t>
            </w:r>
          </w:p>
        </w:tc>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Building 7 residential re-build</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Mount Vernon / South Valley</w:t>
            </w: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Alexandria, VA</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1"/>
              </w:rPr>
              <w:t>Grocer expansion, small shop re-tenanting,</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2"/>
              </w:rPr>
              <w:t>site improvements, addition of five pad site</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three anchors.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Leesburg Plaza</w:t>
            </w:r>
          </w:p>
        </w:tc>
        <w:tc>
          <w:tcPr>
            <w:tcW w:w="1860" w:type="dxa"/>
            <w:vAlign w:val="bottom"/>
            <w:gridSpan w:val="2"/>
          </w:tcPr>
          <w:p>
            <w:pPr>
              <w:ind w:left="300"/>
              <w:spacing w:after="0"/>
              <w:rPr>
                <w:sz w:val="20"/>
                <w:szCs w:val="20"/>
                <w:color w:val="auto"/>
              </w:rPr>
            </w:pPr>
            <w:r>
              <w:rPr>
                <w:rFonts w:ascii="Arial" w:cs="Arial" w:eastAsia="Arial" w:hAnsi="Arial"/>
                <w:sz w:val="18"/>
                <w:szCs w:val="18"/>
                <w:color w:val="auto"/>
              </w:rPr>
              <w:t>Leesburg, VA</w:t>
            </w:r>
          </w:p>
        </w:tc>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Demolish, redevelop and re-tenant the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former Kmart &amp; Peebles.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Village of Shirlington - Phase II</w:t>
            </w: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Arlington, VA</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Ground floor retail and parking garage as</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part of urban mixed-use development (by</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Brick Plaza</w:t>
            </w:r>
          </w:p>
        </w:tc>
        <w:tc>
          <w:tcPr>
            <w:tcW w:w="1860" w:type="dxa"/>
            <w:vAlign w:val="bottom"/>
            <w:gridSpan w:val="2"/>
          </w:tcPr>
          <w:p>
            <w:pPr>
              <w:ind w:left="300"/>
              <w:spacing w:after="0"/>
              <w:rPr>
                <w:sz w:val="20"/>
                <w:szCs w:val="20"/>
                <w:color w:val="auto"/>
              </w:rPr>
            </w:pPr>
            <w:r>
              <w:rPr>
                <w:rFonts w:ascii="Arial" w:cs="Arial" w:eastAsia="Arial" w:hAnsi="Arial"/>
                <w:sz w:val="18"/>
                <w:szCs w:val="18"/>
                <w:color w:val="auto"/>
              </w:rPr>
              <w:t>Brick, NJ</w:t>
            </w:r>
          </w:p>
        </w:tc>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Re-tenanting (electronics)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Hauppauge Shopping Center</w:t>
            </w: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Hauppauge, NY</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Panera Café pad site</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Barracks Road Shopping Center</w:t>
            </w:r>
          </w:p>
        </w:tc>
        <w:tc>
          <w:tcPr>
            <w:tcW w:w="1860" w:type="dxa"/>
            <w:vAlign w:val="bottom"/>
            <w:gridSpan w:val="2"/>
          </w:tcPr>
          <w:p>
            <w:pPr>
              <w:ind w:left="300"/>
              <w:spacing w:after="0"/>
              <w:rPr>
                <w:sz w:val="20"/>
                <w:szCs w:val="20"/>
                <w:color w:val="auto"/>
              </w:rPr>
            </w:pPr>
            <w:r>
              <w:rPr>
                <w:rFonts w:ascii="Arial" w:cs="Arial" w:eastAsia="Arial" w:hAnsi="Arial"/>
                <w:sz w:val="18"/>
                <w:szCs w:val="18"/>
                <w:color w:val="auto"/>
              </w:rPr>
              <w:t>Charlottesville, VA</w:t>
            </w:r>
          </w:p>
        </w:tc>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Chipotle pad site</w:t>
            </w: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2006 (3) (4)</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4"/>
              </w:rPr>
              <w:t>Projects Anticipated to Stabilize in 2007 (3)</w:t>
            </w: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Rockville Town Square</w:t>
            </w: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Rockville, MD</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Ground floor retail as part of urban mixed-</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use development (by others)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Mercer Mall</w:t>
            </w:r>
          </w:p>
        </w:tc>
        <w:tc>
          <w:tcPr>
            <w:tcW w:w="1860" w:type="dxa"/>
            <w:vAlign w:val="bottom"/>
            <w:gridSpan w:val="2"/>
          </w:tcPr>
          <w:p>
            <w:pPr>
              <w:ind w:left="300"/>
              <w:spacing w:after="0"/>
              <w:rPr>
                <w:sz w:val="20"/>
                <w:szCs w:val="20"/>
                <w:color w:val="auto"/>
              </w:rPr>
            </w:pPr>
            <w:r>
              <w:rPr>
                <w:rFonts w:ascii="Arial" w:cs="Arial" w:eastAsia="Arial" w:hAnsi="Arial"/>
                <w:sz w:val="18"/>
                <w:szCs w:val="18"/>
                <w:color w:val="auto"/>
              </w:rPr>
              <w:t>Lawrenceville , NJ</w:t>
            </w:r>
          </w:p>
        </w:tc>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Demolish, redevelop and re-tenant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Willow Lawn</w:t>
            </w: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Richmond, VA</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0"/>
              </w:rPr>
              <w:t>Anchor re-tenanting, small shop demolition,</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façade renovation, and site improvements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Loehmann’s Plaza</w:t>
            </w:r>
          </w:p>
        </w:tc>
        <w:tc>
          <w:tcPr>
            <w:tcW w:w="1860" w:type="dxa"/>
            <w:vAlign w:val="bottom"/>
            <w:gridSpan w:val="2"/>
          </w:tcPr>
          <w:p>
            <w:pPr>
              <w:ind w:left="300"/>
              <w:spacing w:after="0"/>
              <w:rPr>
                <w:sz w:val="20"/>
                <w:szCs w:val="20"/>
                <w:color w:val="auto"/>
              </w:rPr>
            </w:pPr>
            <w:r>
              <w:rPr>
                <w:rFonts w:ascii="Arial" w:cs="Arial" w:eastAsia="Arial" w:hAnsi="Arial"/>
                <w:sz w:val="18"/>
                <w:szCs w:val="18"/>
                <w:color w:val="auto"/>
              </w:rPr>
              <w:t>Falls Church, VA</w:t>
            </w:r>
          </w:p>
        </w:tc>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88"/>
              </w:rPr>
              <w:t>Grocer expansion, anchor relocation, façade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renovation and site improvements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Leesburg Plaza - Pads</w:t>
            </w: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Leesburg, VA</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88"/>
              </w:rPr>
              <w:t>Two new retail buildings and a bank pad site</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will be added</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3"/>
            <w:vMerge w:val="restart"/>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2007 (3) (4)</w:t>
            </w: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60" w:type="dxa"/>
            <w:vAlign w:val="bottom"/>
            <w:vMerge w:val="continue"/>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Projects Anticipated to Stabilize in 2006 and 2007 (3) (4)</w:t>
            </w: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240"/>
        <w:spacing w:after="0" w:line="310" w:lineRule="auto"/>
        <w:rPr>
          <w:sz w:val="20"/>
          <w:szCs w:val="20"/>
          <w:color w:val="auto"/>
        </w:rPr>
      </w:pPr>
      <w:r>
        <w:rPr>
          <w:rFonts w:ascii="Arial" w:cs="Arial" w:eastAsia="Arial" w:hAnsi="Arial"/>
          <w:sz w:val="16"/>
          <w:szCs w:val="16"/>
          <w:b w:val="1"/>
          <w:bCs w:val="1"/>
          <w:color w:val="auto"/>
        </w:rPr>
        <w:t>Redevelopments anticipated to stabilize in 2008 and 2009 include the next phase of Bethesda Row, the next phase of the Village at Shirlington, Galaxy Building and Flourtown representing approximately $100 million of redevelopment capital. The Trust has a pipeline of potential, future redevelopment projects including Pike 7 and Westgate Mall and future phases of Santana Row and Assembly Square. (3)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1" w:lineRule="exact"/>
        <w:rPr>
          <w:sz w:val="20"/>
          <w:szCs w:val="20"/>
          <w:color w:val="auto"/>
        </w:rPr>
      </w:pPr>
    </w:p>
    <w:p>
      <w:pPr>
        <w:jc w:val="both"/>
        <w:ind w:left="460" w:right="20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Anticipated Stabilization is the year in which 95% occupancy of the redeveloped space is anticipated to be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Operational - Phases I, II and</w:t>
            </w:r>
          </w:p>
        </w:tc>
        <w:tc>
          <w:tcPr>
            <w:tcW w:w="256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gridSpan w:val="3"/>
          </w:tcPr>
          <w:p>
            <w:pPr>
              <w:ind w:left="740"/>
              <w:spacing w:after="0"/>
              <w:rPr>
                <w:sz w:val="20"/>
                <w:szCs w:val="20"/>
                <w:color w:val="auto"/>
              </w:rPr>
            </w:pPr>
            <w:r>
              <w:rPr>
                <w:rFonts w:ascii="Arial" w:cs="Arial" w:eastAsia="Arial" w:hAnsi="Arial"/>
                <w:sz w:val="14"/>
                <w:szCs w:val="14"/>
                <w:b w:val="1"/>
                <w:bCs w:val="1"/>
                <w:color w:val="auto"/>
              </w:rPr>
              <w:t>Comments</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b w:val="1"/>
                <w:bCs w:val="1"/>
                <w:color w:val="auto"/>
              </w:rPr>
              <w:t>III (2) (5)</w:t>
            </w: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440"/>
              <w:spacing w:after="0"/>
              <w:rPr>
                <w:sz w:val="20"/>
                <w:szCs w:val="20"/>
                <w:color w:val="auto"/>
              </w:rPr>
            </w:pPr>
            <w:r>
              <w:rPr>
                <w:rFonts w:ascii="Arial" w:cs="Arial" w:eastAsia="Arial" w:hAnsi="Arial"/>
                <w:sz w:val="18"/>
                <w:szCs w:val="18"/>
                <w:color w:val="auto"/>
              </w:rPr>
              <w:t>Retail</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563,000 sf</w:t>
            </w:r>
          </w:p>
        </w:tc>
        <w:tc>
          <w:tcPr>
            <w:tcW w:w="4100" w:type="dxa"/>
            <w:vAlign w:val="bottom"/>
            <w:gridSpan w:val="5"/>
          </w:tcPr>
          <w:p>
            <w:pPr>
              <w:spacing w:after="0"/>
              <w:rPr>
                <w:sz w:val="20"/>
                <w:szCs w:val="20"/>
                <w:color w:val="auto"/>
              </w:rPr>
            </w:pPr>
            <w:r>
              <w:rPr>
                <w:rFonts w:ascii="Arial" w:cs="Arial" w:eastAsia="Arial" w:hAnsi="Arial"/>
                <w:sz w:val="18"/>
                <w:szCs w:val="18"/>
                <w:color w:val="auto"/>
              </w:rPr>
              <w:t>Retail was 94% leased as of June 30, 2006.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9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36 units</w:t>
            </w:r>
          </w:p>
        </w:tc>
        <w:tc>
          <w:tcPr>
            <w:tcW w:w="5900" w:type="dxa"/>
            <w:vAlign w:val="bottom"/>
            <w:gridSpan w:val="6"/>
          </w:tcPr>
          <w:p>
            <w:pPr>
              <w:spacing w:after="0"/>
              <w:rPr>
                <w:sz w:val="20"/>
                <w:szCs w:val="20"/>
                <w:color w:val="auto"/>
              </w:rPr>
            </w:pPr>
            <w:r>
              <w:rPr>
                <w:rFonts w:ascii="Arial" w:cs="Arial" w:eastAsia="Arial" w:hAnsi="Arial"/>
                <w:sz w:val="18"/>
                <w:szCs w:val="18"/>
                <w:color w:val="auto"/>
                <w:w w:val="93"/>
              </w:rPr>
              <w:t>36 townhouse rental units in Building Eight were 97% leased on June 30, 2006.</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b w:val="1"/>
                <w:bCs w:val="1"/>
                <w:color w:val="auto"/>
              </w:rPr>
              <w:t>In Progress (3) (5)</w:t>
            </w: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40"/>
              <w:spacing w:after="0"/>
              <w:rPr>
                <w:sz w:val="20"/>
                <w:szCs w:val="20"/>
                <w:color w:val="auto"/>
              </w:rPr>
            </w:pPr>
            <w:r>
              <w:rPr>
                <w:rFonts w:ascii="Arial" w:cs="Arial" w:eastAsia="Arial" w:hAnsi="Arial"/>
                <w:sz w:val="18"/>
                <w:szCs w:val="18"/>
                <w:color w:val="auto"/>
              </w:rPr>
              <w:t>Residential - for rent</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259 units</w:t>
            </w:r>
          </w:p>
        </w:tc>
        <w:tc>
          <w:tcPr>
            <w:tcW w:w="5900" w:type="dxa"/>
            <w:vAlign w:val="bottom"/>
            <w:gridSpan w:val="6"/>
          </w:tcPr>
          <w:p>
            <w:pPr>
              <w:spacing w:after="0"/>
              <w:rPr>
                <w:sz w:val="20"/>
                <w:szCs w:val="20"/>
                <w:color w:val="auto"/>
              </w:rPr>
            </w:pPr>
            <w:r>
              <w:rPr>
                <w:rFonts w:ascii="Arial" w:cs="Arial" w:eastAsia="Arial" w:hAnsi="Arial"/>
                <w:sz w:val="18"/>
                <w:szCs w:val="18"/>
                <w:color w:val="auto"/>
                <w:w w:val="98"/>
              </w:rPr>
              <w:t>259 rental units being built on the Building Seven podium. Initial occupancy</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gridSpan w:val="6"/>
          </w:tcPr>
          <w:p>
            <w:pPr>
              <w:spacing w:after="0"/>
              <w:rPr>
                <w:sz w:val="20"/>
                <w:szCs w:val="20"/>
                <w:color w:val="auto"/>
              </w:rPr>
            </w:pPr>
            <w:r>
              <w:rPr>
                <w:rFonts w:ascii="Arial" w:cs="Arial" w:eastAsia="Arial" w:hAnsi="Arial"/>
                <w:sz w:val="18"/>
                <w:szCs w:val="18"/>
                <w:color w:val="auto"/>
                <w:w w:val="90"/>
              </w:rPr>
              <w:t>commenced in April 2005 with lease-up expected to continue through 2006. As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gridSpan w:val="6"/>
          </w:tcPr>
          <w:p>
            <w:pPr>
              <w:spacing w:after="0"/>
              <w:rPr>
                <w:sz w:val="20"/>
                <w:szCs w:val="20"/>
                <w:color w:val="auto"/>
              </w:rPr>
            </w:pPr>
            <w:r>
              <w:rPr>
                <w:rFonts w:ascii="Arial" w:cs="Arial" w:eastAsia="Arial" w:hAnsi="Arial"/>
                <w:sz w:val="18"/>
                <w:szCs w:val="18"/>
                <w:color w:val="auto"/>
                <w:w w:val="87"/>
              </w:rPr>
              <w:t>June 30, 2006, 243 units (91 townhomes and 152 flats) have been leased. Projected</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gridSpan w:val="6"/>
          </w:tcPr>
          <w:p>
            <w:pPr>
              <w:spacing w:after="0"/>
              <w:rPr>
                <w:sz w:val="20"/>
                <w:szCs w:val="20"/>
                <w:color w:val="auto"/>
              </w:rPr>
            </w:pPr>
            <w:r>
              <w:rPr>
                <w:rFonts w:ascii="Arial" w:cs="Arial" w:eastAsia="Arial" w:hAnsi="Arial"/>
                <w:sz w:val="18"/>
                <w:szCs w:val="18"/>
                <w:color w:val="auto"/>
                <w:w w:val="91"/>
              </w:rPr>
              <w:t>cost for the 259 units of $71 million is expected to yield 10% upon stabilization in</w:t>
            </w:r>
          </w:p>
        </w:tc>
        <w:tc>
          <w:tcPr>
            <w:tcW w:w="0" w:type="dxa"/>
            <w:vAlign w:val="bottom"/>
          </w:tcPr>
          <w:p>
            <w:pPr>
              <w:spacing w:after="0"/>
              <w:rPr>
                <w:sz w:val="1"/>
                <w:szCs w:val="1"/>
                <w:color w:val="auto"/>
              </w:rPr>
            </w:pPr>
          </w:p>
        </w:tc>
      </w:tr>
      <w:tr>
        <w:trPr>
          <w:trHeight w:val="222"/>
        </w:trPr>
        <w:tc>
          <w:tcPr>
            <w:tcW w:w="2960" w:type="dxa"/>
            <w:vAlign w:val="bottom"/>
            <w:vMerge w:val="restart"/>
          </w:tcPr>
          <w:p>
            <w:pPr>
              <w:ind w:left="440"/>
              <w:spacing w:after="0"/>
              <w:rPr>
                <w:sz w:val="20"/>
                <w:szCs w:val="20"/>
                <w:color w:val="auto"/>
              </w:rPr>
            </w:pPr>
            <w:r>
              <w:rPr>
                <w:rFonts w:ascii="Arial" w:cs="Arial" w:eastAsia="Arial" w:hAnsi="Arial"/>
                <w:sz w:val="18"/>
                <w:szCs w:val="18"/>
                <w:color w:val="auto"/>
              </w:rPr>
              <w:t>Phase IV</w:t>
            </w: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2006.</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40"/>
              <w:spacing w:after="0"/>
              <w:rPr>
                <w:sz w:val="20"/>
                <w:szCs w:val="20"/>
                <w:color w:val="auto"/>
              </w:rPr>
            </w:pPr>
            <w:r>
              <w:rPr>
                <w:rFonts w:ascii="Arial" w:cs="Arial" w:eastAsia="Arial" w:hAnsi="Arial"/>
                <w:sz w:val="18"/>
                <w:szCs w:val="18"/>
                <w:color w:val="auto"/>
              </w:rPr>
              <w:t>Residential - for sale</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219 units</w:t>
            </w:r>
          </w:p>
        </w:tc>
        <w:tc>
          <w:tcPr>
            <w:tcW w:w="5900" w:type="dxa"/>
            <w:vAlign w:val="bottom"/>
            <w:gridSpan w:val="6"/>
          </w:tcPr>
          <w:p>
            <w:pPr>
              <w:spacing w:after="0"/>
              <w:rPr>
                <w:sz w:val="20"/>
                <w:szCs w:val="20"/>
                <w:color w:val="auto"/>
              </w:rPr>
            </w:pPr>
            <w:r>
              <w:rPr>
                <w:rFonts w:ascii="Arial" w:cs="Arial" w:eastAsia="Arial" w:hAnsi="Arial"/>
                <w:sz w:val="18"/>
                <w:szCs w:val="18"/>
                <w:color w:val="auto"/>
                <w:w w:val="91"/>
              </w:rPr>
              <w:t>Closings on the sale of loft and villa units commenced in August 2005. Projected</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w w:val="92"/>
              </w:rPr>
              <w:t>gross sales proceeds of approximately $153 million. (4)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960" w:type="dxa"/>
            <w:vAlign w:val="bottom"/>
          </w:tcPr>
          <w:p>
            <w:pPr>
              <w:spacing w:after="0"/>
              <w:rPr>
                <w:sz w:val="24"/>
                <w:szCs w:val="24"/>
                <w:color w:val="auto"/>
              </w:rPr>
            </w:pPr>
          </w:p>
        </w:tc>
        <w:tc>
          <w:tcPr>
            <w:tcW w:w="2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Commitments/Closings:</w:t>
            </w:r>
          </w:p>
        </w:tc>
        <w:tc>
          <w:tcPr>
            <w:tcW w:w="5900" w:type="dxa"/>
            <w:vAlign w:val="bottom"/>
            <w:gridSpan w:val="6"/>
          </w:tcPr>
          <w:p>
            <w:pPr>
              <w:spacing w:after="0"/>
              <w:rPr>
                <w:sz w:val="20"/>
                <w:szCs w:val="20"/>
                <w:color w:val="auto"/>
              </w:rPr>
            </w:pPr>
            <w:r>
              <w:rPr>
                <w:rFonts w:ascii="Arial" w:cs="Arial" w:eastAsia="Arial" w:hAnsi="Arial"/>
                <w:sz w:val="18"/>
                <w:szCs w:val="18"/>
                <w:b w:val="1"/>
                <w:bCs w:val="1"/>
                <w:color w:val="auto"/>
                <w:w w:val="90"/>
              </w:rPr>
              <w:t>215 units have been closed, with associated gross sales proceeds of $149.2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million.</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(as of July 31, 2006)</w:t>
            </w:r>
          </w:p>
        </w:tc>
        <w:tc>
          <w:tcPr>
            <w:tcW w:w="5900" w:type="dxa"/>
            <w:vAlign w:val="bottom"/>
            <w:gridSpan w:val="6"/>
          </w:tcPr>
          <w:p>
            <w:pPr>
              <w:spacing w:after="0"/>
              <w:rPr>
                <w:sz w:val="20"/>
                <w:szCs w:val="20"/>
                <w:color w:val="auto"/>
              </w:rPr>
            </w:pPr>
            <w:r>
              <w:rPr>
                <w:rFonts w:ascii="Arial" w:cs="Arial" w:eastAsia="Arial" w:hAnsi="Arial"/>
                <w:sz w:val="18"/>
                <w:szCs w:val="18"/>
                <w:b w:val="1"/>
                <w:bCs w:val="1"/>
                <w:color w:val="auto"/>
                <w:w w:val="85"/>
              </w:rPr>
              <w:t>Four units are under binding contracts, with associated gross sales proceeds of</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$4.0 million.</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960" w:type="dxa"/>
            <w:vAlign w:val="bottom"/>
          </w:tcPr>
          <w:p>
            <w:pPr>
              <w:spacing w:after="0"/>
              <w:rPr>
                <w:sz w:val="24"/>
                <w:szCs w:val="24"/>
                <w:color w:val="auto"/>
              </w:rPr>
            </w:pPr>
          </w:p>
        </w:tc>
        <w:tc>
          <w:tcPr>
            <w:tcW w:w="2560" w:type="dxa"/>
            <w:vAlign w:val="bottom"/>
            <w:gridSpan w:val="2"/>
            <w:vMerge w:val="restart"/>
          </w:tcPr>
          <w:p>
            <w:pPr>
              <w:jc w:val="right"/>
              <w:ind w:right="480"/>
              <w:spacing w:after="0"/>
              <w:rPr>
                <w:sz w:val="20"/>
                <w:szCs w:val="20"/>
                <w:color w:val="auto"/>
              </w:rPr>
            </w:pPr>
            <w:r>
              <w:rPr>
                <w:rFonts w:ascii="Arial" w:cs="Arial" w:eastAsia="Arial" w:hAnsi="Arial"/>
                <w:sz w:val="18"/>
                <w:szCs w:val="18"/>
                <w:i w:val="1"/>
                <w:iCs w:val="1"/>
                <w:color w:val="auto"/>
              </w:rPr>
              <w:t>Building Three (98 lofts)</w:t>
            </w:r>
          </w:p>
        </w:tc>
        <w:tc>
          <w:tcPr>
            <w:tcW w:w="1420" w:type="dxa"/>
            <w:vAlign w:val="bottom"/>
          </w:tcPr>
          <w:p>
            <w:pPr>
              <w:ind w:left="340"/>
              <w:spacing w:after="0"/>
              <w:rPr>
                <w:sz w:val="20"/>
                <w:szCs w:val="20"/>
                <w:color w:val="auto"/>
              </w:rPr>
            </w:pPr>
            <w:r>
              <w:rPr>
                <w:rFonts w:ascii="Arial" w:cs="Arial" w:eastAsia="Arial" w:hAnsi="Arial"/>
                <w:sz w:val="14"/>
                <w:szCs w:val="14"/>
                <w:b w:val="1"/>
                <w:bCs w:val="1"/>
                <w:color w:val="auto"/>
              </w:rPr>
              <w:t>Units Closed</w:t>
            </w:r>
          </w:p>
        </w:tc>
        <w:tc>
          <w:tcPr>
            <w:tcW w:w="480" w:type="dxa"/>
            <w:vAlign w:val="bottom"/>
          </w:tcPr>
          <w:p>
            <w:pPr>
              <w:spacing w:after="0"/>
              <w:rPr>
                <w:sz w:val="24"/>
                <w:szCs w:val="24"/>
                <w:color w:val="auto"/>
              </w:rPr>
            </w:pPr>
          </w:p>
        </w:tc>
        <w:tc>
          <w:tcPr>
            <w:tcW w:w="22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9"/>
              </w:rPr>
              <w:t>Units Under Contract</w:t>
            </w:r>
          </w:p>
        </w:tc>
        <w:tc>
          <w:tcPr>
            <w:tcW w:w="1800" w:type="dxa"/>
            <w:vAlign w:val="bottom"/>
          </w:tcPr>
          <w:p>
            <w:pPr>
              <w:jc w:val="center"/>
              <w:ind w:right="376"/>
              <w:spacing w:after="0"/>
              <w:rPr>
                <w:sz w:val="20"/>
                <w:szCs w:val="20"/>
                <w:color w:val="auto"/>
              </w:rPr>
            </w:pPr>
            <w:r>
              <w:rPr>
                <w:rFonts w:ascii="Arial" w:cs="Arial" w:eastAsia="Arial" w:hAnsi="Arial"/>
                <w:sz w:val="14"/>
                <w:szCs w:val="14"/>
                <w:b w:val="1"/>
                <w:bCs w:val="1"/>
                <w:color w:val="auto"/>
                <w:w w:val="88"/>
              </w:rPr>
              <w:t>Units Remaining</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1420" w:type="dxa"/>
            <w:vAlign w:val="bottom"/>
            <w:tcBorders>
              <w:top w:val="single" w:sz="8" w:color="auto"/>
            </w:tcBorders>
          </w:tcPr>
          <w:p>
            <w:pPr>
              <w:jc w:val="right"/>
              <w:ind w:right="493"/>
              <w:spacing w:after="0" w:line="195" w:lineRule="exact"/>
              <w:rPr>
                <w:sz w:val="20"/>
                <w:szCs w:val="20"/>
                <w:color w:val="auto"/>
              </w:rPr>
            </w:pPr>
            <w:r>
              <w:rPr>
                <w:rFonts w:ascii="Arial" w:cs="Arial" w:eastAsia="Arial" w:hAnsi="Arial"/>
                <w:sz w:val="18"/>
                <w:szCs w:val="18"/>
                <w:b w:val="1"/>
                <w:bCs w:val="1"/>
                <w:color w:val="auto"/>
              </w:rPr>
              <w:t>95</w:t>
            </w:r>
          </w:p>
        </w:tc>
        <w:tc>
          <w:tcPr>
            <w:tcW w:w="48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3</w:t>
            </w:r>
          </w:p>
        </w:tc>
        <w:tc>
          <w:tcPr>
            <w:tcW w:w="4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ind w:right="376"/>
              <w:spacing w:after="0" w:line="195" w:lineRule="exact"/>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5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Building Four (100 lofts)</w:t>
            </w:r>
          </w:p>
        </w:tc>
        <w:tc>
          <w:tcPr>
            <w:tcW w:w="1420" w:type="dxa"/>
            <w:vAlign w:val="bottom"/>
          </w:tcPr>
          <w:p>
            <w:pPr>
              <w:jc w:val="right"/>
              <w:ind w:right="493"/>
              <w:spacing w:after="0"/>
              <w:rPr>
                <w:sz w:val="20"/>
                <w:szCs w:val="20"/>
                <w:color w:val="auto"/>
              </w:rPr>
            </w:pPr>
            <w:r>
              <w:rPr>
                <w:rFonts w:ascii="Arial" w:cs="Arial" w:eastAsia="Arial" w:hAnsi="Arial"/>
                <w:sz w:val="18"/>
                <w:szCs w:val="18"/>
                <w:b w:val="1"/>
                <w:bCs w:val="1"/>
                <w:color w:val="auto"/>
              </w:rPr>
              <w:t>100</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79"/>
              </w:rPr>
              <w:t>0</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center"/>
              <w:ind w:right="376"/>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5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Building Six (21 villas)</w:t>
            </w:r>
          </w:p>
        </w:tc>
        <w:tc>
          <w:tcPr>
            <w:tcW w:w="1420" w:type="dxa"/>
            <w:vAlign w:val="bottom"/>
          </w:tcPr>
          <w:p>
            <w:pPr>
              <w:jc w:val="right"/>
              <w:ind w:right="493"/>
              <w:spacing w:after="0"/>
              <w:rPr>
                <w:sz w:val="20"/>
                <w:szCs w:val="20"/>
                <w:color w:val="auto"/>
              </w:rPr>
            </w:pPr>
            <w:r>
              <w:rPr>
                <w:rFonts w:ascii="Arial" w:cs="Arial" w:eastAsia="Arial" w:hAnsi="Arial"/>
                <w:sz w:val="18"/>
                <w:szCs w:val="18"/>
                <w:b w:val="1"/>
                <w:bCs w:val="1"/>
                <w:color w:val="auto"/>
              </w:rPr>
              <w:t>20</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79"/>
              </w:rPr>
              <w:t>1</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center"/>
              <w:ind w:right="376"/>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256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Total</w:t>
            </w:r>
          </w:p>
        </w:tc>
        <w:tc>
          <w:tcPr>
            <w:tcW w:w="1420" w:type="dxa"/>
            <w:vAlign w:val="bottom"/>
          </w:tcPr>
          <w:p>
            <w:pPr>
              <w:jc w:val="right"/>
              <w:ind w:right="493"/>
              <w:spacing w:after="0"/>
              <w:rPr>
                <w:sz w:val="20"/>
                <w:szCs w:val="20"/>
                <w:color w:val="auto"/>
              </w:rPr>
            </w:pPr>
            <w:r>
              <w:rPr>
                <w:rFonts w:ascii="Arial" w:cs="Arial" w:eastAsia="Arial" w:hAnsi="Arial"/>
                <w:sz w:val="18"/>
                <w:szCs w:val="18"/>
                <w:b w:val="1"/>
                <w:bCs w:val="1"/>
                <w:color w:val="auto"/>
              </w:rPr>
              <w:t>215</w:t>
            </w:r>
          </w:p>
        </w:tc>
        <w:tc>
          <w:tcPr>
            <w:tcW w:w="17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79"/>
              </w:rPr>
              <w:t>4</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center"/>
              <w:ind w:right="376"/>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b w:val="1"/>
                <w:bCs w:val="1"/>
                <w:color w:val="auto"/>
              </w:rPr>
              <w:t>Future (6)</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Retail</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125,000 sf</w:t>
            </w:r>
          </w:p>
        </w:tc>
        <w:tc>
          <w:tcPr>
            <w:tcW w:w="4100" w:type="dxa"/>
            <w:vAlign w:val="bottom"/>
            <w:gridSpan w:val="5"/>
          </w:tcPr>
          <w:p>
            <w:pPr>
              <w:spacing w:after="0"/>
              <w:rPr>
                <w:sz w:val="20"/>
                <w:szCs w:val="20"/>
                <w:color w:val="auto"/>
              </w:rPr>
            </w:pPr>
            <w:r>
              <w:rPr>
                <w:rFonts w:ascii="Arial" w:cs="Arial" w:eastAsia="Arial" w:hAnsi="Arial"/>
                <w:sz w:val="18"/>
                <w:szCs w:val="18"/>
                <w:color w:val="auto"/>
              </w:rPr>
              <w:t>Currently being master planned</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Residential</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687 units</w:t>
            </w:r>
          </w:p>
        </w:tc>
        <w:tc>
          <w:tcPr>
            <w:tcW w:w="4100" w:type="dxa"/>
            <w:vAlign w:val="bottom"/>
            <w:gridSpan w:val="5"/>
          </w:tcPr>
          <w:p>
            <w:pPr>
              <w:spacing w:after="0"/>
              <w:rPr>
                <w:sz w:val="20"/>
                <w:szCs w:val="20"/>
                <w:color w:val="auto"/>
              </w:rPr>
            </w:pPr>
            <w:r>
              <w:rPr>
                <w:rFonts w:ascii="Arial" w:cs="Arial" w:eastAsia="Arial" w:hAnsi="Arial"/>
                <w:sz w:val="18"/>
                <w:szCs w:val="18"/>
                <w:color w:val="auto"/>
              </w:rPr>
              <w:t>Currently being master planned.</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Hotel</w:t>
            </w:r>
          </w:p>
        </w:tc>
        <w:tc>
          <w:tcPr>
            <w:tcW w:w="2560" w:type="dxa"/>
            <w:vAlign w:val="bottom"/>
            <w:gridSpan w:val="2"/>
          </w:tcPr>
          <w:p>
            <w:pPr>
              <w:jc w:val="right"/>
              <w:ind w:right="480"/>
              <w:spacing w:after="0"/>
              <w:rPr>
                <w:sz w:val="20"/>
                <w:szCs w:val="20"/>
                <w:color w:val="auto"/>
              </w:rPr>
            </w:pPr>
            <w:r>
              <w:rPr>
                <w:rFonts w:ascii="Arial" w:cs="Arial" w:eastAsia="Arial" w:hAnsi="Arial"/>
                <w:sz w:val="18"/>
                <w:szCs w:val="18"/>
                <w:color w:val="auto"/>
              </w:rPr>
              <w:t>191 rooms</w:t>
            </w:r>
          </w:p>
        </w:tc>
        <w:tc>
          <w:tcPr>
            <w:tcW w:w="4100" w:type="dxa"/>
            <w:vAlign w:val="bottom"/>
            <w:gridSpan w:val="5"/>
          </w:tcPr>
          <w:p>
            <w:pPr>
              <w:spacing w:after="0"/>
              <w:rPr>
                <w:sz w:val="20"/>
                <w:szCs w:val="20"/>
                <w:color w:val="auto"/>
              </w:rPr>
            </w:pPr>
            <w:r>
              <w:rPr>
                <w:rFonts w:ascii="Arial" w:cs="Arial" w:eastAsia="Arial" w:hAnsi="Arial"/>
                <w:sz w:val="18"/>
                <w:szCs w:val="18"/>
                <w:color w:val="auto"/>
              </w:rPr>
              <w:t>Currently being master planned</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All costs are projected final costs. Yield represents stabilized projected Property Operating Income divided by projected final costs.</w:t>
      </w:r>
    </w:p>
    <w:p>
      <w:pPr>
        <w:spacing w:after="0" w:line="9" w:lineRule="exact"/>
        <w:rPr>
          <w:rFonts w:ascii="Arial" w:cs="Arial" w:eastAsia="Arial" w:hAnsi="Arial"/>
          <w:sz w:val="18"/>
          <w:szCs w:val="18"/>
          <w:b w:val="1"/>
          <w:bCs w:val="1"/>
          <w:color w:val="auto"/>
        </w:rPr>
      </w:pPr>
    </w:p>
    <w:p>
      <w:pPr>
        <w:ind w:left="460" w:right="220" w:hanging="452"/>
        <w:spacing w:after="0" w:line="250"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portions of the property currently open and operating which include luxury and lifestyle retail components, townhome residential units, and the 213-room Hotel Valencia Santana Row.</w:t>
      </w: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Developments and other significant activities being actively pursued at Santana Row.</w:t>
      </w:r>
    </w:p>
    <w:p>
      <w:pPr>
        <w:spacing w:after="0" w:line="9" w:lineRule="exact"/>
        <w:rPr>
          <w:rFonts w:ascii="Arial" w:cs="Arial" w:eastAsia="Arial" w:hAnsi="Arial"/>
          <w:sz w:val="18"/>
          <w:szCs w:val="18"/>
          <w:b w:val="1"/>
          <w:bCs w:val="1"/>
          <w:color w:val="auto"/>
        </w:rPr>
      </w:pPr>
    </w:p>
    <w:p>
      <w:pPr>
        <w:ind w:left="460" w:right="220" w:hanging="452"/>
        <w:spacing w:after="0" w:line="250"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Projected gross sales represent actual sales prices for units sold and contract prices for units under contract, without taking into account any costs of sale, including, without limitation, any income taxes that may be paid.</w:t>
      </w:r>
    </w:p>
    <w:p>
      <w:pPr>
        <w:ind w:left="460" w:right="180" w:hanging="452"/>
        <w:spacing w:after="0" w:line="250"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$432 million of projected costs at Santana Row is expected to yield 7% upon both of the following having occurred: (1) stabilization of Phases I - IV (net of insurance proceeds), and (2) completion of the sale of 219 condominiums expected in 2006. The projected cost includes $11 million invested in joint ventures at Santana Row.</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Remaining entitlements for development or sale.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Significant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June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 Acquisitions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560" w:type="dxa"/>
            <w:vAlign w:val="bottom"/>
            <w:gridSpan w:val="2"/>
          </w:tcPr>
          <w:p>
            <w:pPr>
              <w:ind w:left="64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Purchase price</w:t>
            </w:r>
          </w:p>
        </w:tc>
        <w:tc>
          <w:tcPr>
            <w:tcW w:w="120" w:type="dxa"/>
            <w:vAlign w:val="bottom"/>
          </w:tcPr>
          <w:p>
            <w:pPr>
              <w:spacing w:after="0"/>
              <w:rPr>
                <w:sz w:val="14"/>
                <w:szCs w:val="14"/>
                <w:color w:val="auto"/>
              </w:rPr>
            </w:pPr>
          </w:p>
        </w:tc>
        <w:tc>
          <w:tcPr>
            <w:tcW w:w="2140" w:type="dxa"/>
            <w:vAlign w:val="bottom"/>
          </w:tcPr>
          <w:p>
            <w:pPr>
              <w:ind w:left="62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2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4900 Hampden Lane (1)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Bethesda, MD</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Washington Sports Club</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January 27, 2006</w:t>
            </w:r>
          </w:p>
        </w:tc>
        <w:tc>
          <w:tcPr>
            <w:tcW w:w="20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7770 Richmond Highway</w:t>
            </w: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Alexandria, VA</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60,000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Gold’s Gym</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2006</w:t>
            </w:r>
          </w:p>
        </w:tc>
        <w:tc>
          <w:tcPr>
            <w:tcW w:w="2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Town Center of New Britain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New Britain, PA</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126,000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Clemens Market, Rite Aid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221,000</w:t>
            </w:r>
          </w:p>
        </w:tc>
        <w:tc>
          <w:tcPr>
            <w:tcW w:w="10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Federal Realty Investment Trust Dispositions</w:t>
            </w: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62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60" w:type="dxa"/>
            <w:vAlign w:val="bottom"/>
            <w:tcBorders>
              <w:top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24"/>
                <w:szCs w:val="24"/>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Sales price</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January -June 2006</w:t>
            </w:r>
          </w:p>
        </w:tc>
        <w:tc>
          <w:tcPr>
            <w:tcW w:w="2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Santana Row condominiums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81 units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June 5, 2006</w:t>
            </w:r>
          </w:p>
        </w:tc>
        <w:tc>
          <w:tcPr>
            <w:tcW w:w="20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Greenlawn Plaza Shopping Center (2)</w:t>
            </w: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Huntington, NY</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102,000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4900 Hampden Lane is a fully-leased retail parcel adjacent to Betheseda Row and is included in Bethesda Row on the Real Estate Status Report.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Greenlawn Plaza was sold by the Trust to a subsidiary of our partnership with Clarion Lion Properties Fund.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 w:name="page22"/>
    <w:bookmarkEnd w:id="2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MSA</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Mortgage or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9"/>
              </w:rPr>
              <w:t>Grocery</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Year</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Capital Lease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4"/>
                <w:szCs w:val="14"/>
                <w:b w:val="1"/>
                <w:bCs w:val="1"/>
                <w:color w:val="auto"/>
                <w:w w:val="89"/>
              </w:rPr>
              <w:t>Anchor</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Description</w:t>
            </w: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Acquired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1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 (1)</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 Leased</w:t>
            </w:r>
          </w:p>
        </w:tc>
        <w:tc>
          <w:tcPr>
            <w:tcW w:w="500" w:type="dxa"/>
            <w:vAlign w:val="bottom"/>
          </w:tcPr>
          <w:p>
            <w:pPr>
              <w:spacing w:after="0"/>
              <w:rPr>
                <w:sz w:val="20"/>
                <w:szCs w:val="20"/>
                <w:color w:val="auto"/>
              </w:rPr>
            </w:pPr>
            <w:r>
              <w:rPr>
                <w:rFonts w:ascii="Arial" w:cs="Arial" w:eastAsia="Arial" w:hAnsi="Arial"/>
                <w:sz w:val="14"/>
                <w:szCs w:val="14"/>
                <w:b w:val="1"/>
                <w:bCs w:val="1"/>
                <w:color w:val="auto"/>
                <w:w w:val="94"/>
              </w:rPr>
              <w:t>GLA (4)</w:t>
            </w:r>
          </w:p>
        </w:tc>
        <w:tc>
          <w:tcPr>
            <w:tcW w:w="10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Grocery Anchor (4)</w:t>
            </w:r>
          </w:p>
        </w:tc>
        <w:tc>
          <w:tcPr>
            <w:tcW w:w="10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auto"/>
                <w:w w:val="89"/>
              </w:rPr>
              <w:t>Other Principal Tenants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left w:val="single" w:sz="8" w:color="CCEEFF"/>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w w:val="87"/>
              </w:rPr>
              <w:t>Washington</w:t>
            </w:r>
          </w:p>
        </w:tc>
        <w:tc>
          <w:tcPr>
            <w:tcW w:w="32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gridSpan w:val="5"/>
          </w:tcPr>
          <w:p>
            <w:pPr>
              <w:jc w:val="center"/>
              <w:ind w:right="20"/>
              <w:spacing w:after="0" w:line="196" w:lineRule="exact"/>
              <w:rPr>
                <w:sz w:val="20"/>
                <w:szCs w:val="20"/>
                <w:color w:val="auto"/>
              </w:rPr>
            </w:pPr>
            <w:r>
              <w:rPr>
                <w:rFonts w:ascii="Arial" w:cs="Arial" w:eastAsia="Arial" w:hAnsi="Arial"/>
                <w:sz w:val="18"/>
                <w:szCs w:val="18"/>
                <w:b w:val="1"/>
                <w:bCs w:val="1"/>
                <w:color w:val="auto"/>
                <w:w w:val="91"/>
              </w:rPr>
              <w:t>Metropolitan Area</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Bethesda Row</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40,000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Landmark Theater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Washington Sports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Club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w w:val="92"/>
              </w:rPr>
              <w:t>Congressional Plaza</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1965</w:t>
            </w:r>
          </w:p>
        </w:tc>
        <w:tc>
          <w:tcPr>
            <w:tcW w:w="840" w:type="dxa"/>
            <w:vAlign w:val="bottom"/>
          </w:tcPr>
          <w:p>
            <w:pPr>
              <w:jc w:val="right"/>
              <w:spacing w:after="0"/>
              <w:rPr>
                <w:sz w:val="20"/>
                <w:szCs w:val="20"/>
                <w:color w:val="auto"/>
              </w:rPr>
            </w:pPr>
            <w:r>
              <w:rPr>
                <w:rFonts w:ascii="Arial" w:cs="Arial" w:eastAsia="Arial" w:hAnsi="Arial"/>
                <w:sz w:val="18"/>
                <w:szCs w:val="18"/>
                <w:color w:val="auto"/>
              </w:rPr>
              <w:t>68,160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338,000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0"/>
                <w:szCs w:val="20"/>
                <w:color w:val="auto"/>
              </w:rPr>
            </w:pPr>
            <w:r>
              <w:rPr>
                <w:rFonts w:ascii="Arial" w:cs="Arial" w:eastAsia="Arial" w:hAnsi="Arial"/>
                <w:sz w:val="18"/>
                <w:szCs w:val="18"/>
                <w:color w:val="auto"/>
                <w:w w:val="87"/>
              </w:rPr>
              <w:t>28,000</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Whole Foods</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9"/>
              </w:rPr>
              <w:t>Courthouse Center</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Falls Plaza</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1967</w:t>
            </w:r>
          </w:p>
        </w:tc>
        <w:tc>
          <w:tcPr>
            <w:tcW w:w="840" w:type="dxa"/>
            <w:vAlign w:val="bottom"/>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r>
              <w:rPr>
                <w:rFonts w:ascii="Arial" w:cs="Arial" w:eastAsia="Arial" w:hAnsi="Arial"/>
                <w:sz w:val="18"/>
                <w:szCs w:val="18"/>
                <w:color w:val="auto"/>
                <w:w w:val="87"/>
              </w:rPr>
              <w:t>51,000</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Giant Food</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Falls Plaza-East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CVS / Staples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Federal Plaza</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1989</w:t>
            </w:r>
          </w:p>
        </w:tc>
        <w:tc>
          <w:tcPr>
            <w:tcW w:w="840" w:type="dxa"/>
            <w:vAlign w:val="bottom"/>
          </w:tcPr>
          <w:p>
            <w:pPr>
              <w:jc w:val="right"/>
              <w:spacing w:after="0"/>
              <w:rPr>
                <w:sz w:val="20"/>
                <w:szCs w:val="20"/>
                <w:color w:val="auto"/>
              </w:rPr>
            </w:pPr>
            <w:r>
              <w:rPr>
                <w:rFonts w:ascii="Arial" w:cs="Arial" w:eastAsia="Arial" w:hAnsi="Arial"/>
                <w:sz w:val="18"/>
                <w:szCs w:val="18"/>
                <w:color w:val="auto"/>
              </w:rPr>
              <w:t>62,290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34,428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247,000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CompUSA / 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Friendship Center</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Borders / Linens ‘n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Things / Maggiano’s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w w:val="90"/>
              </w:rPr>
              <w:t>Gaithersburg Square</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1993</w:t>
            </w:r>
          </w:p>
        </w:tc>
        <w:tc>
          <w:tcPr>
            <w:tcW w:w="840" w:type="dxa"/>
            <w:vAlign w:val="bottom"/>
          </w:tcPr>
          <w:p>
            <w:pPr>
              <w:jc w:val="right"/>
              <w:spacing w:after="0"/>
              <w:rPr>
                <w:sz w:val="20"/>
                <w:szCs w:val="20"/>
                <w:color w:val="auto"/>
              </w:rPr>
            </w:pPr>
            <w:r>
              <w:rPr>
                <w:rFonts w:ascii="Arial" w:cs="Arial" w:eastAsia="Arial" w:hAnsi="Arial"/>
                <w:sz w:val="18"/>
                <w:szCs w:val="18"/>
                <w:color w:val="auto"/>
              </w:rPr>
              <w:t>23,767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7"/>
              </w:rPr>
              <w:t>Beyond / Borders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Idylwood Plaza</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30,000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Whole Foods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Laurel</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1986</w:t>
            </w:r>
          </w:p>
        </w:tc>
        <w:tc>
          <w:tcPr>
            <w:tcW w:w="840" w:type="dxa"/>
            <w:vAlign w:val="bottom"/>
          </w:tcPr>
          <w:p>
            <w:pPr>
              <w:jc w:val="right"/>
              <w:spacing w:after="0"/>
              <w:rPr>
                <w:sz w:val="20"/>
                <w:szCs w:val="20"/>
                <w:color w:val="auto"/>
              </w:rPr>
            </w:pPr>
            <w:r>
              <w:rPr>
                <w:rFonts w:ascii="Arial" w:cs="Arial" w:eastAsia="Arial" w:hAnsi="Arial"/>
                <w:sz w:val="18"/>
                <w:szCs w:val="18"/>
                <w:color w:val="auto"/>
              </w:rPr>
              <w:t>45,886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387,000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20"/>
                <w:szCs w:val="20"/>
                <w:color w:val="auto"/>
              </w:rPr>
            </w:pPr>
            <w:r>
              <w:rPr>
                <w:rFonts w:ascii="Arial" w:cs="Arial" w:eastAsia="Arial" w:hAnsi="Arial"/>
                <w:sz w:val="18"/>
                <w:szCs w:val="18"/>
                <w:color w:val="auto"/>
                <w:w w:val="87"/>
              </w:rPr>
              <w:t>61,000</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Giant Food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7"/>
              </w:rPr>
              <w:t>Marshalls / Toys 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55,000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Champion Billiards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 Petsmart / Pier 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Office 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Loehmann’s Plaza</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1983</w:t>
            </w:r>
          </w:p>
        </w:tc>
        <w:tc>
          <w:tcPr>
            <w:tcW w:w="840" w:type="dxa"/>
            <w:vAlign w:val="bottom"/>
          </w:tcPr>
          <w:p>
            <w:pPr>
              <w:jc w:val="right"/>
              <w:spacing w:after="0"/>
              <w:rPr>
                <w:sz w:val="20"/>
                <w:szCs w:val="20"/>
                <w:color w:val="auto"/>
              </w:rPr>
            </w:pPr>
            <w:r>
              <w:rPr>
                <w:rFonts w:ascii="Arial" w:cs="Arial" w:eastAsia="Arial" w:hAnsi="Arial"/>
                <w:sz w:val="18"/>
                <w:szCs w:val="18"/>
                <w:color w:val="auto"/>
              </w:rPr>
              <w:t>24,371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Bally’s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Loehmann’s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Mid-Pike Plaza</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Linens ‘n Things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Toys R Us / Bally’s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 Moore / Filene’s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Mount Vernon</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2003</w:t>
            </w:r>
          </w:p>
        </w:tc>
        <w:tc>
          <w:tcPr>
            <w:tcW w:w="840" w:type="dxa"/>
            <w:vAlign w:val="bottom"/>
          </w:tcPr>
          <w:p>
            <w:pPr>
              <w:jc w:val="right"/>
              <w:spacing w:after="0"/>
              <w:rPr>
                <w:sz w:val="20"/>
                <w:szCs w:val="20"/>
                <w:color w:val="auto"/>
              </w:rPr>
            </w:pPr>
            <w:r>
              <w:rPr>
                <w:rFonts w:ascii="Arial" w:cs="Arial" w:eastAsia="Arial" w:hAnsi="Arial"/>
                <w:sz w:val="18"/>
                <w:szCs w:val="18"/>
                <w:color w:val="auto"/>
              </w:rPr>
              <w:t>41,700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0"/>
                <w:szCs w:val="20"/>
                <w:color w:val="auto"/>
              </w:rPr>
            </w:pPr>
            <w:r>
              <w:rPr>
                <w:rFonts w:ascii="Arial" w:cs="Arial" w:eastAsia="Arial" w:hAnsi="Arial"/>
                <w:sz w:val="18"/>
                <w:szCs w:val="18"/>
                <w:color w:val="auto"/>
                <w:w w:val="87"/>
              </w:rPr>
              <w:t>54,000</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Shoppers Food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Warehouse</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9"/>
              </w:rPr>
              <w:t>Beyond / Michaels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Old Keene Mill</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24,000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Whole Foods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Pan Am</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1993</w:t>
            </w:r>
          </w:p>
        </w:tc>
        <w:tc>
          <w:tcPr>
            <w:tcW w:w="840" w:type="dxa"/>
            <w:vAlign w:val="bottom"/>
          </w:tcPr>
          <w:p>
            <w:pPr>
              <w:jc w:val="right"/>
              <w:spacing w:after="0"/>
              <w:rPr>
                <w:sz w:val="20"/>
                <w:szCs w:val="20"/>
                <w:color w:val="auto"/>
              </w:rPr>
            </w:pPr>
            <w:r>
              <w:rPr>
                <w:rFonts w:ascii="Arial" w:cs="Arial" w:eastAsia="Arial" w:hAnsi="Arial"/>
                <w:sz w:val="18"/>
                <w:szCs w:val="18"/>
                <w:color w:val="auto"/>
              </w:rPr>
              <w:t>27,151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r>
              <w:rPr>
                <w:rFonts w:ascii="Arial" w:cs="Arial" w:eastAsia="Arial" w:hAnsi="Arial"/>
                <w:sz w:val="18"/>
                <w:szCs w:val="18"/>
                <w:color w:val="auto"/>
                <w:w w:val="87"/>
              </w:rPr>
              <w:t>63,000</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Safeway</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Micro Center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Pentagon Row</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45,000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Harris Teeter</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Bally’s / Bed, Bath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&amp; Beyond / DSW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Plus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Pike 7</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1997</w:t>
            </w:r>
          </w:p>
        </w:tc>
        <w:tc>
          <w:tcPr>
            <w:tcW w:w="840" w:type="dxa"/>
            <w:vAlign w:val="bottom"/>
          </w:tcPr>
          <w:p>
            <w:pPr>
              <w:jc w:val="right"/>
              <w:spacing w:after="0"/>
              <w:rPr>
                <w:sz w:val="20"/>
                <w:szCs w:val="20"/>
                <w:color w:val="auto"/>
              </w:rPr>
            </w:pPr>
            <w:r>
              <w:rPr>
                <w:rFonts w:ascii="Arial" w:cs="Arial" w:eastAsia="Arial" w:hAnsi="Arial"/>
                <w:sz w:val="18"/>
                <w:szCs w:val="18"/>
                <w:color w:val="auto"/>
              </w:rPr>
              <w:t>33,743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5"/>
              </w:rPr>
              <w:t>Staples / 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Quince Orchard</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24,000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Magruders</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Circuit City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Staples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Rockville Town</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gridSpan w:val="5"/>
          </w:tcPr>
          <w:p>
            <w:pPr>
              <w:ind w:left="200"/>
              <w:spacing w:after="0"/>
              <w:rPr>
                <w:sz w:val="20"/>
                <w:szCs w:val="20"/>
                <w:color w:val="auto"/>
              </w:rPr>
            </w:pPr>
            <w:r>
              <w:rPr>
                <w:rFonts w:ascii="Arial" w:cs="Arial" w:eastAsia="Arial" w:hAnsi="Arial"/>
                <w:sz w:val="18"/>
                <w:szCs w:val="18"/>
                <w:color w:val="auto"/>
              </w:rPr>
              <w:t>Square</w:t>
            </w: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Rollingwood</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tcBorders>
              <w:left w:val="single" w:sz="8" w:color="CCEEFF"/>
            </w:tcBorders>
            <w:gridSpan w:val="5"/>
            <w:shd w:val="clear" w:color="auto" w:fill="CCEEFF"/>
          </w:tcPr>
          <w:p>
            <w:pPr>
              <w:ind w:left="200"/>
              <w:spacing w:after="0"/>
              <w:rPr>
                <w:sz w:val="20"/>
                <w:szCs w:val="20"/>
                <w:color w:val="auto"/>
              </w:rPr>
            </w:pPr>
            <w:r>
              <w:rPr>
                <w:rFonts w:ascii="Arial" w:cs="Arial" w:eastAsia="Arial" w:hAnsi="Arial"/>
                <w:sz w:val="18"/>
                <w:szCs w:val="18"/>
                <w:color w:val="auto"/>
              </w:rPr>
              <w:t>Apartments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w w:val="97"/>
              </w:rPr>
              <w:t>Sam’s Park &amp; Shop</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1995</w:t>
            </w:r>
          </w:p>
        </w:tc>
        <w:tc>
          <w:tcPr>
            <w:tcW w:w="840" w:type="dxa"/>
            <w:vAlign w:val="bottom"/>
          </w:tcPr>
          <w:p>
            <w:pPr>
              <w:jc w:val="right"/>
              <w:spacing w:after="0"/>
              <w:rPr>
                <w:sz w:val="20"/>
                <w:szCs w:val="20"/>
                <w:color w:val="auto"/>
              </w:rPr>
            </w:pPr>
            <w:r>
              <w:rPr>
                <w:rFonts w:ascii="Arial" w:cs="Arial" w:eastAsia="Arial" w:hAnsi="Arial"/>
                <w:sz w:val="18"/>
                <w:szCs w:val="18"/>
                <w:color w:val="auto"/>
              </w:rPr>
              <w:t>12,170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Petco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South Valley</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Home Depot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Tower</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1998</w:t>
            </w:r>
          </w:p>
        </w:tc>
        <w:tc>
          <w:tcPr>
            <w:tcW w:w="840" w:type="dxa"/>
            <w:vAlign w:val="bottom"/>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3"/>
              </w:rPr>
              <w:t>Virginia Fine Wine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Talbots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Trader Joes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w w:val="92"/>
              </w:rPr>
              <w:t>Village at Shirlington</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1995</w:t>
            </w:r>
          </w:p>
        </w:tc>
        <w:tc>
          <w:tcPr>
            <w:tcW w:w="840" w:type="dxa"/>
            <w:vAlign w:val="bottom"/>
          </w:tcPr>
          <w:p>
            <w:pPr>
              <w:jc w:val="right"/>
              <w:spacing w:after="0"/>
              <w:rPr>
                <w:sz w:val="20"/>
                <w:szCs w:val="20"/>
                <w:color w:val="auto"/>
              </w:rPr>
            </w:pPr>
            <w:r>
              <w:rPr>
                <w:rFonts w:ascii="Arial" w:cs="Arial" w:eastAsia="Arial" w:hAnsi="Arial"/>
                <w:sz w:val="18"/>
                <w:szCs w:val="18"/>
                <w:color w:val="auto"/>
              </w:rPr>
              <w:t>36,501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Cineplex Odeon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4"/>
              </w:rPr>
              <w:t>Carlyle Grand Café</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Wildwood</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20,000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Balducci’s</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w w:val="91"/>
              </w:rPr>
              <w:t>7770 Richmond Hwy</w:t>
            </w:r>
          </w:p>
        </w:tc>
        <w:tc>
          <w:tcPr>
            <w:tcW w:w="4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2006</w:t>
            </w:r>
          </w:p>
        </w:tc>
        <w:tc>
          <w:tcPr>
            <w:tcW w:w="840" w:type="dxa"/>
            <w:vAlign w:val="bottom"/>
          </w:tcPr>
          <w:p>
            <w:pPr>
              <w:jc w:val="right"/>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61,000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Gold’s Gym</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DC-MD-VA</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785,254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4,908,000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Washington</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2" w:name="page23"/>
    <w:bookmarkEnd w:id="22"/>
    <w:p>
      <w:pPr>
        <w:ind w:left="2220"/>
        <w:spacing w:after="0"/>
        <w:rPr>
          <w:sz w:val="20"/>
          <w:szCs w:val="20"/>
          <w:color w:val="auto"/>
        </w:rPr>
      </w:pPr>
      <w:r>
        <w:rPr>
          <w:rFonts w:ascii="Arial" w:cs="Arial" w:eastAsia="Arial" w:hAnsi="Arial"/>
          <w:sz w:val="18"/>
          <w:szCs w:val="18"/>
          <w:b w:val="1"/>
          <w:bCs w:val="1"/>
          <w:color w:val="auto"/>
        </w:rPr>
        <w:t>Metropolitan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Area</w:t>
      </w:r>
    </w:p>
    <w:p>
      <w:pPr>
        <w:spacing w:after="0" w:line="105" w:lineRule="exact"/>
        <w:rPr>
          <w:sz w:val="20"/>
          <w:szCs w:val="20"/>
          <w:color w:val="auto"/>
        </w:rPr>
      </w:pPr>
    </w:p>
    <w:p>
      <w:pPr>
        <w:jc w:val="center"/>
        <w:ind w:right="9860"/>
        <w:spacing w:after="0"/>
        <w:rPr>
          <w:sz w:val="20"/>
          <w:szCs w:val="20"/>
          <w:color w:val="auto"/>
        </w:rPr>
      </w:pPr>
      <w:r>
        <w:rPr>
          <w:rFonts w:ascii="Arial" w:cs="Arial" w:eastAsia="Arial" w:hAnsi="Arial"/>
          <w:sz w:val="18"/>
          <w:szCs w:val="18"/>
          <w:b w:val="1"/>
          <w:bCs w:val="1"/>
          <w:u w:val="single" w:color="auto"/>
          <w:color w:val="auto"/>
        </w:rPr>
        <w:t>New York / New</w:t>
      </w:r>
    </w:p>
    <w:p>
      <w:pPr>
        <w:spacing w:after="0" w:line="21" w:lineRule="exact"/>
        <w:rPr>
          <w:sz w:val="20"/>
          <w:szCs w:val="20"/>
          <w:color w:val="auto"/>
        </w:rPr>
      </w:pPr>
    </w:p>
    <w:p>
      <w:pPr>
        <w:jc w:val="center"/>
        <w:ind w:right="9860"/>
        <w:spacing w:after="0"/>
        <w:rPr>
          <w:sz w:val="20"/>
          <w:szCs w:val="20"/>
          <w:color w:val="auto"/>
        </w:rPr>
      </w:pPr>
      <w:r>
        <w:rPr>
          <w:rFonts w:ascii="Arial" w:cs="Arial" w:eastAsia="Arial" w:hAnsi="Arial"/>
          <w:sz w:val="18"/>
          <w:szCs w:val="18"/>
          <w:b w:val="1"/>
          <w:bCs w:val="1"/>
          <w:u w:val="single" w:color="auto"/>
          <w:color w:val="auto"/>
        </w:rPr>
        <w:t>Jersey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Borders>
              <w:right w:val="single" w:sz="8" w:color="CCEEFF"/>
            </w:tcBorders>
          </w:tcPr>
          <w:p>
            <w:pPr>
              <w:spacing w:after="0"/>
              <w:rPr>
                <w:sz w:val="17"/>
                <w:szCs w:val="17"/>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Allwood</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Bergen-</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Stop &amp; Shop</w:t>
            </w:r>
          </w:p>
        </w:tc>
        <w:tc>
          <w:tcPr>
            <w:tcW w:w="1640" w:type="dxa"/>
            <w:vAlign w:val="bottom"/>
            <w:shd w:val="clear" w:color="auto" w:fill="CCEEFF"/>
          </w:tcPr>
          <w:p>
            <w:pPr>
              <w:spacing w:after="0"/>
              <w:rPr>
                <w:sz w:val="17"/>
                <w:szCs w:val="17"/>
                <w:color w:val="auto"/>
              </w:rPr>
            </w:pP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Passaic, NJ</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Blue Star</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tcPr>
          <w:p>
            <w:pPr>
              <w:ind w:left="180"/>
              <w:spacing w:after="0"/>
              <w:rPr>
                <w:sz w:val="20"/>
                <w:szCs w:val="20"/>
                <w:color w:val="auto"/>
              </w:rPr>
            </w:pPr>
            <w:r>
              <w:rPr>
                <w:rFonts w:ascii="Arial" w:cs="Arial" w:eastAsia="Arial" w:hAnsi="Arial"/>
                <w:sz w:val="18"/>
                <w:szCs w:val="18"/>
                <w:color w:val="auto"/>
              </w:rPr>
              <w:t>Middlesex-</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tcPr>
          <w:p>
            <w:pPr>
              <w:jc w:val="right"/>
              <w:spacing w:after="0"/>
              <w:rPr>
                <w:sz w:val="20"/>
                <w:szCs w:val="20"/>
                <w:color w:val="auto"/>
              </w:rPr>
            </w:pPr>
            <w:r>
              <w:rPr>
                <w:rFonts w:ascii="Arial" w:cs="Arial" w:eastAsia="Arial" w:hAnsi="Arial"/>
                <w:sz w:val="18"/>
                <w:szCs w:val="18"/>
                <w:color w:val="auto"/>
              </w:rPr>
              <w:t>36,859</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23,315</w:t>
            </w:r>
          </w:p>
        </w:tc>
        <w:tc>
          <w:tcPr>
            <w:tcW w:w="700" w:type="dxa"/>
            <w:vAlign w:val="bottom"/>
          </w:tcPr>
          <w:p>
            <w:pPr>
              <w:jc w:val="right"/>
              <w:spacing w:after="0"/>
              <w:rPr>
                <w:sz w:val="20"/>
                <w:szCs w:val="20"/>
                <w:color w:val="auto"/>
              </w:rPr>
            </w:pPr>
            <w:r>
              <w:rPr>
                <w:rFonts w:ascii="Arial" w:cs="Arial" w:eastAsia="Arial" w:hAnsi="Arial"/>
                <w:sz w:val="18"/>
                <w:szCs w:val="18"/>
                <w:color w:val="auto"/>
              </w:rPr>
              <w:t>410,000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43,000</w:t>
            </w:r>
          </w:p>
        </w:tc>
        <w:tc>
          <w:tcPr>
            <w:tcW w:w="1660" w:type="dxa"/>
            <w:vAlign w:val="bottom"/>
          </w:tcPr>
          <w:p>
            <w:pPr>
              <w:ind w:left="60"/>
              <w:spacing w:after="0"/>
              <w:rPr>
                <w:sz w:val="20"/>
                <w:szCs w:val="20"/>
                <w:color w:val="auto"/>
              </w:rPr>
            </w:pPr>
            <w:r>
              <w:rPr>
                <w:rFonts w:ascii="Arial" w:cs="Arial" w:eastAsia="Arial" w:hAnsi="Arial"/>
                <w:sz w:val="18"/>
                <w:szCs w:val="18"/>
                <w:color w:val="auto"/>
              </w:rPr>
              <w:t>Shop Rite</w:t>
            </w:r>
          </w:p>
        </w:tc>
        <w:tc>
          <w:tcPr>
            <w:tcW w:w="1640" w:type="dxa"/>
            <w:vAlign w:val="bottom"/>
          </w:tcPr>
          <w:p>
            <w:pPr>
              <w:ind w:left="160"/>
              <w:spacing w:after="0"/>
              <w:rPr>
                <w:sz w:val="20"/>
                <w:szCs w:val="20"/>
                <w:color w:val="auto"/>
              </w:rPr>
            </w:pPr>
            <w:r>
              <w:rPr>
                <w:rFonts w:ascii="Arial" w:cs="Arial" w:eastAsia="Arial" w:hAnsi="Arial"/>
                <w:sz w:val="18"/>
                <w:szCs w:val="18"/>
                <w:color w:val="auto"/>
              </w:rPr>
              <w:t>Kohl’s / Michaels /</w:t>
            </w: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Somerset-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Toys R Us /</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Hunterdon, 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Marshalls</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Brick Plaza</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Monmouth-</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55,776</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31,869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A&amp;P</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Loews Theatre /</w:t>
            </w: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NJ</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Barnes &amp; Noble /</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Sports Authority</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Brunswick</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tcPr>
          <w:p>
            <w:pPr>
              <w:ind w:left="180"/>
              <w:spacing w:after="0"/>
              <w:rPr>
                <w:sz w:val="20"/>
                <w:szCs w:val="20"/>
                <w:color w:val="auto"/>
              </w:rPr>
            </w:pPr>
            <w:r>
              <w:rPr>
                <w:rFonts w:ascii="Arial" w:cs="Arial" w:eastAsia="Arial" w:hAnsi="Arial"/>
                <w:sz w:val="18"/>
                <w:szCs w:val="18"/>
                <w:color w:val="auto"/>
              </w:rPr>
              <w:t>Middlesex-</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tcPr>
          <w:p>
            <w:pPr>
              <w:jc w:val="right"/>
              <w:spacing w:after="0"/>
              <w:rPr>
                <w:sz w:val="20"/>
                <w:szCs w:val="20"/>
                <w:color w:val="auto"/>
              </w:rPr>
            </w:pPr>
            <w:r>
              <w:rPr>
                <w:rFonts w:ascii="Arial" w:cs="Arial" w:eastAsia="Arial" w:hAnsi="Arial"/>
                <w:sz w:val="18"/>
                <w:szCs w:val="18"/>
                <w:color w:val="auto"/>
              </w:rPr>
              <w:t>22,380</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9,706</w:t>
            </w:r>
          </w:p>
        </w:tc>
        <w:tc>
          <w:tcPr>
            <w:tcW w:w="700" w:type="dxa"/>
            <w:vAlign w:val="bottom"/>
          </w:tcPr>
          <w:p>
            <w:pPr>
              <w:jc w:val="right"/>
              <w:spacing w:after="0"/>
              <w:rPr>
                <w:sz w:val="20"/>
                <w:szCs w:val="20"/>
                <w:color w:val="auto"/>
              </w:rPr>
            </w:pPr>
            <w:r>
              <w:rPr>
                <w:rFonts w:ascii="Arial" w:cs="Arial" w:eastAsia="Arial" w:hAnsi="Arial"/>
                <w:sz w:val="18"/>
                <w:szCs w:val="18"/>
                <w:color w:val="auto"/>
              </w:rPr>
              <w:t>303,000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55,000</w:t>
            </w:r>
          </w:p>
        </w:tc>
        <w:tc>
          <w:tcPr>
            <w:tcW w:w="1660" w:type="dxa"/>
            <w:vAlign w:val="bottom"/>
          </w:tcPr>
          <w:p>
            <w:pPr>
              <w:ind w:left="60"/>
              <w:spacing w:after="0"/>
              <w:rPr>
                <w:sz w:val="20"/>
                <w:szCs w:val="20"/>
                <w:color w:val="auto"/>
              </w:rPr>
            </w:pPr>
            <w:r>
              <w:rPr>
                <w:rFonts w:ascii="Arial" w:cs="Arial" w:eastAsia="Arial" w:hAnsi="Arial"/>
                <w:sz w:val="18"/>
                <w:szCs w:val="18"/>
                <w:color w:val="auto"/>
              </w:rPr>
              <w:t>A&amp;P</w:t>
            </w:r>
          </w:p>
        </w:tc>
        <w:tc>
          <w:tcPr>
            <w:tcW w:w="1640" w:type="dxa"/>
            <w:vAlign w:val="bottom"/>
          </w:tcPr>
          <w:p>
            <w:pPr>
              <w:ind w:left="160"/>
              <w:spacing w:after="0"/>
              <w:rPr>
                <w:sz w:val="20"/>
                <w:szCs w:val="20"/>
                <w:color w:val="auto"/>
              </w:rPr>
            </w:pPr>
            <w:r>
              <w:rPr>
                <w:rFonts w:ascii="Arial" w:cs="Arial" w:eastAsia="Arial" w:hAnsi="Arial"/>
                <w:sz w:val="18"/>
                <w:szCs w:val="18"/>
                <w:color w:val="auto"/>
              </w:rPr>
              <w:t>A.J. Wright / L.A.</w:t>
            </w: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Somerset-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Fitness</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Hunterdon, 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Clifton</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Bergen-</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Fair / Dollar</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Passaic, NJ</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Express</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Forest Hills</w:t>
            </w: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New York, NY</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1997</w:t>
            </w:r>
          </w:p>
        </w:tc>
        <w:tc>
          <w:tcPr>
            <w:tcW w:w="840" w:type="dxa"/>
            <w:vAlign w:val="bottom"/>
          </w:tcPr>
          <w:p>
            <w:pPr>
              <w:jc w:val="right"/>
              <w:spacing w:after="0"/>
              <w:rPr>
                <w:sz w:val="20"/>
                <w:szCs w:val="20"/>
                <w:color w:val="auto"/>
              </w:rPr>
            </w:pPr>
            <w:r>
              <w:rPr>
                <w:rFonts w:ascii="Arial" w:cs="Arial" w:eastAsia="Arial" w:hAnsi="Arial"/>
                <w:sz w:val="18"/>
                <w:szCs w:val="18"/>
                <w:color w:val="auto"/>
              </w:rPr>
              <w:t>24,055</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Midway Theatre /</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w w:val="91"/>
              </w:rPr>
              <w:t>Duane Reade / Gap</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Fresh Meadows</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NY</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66,199</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Filene’s Basement /</w:t>
            </w: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Kohl’s / Cineplex</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Odeon</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Hamilton</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tcPr>
          <w:p>
            <w:pPr>
              <w:ind w:left="180"/>
              <w:spacing w:after="0"/>
              <w:rPr>
                <w:sz w:val="20"/>
                <w:szCs w:val="20"/>
                <w:color w:val="auto"/>
              </w:rPr>
            </w:pPr>
            <w:r>
              <w:rPr>
                <w:rFonts w:ascii="Arial" w:cs="Arial" w:eastAsia="Arial" w:hAnsi="Arial"/>
                <w:sz w:val="18"/>
                <w:szCs w:val="18"/>
                <w:color w:val="auto"/>
              </w:rPr>
              <w:t>Trenton, 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tcPr>
          <w:p>
            <w:pPr>
              <w:jc w:val="right"/>
              <w:spacing w:after="0"/>
              <w:rPr>
                <w:sz w:val="20"/>
                <w:szCs w:val="20"/>
                <w:color w:val="auto"/>
              </w:rPr>
            </w:pPr>
            <w:r>
              <w:rPr>
                <w:rFonts w:ascii="Arial" w:cs="Arial" w:eastAsia="Arial" w:hAnsi="Arial"/>
                <w:sz w:val="18"/>
                <w:szCs w:val="18"/>
                <w:color w:val="auto"/>
              </w:rPr>
              <w:t>7,772</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4,211</w:t>
            </w:r>
          </w:p>
        </w:tc>
        <w:tc>
          <w:tcPr>
            <w:tcW w:w="700" w:type="dxa"/>
            <w:vAlign w:val="bottom"/>
          </w:tcPr>
          <w:p>
            <w:pPr>
              <w:jc w:val="right"/>
              <w:spacing w:after="0"/>
              <w:rPr>
                <w:sz w:val="20"/>
                <w:szCs w:val="20"/>
                <w:color w:val="auto"/>
              </w:rPr>
            </w:pPr>
            <w:r>
              <w:rPr>
                <w:rFonts w:ascii="Arial" w:cs="Arial" w:eastAsia="Arial" w:hAnsi="Arial"/>
                <w:sz w:val="18"/>
                <w:szCs w:val="18"/>
                <w:color w:val="auto"/>
              </w:rPr>
              <w:t>190,000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53,000</w:t>
            </w:r>
          </w:p>
        </w:tc>
        <w:tc>
          <w:tcPr>
            <w:tcW w:w="1660" w:type="dxa"/>
            <w:vAlign w:val="bottom"/>
          </w:tcPr>
          <w:p>
            <w:pPr>
              <w:ind w:left="60"/>
              <w:spacing w:after="0"/>
              <w:rPr>
                <w:sz w:val="20"/>
                <w:szCs w:val="20"/>
                <w:color w:val="auto"/>
              </w:rPr>
            </w:pPr>
            <w:r>
              <w:rPr>
                <w:rFonts w:ascii="Arial" w:cs="Arial" w:eastAsia="Arial" w:hAnsi="Arial"/>
                <w:sz w:val="18"/>
                <w:szCs w:val="18"/>
                <w:color w:val="auto"/>
              </w:rPr>
              <w:t>Shop Rite</w:t>
            </w:r>
          </w:p>
        </w:tc>
        <w:tc>
          <w:tcPr>
            <w:tcW w:w="1640" w:type="dxa"/>
            <w:vAlign w:val="bottom"/>
          </w:tcPr>
          <w:p>
            <w:pPr>
              <w:ind w:left="160"/>
              <w:spacing w:after="0"/>
              <w:rPr>
                <w:sz w:val="20"/>
                <w:szCs w:val="20"/>
                <w:color w:val="auto"/>
              </w:rPr>
            </w:pPr>
            <w:r>
              <w:rPr>
                <w:rFonts w:ascii="Arial" w:cs="Arial" w:eastAsia="Arial" w:hAnsi="Arial"/>
                <w:sz w:val="18"/>
                <w:szCs w:val="18"/>
                <w:color w:val="auto"/>
                <w:w w:val="90"/>
              </w:rPr>
              <w:t>AC Moore / Stevens</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Furniture</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Hauppauge</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Nassau-</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26,794</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Shop Rite</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 Moore</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Suffolk, NY</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Huntington</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tcPr>
          <w:p>
            <w:pPr>
              <w:ind w:left="180"/>
              <w:spacing w:after="0"/>
              <w:rPr>
                <w:sz w:val="20"/>
                <w:szCs w:val="20"/>
                <w:color w:val="auto"/>
              </w:rPr>
            </w:pPr>
            <w:r>
              <w:rPr>
                <w:rFonts w:ascii="Arial" w:cs="Arial" w:eastAsia="Arial" w:hAnsi="Arial"/>
                <w:sz w:val="18"/>
                <w:szCs w:val="18"/>
                <w:color w:val="auto"/>
              </w:rPr>
              <w:t>Nassau-</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tcPr>
          <w:p>
            <w:pPr>
              <w:jc w:val="right"/>
              <w:spacing w:after="0"/>
              <w:rPr>
                <w:sz w:val="20"/>
                <w:szCs w:val="20"/>
                <w:color w:val="auto"/>
              </w:rPr>
            </w:pPr>
            <w:r>
              <w:rPr>
                <w:rFonts w:ascii="Arial" w:cs="Arial" w:eastAsia="Arial" w:hAnsi="Arial"/>
                <w:sz w:val="18"/>
                <w:szCs w:val="18"/>
                <w:color w:val="auto"/>
              </w:rPr>
              <w:t>21,072</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12,464</w:t>
            </w:r>
          </w:p>
        </w:tc>
        <w:tc>
          <w:tcPr>
            <w:tcW w:w="700" w:type="dxa"/>
            <w:vAlign w:val="bottom"/>
          </w:tcPr>
          <w:p>
            <w:pPr>
              <w:jc w:val="right"/>
              <w:spacing w:after="0"/>
              <w:rPr>
                <w:sz w:val="20"/>
                <w:szCs w:val="20"/>
                <w:color w:val="auto"/>
              </w:rPr>
            </w:pPr>
            <w:r>
              <w:rPr>
                <w:rFonts w:ascii="Arial" w:cs="Arial" w:eastAsia="Arial" w:hAnsi="Arial"/>
                <w:sz w:val="18"/>
                <w:szCs w:val="18"/>
                <w:color w:val="auto"/>
              </w:rPr>
              <w:t>279,000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Buy Buy Baby /</w:t>
            </w: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Suffolk, NY</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Toys R Us / Bed,</w:t>
            </w: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Bath &amp; Beyond /</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Barnes &amp; Noble</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Mercer Mall</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Trenton, 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97,343</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58,396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Shop Rite</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Bed, Bath &amp;</w:t>
            </w: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Beyond / DSW / TJ</w:t>
            </w: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Maxx / Raymour &amp;</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Flanigan</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Rutgers</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420" w:type="dxa"/>
            <w:vAlign w:val="bottom"/>
          </w:tcPr>
          <w:p>
            <w:pPr>
              <w:ind w:left="180"/>
              <w:spacing w:after="0"/>
              <w:rPr>
                <w:sz w:val="20"/>
                <w:szCs w:val="20"/>
                <w:color w:val="auto"/>
              </w:rPr>
            </w:pPr>
            <w:r>
              <w:rPr>
                <w:rFonts w:ascii="Arial" w:cs="Arial" w:eastAsia="Arial" w:hAnsi="Arial"/>
                <w:sz w:val="18"/>
                <w:szCs w:val="18"/>
                <w:color w:val="auto"/>
              </w:rPr>
              <w:t>Middlesex-</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tcPr>
          <w:p>
            <w:pPr>
              <w:jc w:val="right"/>
              <w:spacing w:after="0"/>
              <w:rPr>
                <w:sz w:val="20"/>
                <w:szCs w:val="20"/>
                <w:color w:val="auto"/>
              </w:rPr>
            </w:pPr>
            <w:r>
              <w:rPr>
                <w:rFonts w:ascii="Arial" w:cs="Arial" w:eastAsia="Arial" w:hAnsi="Arial"/>
                <w:sz w:val="18"/>
                <w:szCs w:val="18"/>
                <w:color w:val="auto"/>
              </w:rPr>
              <w:t>15,597</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11,243</w:t>
            </w:r>
          </w:p>
        </w:tc>
        <w:tc>
          <w:tcPr>
            <w:tcW w:w="700" w:type="dxa"/>
            <w:vAlign w:val="bottom"/>
          </w:tcPr>
          <w:p>
            <w:pPr>
              <w:jc w:val="right"/>
              <w:spacing w:after="0"/>
              <w:rPr>
                <w:sz w:val="20"/>
                <w:szCs w:val="20"/>
                <w:color w:val="auto"/>
              </w:rPr>
            </w:pPr>
            <w:r>
              <w:rPr>
                <w:rFonts w:ascii="Arial" w:cs="Arial" w:eastAsia="Arial" w:hAnsi="Arial"/>
                <w:sz w:val="18"/>
                <w:szCs w:val="18"/>
                <w:color w:val="auto"/>
              </w:rPr>
              <w:t>267,000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74,000</w:t>
            </w:r>
          </w:p>
        </w:tc>
        <w:tc>
          <w:tcPr>
            <w:tcW w:w="1660" w:type="dxa"/>
            <w:vAlign w:val="bottom"/>
          </w:tcPr>
          <w:p>
            <w:pPr>
              <w:ind w:left="60"/>
              <w:spacing w:after="0"/>
              <w:rPr>
                <w:sz w:val="20"/>
                <w:szCs w:val="20"/>
                <w:color w:val="auto"/>
              </w:rPr>
            </w:pPr>
            <w:r>
              <w:rPr>
                <w:rFonts w:ascii="Arial" w:cs="Arial" w:eastAsia="Arial" w:hAnsi="Arial"/>
                <w:sz w:val="18"/>
                <w:szCs w:val="18"/>
                <w:color w:val="auto"/>
              </w:rPr>
              <w:t>Stop &amp; Shop</w:t>
            </w:r>
          </w:p>
        </w:tc>
        <w:tc>
          <w:tcPr>
            <w:tcW w:w="1640" w:type="dxa"/>
            <w:vAlign w:val="bottom"/>
          </w:tcPr>
          <w:p>
            <w:pPr>
              <w:ind w:left="160"/>
              <w:spacing w:after="0"/>
              <w:rPr>
                <w:sz w:val="20"/>
                <w:szCs w:val="20"/>
                <w:color w:val="auto"/>
              </w:rPr>
            </w:pPr>
            <w:r>
              <w:rPr>
                <w:rFonts w:ascii="Arial" w:cs="Arial" w:eastAsia="Arial" w:hAnsi="Arial"/>
                <w:sz w:val="18"/>
                <w:szCs w:val="18"/>
                <w:color w:val="auto"/>
              </w:rPr>
              <w:t>Kmart</w:t>
            </w: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Somerset-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Hunterdon, 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Troy</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Newark, 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Pathmark</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 Moore / Comp</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USA / Toys R Us</w:t>
            </w:r>
          </w:p>
        </w:tc>
      </w:tr>
      <w:tr>
        <w:trPr>
          <w:trHeight w:val="209"/>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b w:val="1"/>
                <w:bCs w:val="1"/>
                <w:color w:val="auto"/>
              </w:rPr>
              <w:t>Total New</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404,029</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3,311,000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b w:val="1"/>
                <w:bCs w:val="1"/>
                <w:color w:val="auto"/>
              </w:rPr>
              <w:t>York / New</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8"/>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b w:val="1"/>
                <w:bCs w:val="1"/>
                <w:color w:val="auto"/>
              </w:rPr>
              <w:t>Jersey</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110"/>
        </w:trPr>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76"/>
        </w:trPr>
        <w:tc>
          <w:tcPr>
            <w:tcW w:w="80" w:type="dxa"/>
            <w:vAlign w:val="bottom"/>
            <w:tcBorders>
              <w:right w:val="single" w:sz="8" w:color="CCEEFF"/>
            </w:tcBorders>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8"/>
              </w:rPr>
              <w:t>Philadelphia</w:t>
            </w: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222"/>
        </w:trPr>
        <w:tc>
          <w:tcPr>
            <w:tcW w:w="80" w:type="dxa"/>
            <w:vAlign w:val="bottom"/>
            <w:tcBorders>
              <w:right w:val="single" w:sz="8" w:color="CCEEFF"/>
            </w:tcBorders>
          </w:tcPr>
          <w:p>
            <w:pPr>
              <w:spacing w:after="0"/>
              <w:rPr>
                <w:sz w:val="18"/>
                <w:szCs w:val="18"/>
                <w:color w:val="auto"/>
              </w:rPr>
            </w:pPr>
          </w:p>
        </w:tc>
        <w:tc>
          <w:tcPr>
            <w:tcW w:w="1400" w:type="dxa"/>
            <w:vAlign w:val="bottom"/>
            <w:tcBorders>
              <w:bottom w:val="single" w:sz="8" w:color="auto"/>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1"/>
              </w:rPr>
              <w:t>Metropolitan Area</w:t>
            </w:r>
          </w:p>
        </w:tc>
        <w:tc>
          <w:tcPr>
            <w:tcW w:w="5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08"/>
        </w:trPr>
        <w:tc>
          <w:tcPr>
            <w:tcW w:w="80" w:type="dxa"/>
            <w:vAlign w:val="bottom"/>
          </w:tcPr>
          <w:p>
            <w:pPr>
              <w:spacing w:after="0"/>
              <w:rPr>
                <w:sz w:val="18"/>
                <w:szCs w:val="18"/>
                <w:color w:val="auto"/>
              </w:rPr>
            </w:pPr>
          </w:p>
        </w:tc>
        <w:tc>
          <w:tcPr>
            <w:tcW w:w="14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Andorra</w:t>
            </w: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1988</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22,940</w:t>
            </w:r>
          </w:p>
        </w:tc>
        <w:tc>
          <w:tcPr>
            <w:tcW w:w="10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267,000</w:t>
            </w:r>
          </w:p>
        </w:tc>
        <w:tc>
          <w:tcPr>
            <w:tcW w:w="88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99%</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24,000</w:t>
            </w:r>
          </w:p>
        </w:tc>
        <w:tc>
          <w:tcPr>
            <w:tcW w:w="16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Acme Markets</w:t>
            </w:r>
          </w:p>
        </w:tc>
        <w:tc>
          <w:tcPr>
            <w:tcW w:w="16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Kohl’s / Staples /</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PA-NJ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L.A. Fitness</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 Cynwyd</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26,078</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Acme Markets</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Lord &amp; Taylor /</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 Fitness</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Ellisburg Circle</w:t>
            </w: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1992</w:t>
            </w:r>
          </w:p>
        </w:tc>
        <w:tc>
          <w:tcPr>
            <w:tcW w:w="840" w:type="dxa"/>
            <w:vAlign w:val="bottom"/>
          </w:tcPr>
          <w:p>
            <w:pPr>
              <w:jc w:val="right"/>
              <w:spacing w:after="0"/>
              <w:rPr>
                <w:sz w:val="20"/>
                <w:szCs w:val="20"/>
                <w:color w:val="auto"/>
              </w:rPr>
            </w:pPr>
            <w:r>
              <w:rPr>
                <w:rFonts w:ascii="Arial" w:cs="Arial" w:eastAsia="Arial" w:hAnsi="Arial"/>
                <w:sz w:val="18"/>
                <w:szCs w:val="18"/>
                <w:color w:val="auto"/>
              </w:rPr>
              <w:t>26,983</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47,000</w:t>
            </w:r>
          </w:p>
        </w:tc>
        <w:tc>
          <w:tcPr>
            <w:tcW w:w="1660" w:type="dxa"/>
            <w:vAlign w:val="bottom"/>
          </w:tcPr>
          <w:p>
            <w:pPr>
              <w:ind w:left="60"/>
              <w:spacing w:after="0"/>
              <w:rPr>
                <w:sz w:val="20"/>
                <w:szCs w:val="20"/>
                <w:color w:val="auto"/>
              </w:rPr>
            </w:pPr>
            <w:r>
              <w:rPr>
                <w:rFonts w:ascii="Arial" w:cs="Arial" w:eastAsia="Arial" w:hAnsi="Arial"/>
                <w:sz w:val="18"/>
                <w:szCs w:val="18"/>
                <w:color w:val="auto"/>
              </w:rPr>
              <w:t>Genuardi’s</w:t>
            </w:r>
          </w:p>
        </w:tc>
        <w:tc>
          <w:tcPr>
            <w:tcW w:w="1640" w:type="dxa"/>
            <w:vAlign w:val="bottom"/>
          </w:tcPr>
          <w:p>
            <w:pPr>
              <w:ind w:left="160"/>
              <w:spacing w:after="0"/>
              <w:rPr>
                <w:sz w:val="20"/>
                <w:szCs w:val="20"/>
                <w:color w:val="auto"/>
              </w:rPr>
            </w:pPr>
            <w:r>
              <w:rPr>
                <w:rFonts w:ascii="Arial" w:cs="Arial" w:eastAsia="Arial" w:hAnsi="Arial"/>
                <w:sz w:val="18"/>
                <w:szCs w:val="18"/>
                <w:color w:val="auto"/>
              </w:rPr>
              <w:t>Bed, Bath &amp;</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PA-NJ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w w:val="92"/>
              </w:rPr>
              <w:t>Beyond / Stein Mart</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Feasterville</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Genuardi’s</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OfficeMax</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Flourtown</w:t>
            </w: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840" w:type="dxa"/>
            <w:vAlign w:val="bottom"/>
          </w:tcPr>
          <w:p>
            <w:pPr>
              <w:jc w:val="right"/>
              <w:spacing w:after="0"/>
              <w:rPr>
                <w:sz w:val="20"/>
                <w:szCs w:val="20"/>
                <w:color w:val="auto"/>
              </w:rPr>
            </w:pPr>
            <w:r>
              <w:rPr>
                <w:rFonts w:ascii="Arial" w:cs="Arial" w:eastAsia="Arial" w:hAnsi="Arial"/>
                <w:sz w:val="18"/>
                <w:szCs w:val="18"/>
                <w:color w:val="auto"/>
              </w:rPr>
              <w:t>9,262</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42,000</w:t>
            </w:r>
          </w:p>
        </w:tc>
        <w:tc>
          <w:tcPr>
            <w:tcW w:w="1660" w:type="dxa"/>
            <w:vAlign w:val="bottom"/>
          </w:tcPr>
          <w:p>
            <w:pPr>
              <w:ind w:left="60"/>
              <w:spacing w:after="0"/>
              <w:rPr>
                <w:sz w:val="20"/>
                <w:szCs w:val="20"/>
                <w:color w:val="auto"/>
              </w:rPr>
            </w:pPr>
            <w:r>
              <w:rPr>
                <w:rFonts w:ascii="Arial" w:cs="Arial" w:eastAsia="Arial" w:hAnsi="Arial"/>
                <w:sz w:val="18"/>
                <w:szCs w:val="18"/>
                <w:color w:val="auto"/>
              </w:rPr>
              <w:t>Genuardi’s</w:t>
            </w:r>
          </w:p>
        </w:tc>
        <w:tc>
          <w:tcPr>
            <w:tcW w:w="164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PA-NJ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Langhorne Square</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55,000</w:t>
            </w: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Redner’s Warehouse</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Marshalls</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Mkts.</w:t>
            </w:r>
          </w:p>
        </w:tc>
        <w:tc>
          <w:tcPr>
            <w:tcW w:w="1640" w:type="dxa"/>
            <w:vAlign w:val="bottom"/>
            <w:shd w:val="clear" w:color="auto" w:fill="CCEEFF"/>
          </w:tcPr>
          <w:p>
            <w:pPr>
              <w:spacing w:after="0"/>
              <w:rPr>
                <w:sz w:val="19"/>
                <w:szCs w:val="19"/>
                <w:color w:val="auto"/>
              </w:rPr>
            </w:pP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Lawrence Park</w:t>
            </w: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840" w:type="dxa"/>
            <w:vAlign w:val="bottom"/>
          </w:tcPr>
          <w:p>
            <w:pPr>
              <w:jc w:val="right"/>
              <w:spacing w:after="0"/>
              <w:rPr>
                <w:sz w:val="20"/>
                <w:szCs w:val="20"/>
                <w:color w:val="auto"/>
              </w:rPr>
            </w:pPr>
            <w:r>
              <w:rPr>
                <w:rFonts w:ascii="Arial" w:cs="Arial" w:eastAsia="Arial" w:hAnsi="Arial"/>
                <w:sz w:val="18"/>
                <w:szCs w:val="18"/>
                <w:color w:val="auto"/>
              </w:rPr>
              <w:t>28,466</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30,414</w:t>
            </w:r>
          </w:p>
        </w:tc>
        <w:tc>
          <w:tcPr>
            <w:tcW w:w="700" w:type="dxa"/>
            <w:vAlign w:val="bottom"/>
          </w:tcPr>
          <w:p>
            <w:pPr>
              <w:jc w:val="right"/>
              <w:spacing w:after="0"/>
              <w:rPr>
                <w:sz w:val="20"/>
                <w:szCs w:val="20"/>
                <w:color w:val="auto"/>
              </w:rPr>
            </w:pPr>
            <w:r>
              <w:rPr>
                <w:rFonts w:ascii="Arial" w:cs="Arial" w:eastAsia="Arial" w:hAnsi="Arial"/>
                <w:sz w:val="18"/>
                <w:szCs w:val="18"/>
                <w:color w:val="auto"/>
              </w:rPr>
              <w:t>353,000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53,000</w:t>
            </w:r>
          </w:p>
        </w:tc>
        <w:tc>
          <w:tcPr>
            <w:tcW w:w="1660" w:type="dxa"/>
            <w:vAlign w:val="bottom"/>
          </w:tcPr>
          <w:p>
            <w:pPr>
              <w:ind w:left="60"/>
              <w:spacing w:after="0"/>
              <w:rPr>
                <w:sz w:val="20"/>
                <w:szCs w:val="20"/>
                <w:color w:val="auto"/>
              </w:rPr>
            </w:pPr>
            <w:r>
              <w:rPr>
                <w:rFonts w:ascii="Arial" w:cs="Arial" w:eastAsia="Arial" w:hAnsi="Arial"/>
                <w:sz w:val="18"/>
                <w:szCs w:val="18"/>
                <w:color w:val="auto"/>
              </w:rPr>
              <w:t>Acme Markets</w:t>
            </w:r>
          </w:p>
        </w:tc>
        <w:tc>
          <w:tcPr>
            <w:tcW w:w="1640" w:type="dxa"/>
            <w:vAlign w:val="bottom"/>
          </w:tcPr>
          <w:p>
            <w:pPr>
              <w:ind w:left="160"/>
              <w:spacing w:after="0"/>
              <w:rPr>
                <w:sz w:val="20"/>
                <w:szCs w:val="20"/>
                <w:color w:val="auto"/>
              </w:rPr>
            </w:pPr>
            <w:r>
              <w:rPr>
                <w:rFonts w:ascii="Arial" w:cs="Arial" w:eastAsia="Arial" w:hAnsi="Arial"/>
                <w:sz w:val="18"/>
                <w:szCs w:val="18"/>
                <w:color w:val="auto"/>
              </w:rPr>
              <w:t>CHI / TJ Maxx /</w:t>
            </w:r>
          </w:p>
        </w:tc>
      </w:tr>
      <w:tr>
        <w:trPr>
          <w:trHeight w:val="222"/>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PA-NJ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CVS</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Northeast</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Burlington Coat /</w:t>
            </w: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Marshalls / Tower</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Records</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84"/>
              </w:rPr>
              <w:t>Town Center of New</w:t>
            </w: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840" w:type="dxa"/>
            <w:vAlign w:val="bottom"/>
          </w:tcPr>
          <w:p>
            <w:pPr>
              <w:jc w:val="right"/>
              <w:spacing w:after="0"/>
              <w:rPr>
                <w:sz w:val="20"/>
                <w:szCs w:val="20"/>
                <w:color w:val="auto"/>
              </w:rPr>
            </w:pPr>
            <w:r>
              <w:rPr>
                <w:rFonts w:ascii="Arial" w:cs="Arial" w:eastAsia="Arial" w:hAnsi="Arial"/>
                <w:sz w:val="18"/>
                <w:szCs w:val="18"/>
                <w:color w:val="auto"/>
              </w:rPr>
              <w:t>13,544</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36,000</w:t>
            </w:r>
          </w:p>
        </w:tc>
        <w:tc>
          <w:tcPr>
            <w:tcW w:w="1660" w:type="dxa"/>
            <w:vAlign w:val="bottom"/>
          </w:tcPr>
          <w:p>
            <w:pPr>
              <w:ind w:left="60"/>
              <w:spacing w:after="0"/>
              <w:rPr>
                <w:sz w:val="20"/>
                <w:szCs w:val="20"/>
                <w:color w:val="auto"/>
              </w:rPr>
            </w:pPr>
            <w:r>
              <w:rPr>
                <w:rFonts w:ascii="Arial" w:cs="Arial" w:eastAsia="Arial" w:hAnsi="Arial"/>
                <w:sz w:val="18"/>
                <w:szCs w:val="18"/>
                <w:color w:val="auto"/>
              </w:rPr>
              <w:t>Clemens Market</w:t>
            </w:r>
          </w:p>
        </w:tc>
        <w:tc>
          <w:tcPr>
            <w:tcW w:w="1640" w:type="dxa"/>
            <w:vAlign w:val="bottom"/>
          </w:tcPr>
          <w:p>
            <w:pPr>
              <w:ind w:left="160"/>
              <w:spacing w:after="0"/>
              <w:rPr>
                <w:sz w:val="20"/>
                <w:szCs w:val="20"/>
                <w:color w:val="auto"/>
              </w:rPr>
            </w:pPr>
            <w:r>
              <w:rPr>
                <w:rFonts w:ascii="Arial" w:cs="Arial" w:eastAsia="Arial" w:hAnsi="Arial"/>
                <w:sz w:val="18"/>
                <w:szCs w:val="18"/>
                <w:color w:val="auto"/>
                <w:w w:val="97"/>
              </w:rPr>
              <w:t>Tuesday Morning /</w:t>
            </w:r>
          </w:p>
        </w:tc>
      </w:tr>
      <w:tr>
        <w:trPr>
          <w:trHeight w:val="222"/>
        </w:trPr>
        <w:tc>
          <w:tcPr>
            <w:tcW w:w="8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color w:val="auto"/>
              </w:rPr>
              <w:t>Britain</w:t>
            </w:r>
          </w:p>
        </w:tc>
        <w:tc>
          <w:tcPr>
            <w:tcW w:w="560" w:type="dxa"/>
            <w:vAlign w:val="bottom"/>
          </w:tcPr>
          <w:p>
            <w:pPr>
              <w:spacing w:after="0"/>
              <w:rPr>
                <w:sz w:val="19"/>
                <w:szCs w:val="19"/>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PA-NJ</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Rite Aid</w:t>
            </w:r>
          </w:p>
        </w:tc>
      </w:tr>
      <w:tr>
        <w:trPr>
          <w:trHeight w:val="210"/>
        </w:trPr>
        <w:tc>
          <w:tcPr>
            <w:tcW w:w="80" w:type="dxa"/>
            <w:vAlign w:val="bottom"/>
            <w:tcBorders>
              <w:right w:val="single" w:sz="8" w:color="CCEEFF"/>
            </w:tcBorders>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Willow Grove</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Barnes &amp; Noble /</w:t>
            </w: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Marshalls / Toys R</w:t>
            </w:r>
          </w:p>
        </w:tc>
      </w:tr>
      <w:tr>
        <w:trPr>
          <w:trHeight w:val="224"/>
        </w:trPr>
        <w:tc>
          <w:tcPr>
            <w:tcW w:w="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w:t>
            </w:r>
          </w:p>
        </w:tc>
      </w:tr>
      <w:tr>
        <w:trPr>
          <w:trHeight w:val="20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Wynnewood</w:t>
            </w: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Philadelphia,</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840" w:type="dxa"/>
            <w:vAlign w:val="bottom"/>
          </w:tcPr>
          <w:p>
            <w:pPr>
              <w:jc w:val="right"/>
              <w:spacing w:after="0"/>
              <w:rPr>
                <w:sz w:val="20"/>
                <w:szCs w:val="20"/>
                <w:color w:val="auto"/>
              </w:rPr>
            </w:pPr>
            <w:r>
              <w:rPr>
                <w:rFonts w:ascii="Arial" w:cs="Arial" w:eastAsia="Arial" w:hAnsi="Arial"/>
                <w:sz w:val="18"/>
                <w:szCs w:val="18"/>
                <w:color w:val="auto"/>
              </w:rPr>
              <w:t>35,632</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30,995</w:t>
            </w:r>
          </w:p>
        </w:tc>
        <w:tc>
          <w:tcPr>
            <w:tcW w:w="700" w:type="dxa"/>
            <w:vAlign w:val="bottom"/>
          </w:tcPr>
          <w:p>
            <w:pPr>
              <w:jc w:val="right"/>
              <w:spacing w:after="0"/>
              <w:rPr>
                <w:sz w:val="20"/>
                <w:szCs w:val="20"/>
                <w:color w:val="auto"/>
              </w:rPr>
            </w:pPr>
            <w:r>
              <w:rPr>
                <w:rFonts w:ascii="Arial" w:cs="Arial" w:eastAsia="Arial" w:hAnsi="Arial"/>
                <w:sz w:val="18"/>
                <w:szCs w:val="18"/>
                <w:color w:val="auto"/>
              </w:rPr>
              <w:t>255,000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98,000</w:t>
            </w:r>
          </w:p>
        </w:tc>
        <w:tc>
          <w:tcPr>
            <w:tcW w:w="1660" w:type="dxa"/>
            <w:vAlign w:val="bottom"/>
          </w:tcPr>
          <w:p>
            <w:pPr>
              <w:ind w:left="60"/>
              <w:spacing w:after="0"/>
              <w:rPr>
                <w:sz w:val="20"/>
                <w:szCs w:val="20"/>
                <w:color w:val="auto"/>
              </w:rPr>
            </w:pPr>
            <w:r>
              <w:rPr>
                <w:rFonts w:ascii="Arial" w:cs="Arial" w:eastAsia="Arial" w:hAnsi="Arial"/>
                <w:sz w:val="18"/>
                <w:szCs w:val="18"/>
                <w:color w:val="auto"/>
              </w:rPr>
              <w:t>Genuardi’s</w:t>
            </w:r>
          </w:p>
        </w:tc>
        <w:tc>
          <w:tcPr>
            <w:tcW w:w="1640" w:type="dxa"/>
            <w:vAlign w:val="bottom"/>
          </w:tcPr>
          <w:p>
            <w:pPr>
              <w:ind w:left="160"/>
              <w:spacing w:after="0"/>
              <w:rPr>
                <w:sz w:val="20"/>
                <w:szCs w:val="20"/>
                <w:color w:val="auto"/>
              </w:rPr>
            </w:pPr>
            <w:r>
              <w:rPr>
                <w:rFonts w:ascii="Arial" w:cs="Arial" w:eastAsia="Arial" w:hAnsi="Arial"/>
                <w:sz w:val="18"/>
                <w:szCs w:val="18"/>
                <w:color w:val="auto"/>
              </w:rPr>
              <w:t>Bed, Bath &amp;</w:t>
            </w:r>
          </w:p>
        </w:tc>
      </w:tr>
      <w:tr>
        <w:trPr>
          <w:trHeight w:val="216"/>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PA-NJ</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w w:val="97"/>
              </w:rPr>
              <w:t>Beyond / Borders /</w:t>
            </w:r>
          </w:p>
        </w:tc>
      </w:tr>
      <w:tr>
        <w:trPr>
          <w:trHeight w:val="231"/>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Old Navy</w:t>
            </w:r>
          </w:p>
        </w:tc>
      </w:tr>
      <w:tr>
        <w:trPr>
          <w:trHeight w:val="202"/>
        </w:trPr>
        <w:tc>
          <w:tcPr>
            <w:tcW w:w="80" w:type="dxa"/>
            <w:vAlign w:val="bottom"/>
            <w:tcBorders>
              <w:right w:val="single" w:sz="8" w:color="CCEEFF"/>
            </w:tcBorders>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241,151</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2,564,000</w:t>
            </w:r>
          </w:p>
        </w:tc>
        <w:tc>
          <w:tcPr>
            <w:tcW w:w="8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Philadelphia</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8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Metropolitan</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80" w:type="dxa"/>
            <w:vAlign w:val="bottom"/>
            <w:tcBorders>
              <w:right w:val="single" w:sz="8" w:color="CCEEFF"/>
            </w:tcBorders>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Area</w:t>
            </w:r>
          </w:p>
        </w:tc>
        <w:tc>
          <w:tcPr>
            <w:tcW w:w="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21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8"/>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Assembly</w:t>
            </w: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Boston-</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 Moore / Bed,</w:t>
            </w: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Square/Sturtevant</w:t>
            </w: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Worcester-</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2006</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Bath &amp; Beyond /</w:t>
            </w: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Street</w:t>
            </w: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Lawrence-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Christmas Tree</w:t>
            </w:r>
          </w:p>
        </w:tc>
      </w:tr>
      <w:tr>
        <w:trPr>
          <w:trHeight w:val="216"/>
        </w:trPr>
        <w:tc>
          <w:tcPr>
            <w:tcW w:w="1860" w:type="dxa"/>
            <w:vAlign w:val="bottom"/>
            <w:shd w:val="clear" w:color="auto" w:fill="CCEEFF"/>
          </w:tcPr>
          <w:p>
            <w:pPr>
              <w:spacing w:after="0"/>
              <w:rPr>
                <w:sz w:val="18"/>
                <w:szCs w:val="18"/>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Lowell-</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Shops / Kmart /</w:t>
            </w:r>
          </w:p>
        </w:tc>
      </w:tr>
      <w:tr>
        <w:trPr>
          <w:trHeight w:val="216"/>
        </w:trPr>
        <w:tc>
          <w:tcPr>
            <w:tcW w:w="1860" w:type="dxa"/>
            <w:vAlign w:val="bottom"/>
            <w:shd w:val="clear" w:color="auto" w:fill="CCEEFF"/>
          </w:tcPr>
          <w:p>
            <w:pPr>
              <w:spacing w:after="0"/>
              <w:rPr>
                <w:sz w:val="18"/>
                <w:szCs w:val="18"/>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Brockton, MA</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Staples / Sports</w:t>
            </w:r>
          </w:p>
        </w:tc>
      </w:tr>
      <w:tr>
        <w:trPr>
          <w:trHeight w:val="224"/>
        </w:trPr>
        <w:tc>
          <w:tcPr>
            <w:tcW w:w="18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Authority / TJ Maxx</w:t>
            </w:r>
          </w:p>
        </w:tc>
      </w:tr>
      <w:tr>
        <w:trPr>
          <w:trHeight w:val="208"/>
        </w:trPr>
        <w:tc>
          <w:tcPr>
            <w:tcW w:w="1860" w:type="dxa"/>
            <w:vAlign w:val="bottom"/>
          </w:tcPr>
          <w:p>
            <w:pPr>
              <w:spacing w:after="0"/>
              <w:rPr>
                <w:sz w:val="20"/>
                <w:szCs w:val="20"/>
                <w:color w:val="auto"/>
              </w:rPr>
            </w:pPr>
            <w:r>
              <w:rPr>
                <w:rFonts w:ascii="Arial" w:cs="Arial" w:eastAsia="Arial" w:hAnsi="Arial"/>
                <w:sz w:val="18"/>
                <w:szCs w:val="18"/>
                <w:color w:val="auto"/>
              </w:rPr>
              <w:t>Dedham Plaza</w:t>
            </w:r>
          </w:p>
        </w:tc>
        <w:tc>
          <w:tcPr>
            <w:tcW w:w="1540" w:type="dxa"/>
            <w:vAlign w:val="bottom"/>
          </w:tcPr>
          <w:p>
            <w:pPr>
              <w:ind w:left="360"/>
              <w:spacing w:after="0"/>
              <w:rPr>
                <w:sz w:val="20"/>
                <w:szCs w:val="20"/>
                <w:color w:val="auto"/>
              </w:rPr>
            </w:pPr>
            <w:r>
              <w:rPr>
                <w:rFonts w:ascii="Arial" w:cs="Arial" w:eastAsia="Arial" w:hAnsi="Arial"/>
                <w:sz w:val="18"/>
                <w:szCs w:val="18"/>
                <w:color w:val="auto"/>
              </w:rPr>
              <w:t>Boston-</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1993</w:t>
            </w:r>
          </w:p>
        </w:tc>
        <w:tc>
          <w:tcPr>
            <w:tcW w:w="840" w:type="dxa"/>
            <w:vAlign w:val="bottom"/>
          </w:tcPr>
          <w:p>
            <w:pPr>
              <w:jc w:val="right"/>
              <w:spacing w:after="0"/>
              <w:rPr>
                <w:sz w:val="20"/>
                <w:szCs w:val="20"/>
                <w:color w:val="auto"/>
              </w:rPr>
            </w:pPr>
            <w:r>
              <w:rPr>
                <w:rFonts w:ascii="Arial" w:cs="Arial" w:eastAsia="Arial" w:hAnsi="Arial"/>
                <w:sz w:val="18"/>
                <w:szCs w:val="18"/>
                <w:color w:val="auto"/>
              </w:rPr>
              <w:t>29,834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241,000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80,000</w:t>
            </w:r>
          </w:p>
        </w:tc>
        <w:tc>
          <w:tcPr>
            <w:tcW w:w="1680" w:type="dxa"/>
            <w:vAlign w:val="bottom"/>
          </w:tcPr>
          <w:p>
            <w:pPr>
              <w:ind w:left="60"/>
              <w:spacing w:after="0"/>
              <w:rPr>
                <w:sz w:val="20"/>
                <w:szCs w:val="20"/>
                <w:color w:val="auto"/>
              </w:rPr>
            </w:pPr>
            <w:r>
              <w:rPr>
                <w:rFonts w:ascii="Arial" w:cs="Arial" w:eastAsia="Arial" w:hAnsi="Arial"/>
                <w:sz w:val="18"/>
                <w:szCs w:val="18"/>
                <w:color w:val="auto"/>
              </w:rPr>
              <w:t>Star Market</w:t>
            </w:r>
          </w:p>
        </w:tc>
        <w:tc>
          <w:tcPr>
            <w:tcW w:w="1620" w:type="dxa"/>
            <w:vAlign w:val="bottom"/>
          </w:tcPr>
          <w:p>
            <w:pPr>
              <w:ind w:left="140"/>
              <w:spacing w:after="0"/>
              <w:rPr>
                <w:sz w:val="20"/>
                <w:szCs w:val="20"/>
                <w:color w:val="auto"/>
              </w:rPr>
            </w:pPr>
            <w:r>
              <w:rPr>
                <w:rFonts w:ascii="Arial" w:cs="Arial" w:eastAsia="Arial" w:hAnsi="Arial"/>
                <w:sz w:val="18"/>
                <w:szCs w:val="18"/>
                <w:color w:val="auto"/>
              </w:rPr>
              <w:t>Pier One</w:t>
            </w:r>
          </w:p>
        </w:tc>
      </w:tr>
      <w:tr>
        <w:trPr>
          <w:trHeight w:val="216"/>
        </w:trPr>
        <w:tc>
          <w:tcPr>
            <w:tcW w:w="186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Worcester-</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Lawrence-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Lowell-</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1860" w:type="dxa"/>
            <w:vAlign w:val="bottom"/>
          </w:tcPr>
          <w:p>
            <w:pPr>
              <w:spacing w:after="0"/>
              <w:rPr>
                <w:sz w:val="19"/>
                <w:szCs w:val="19"/>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Brockton, MA</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Queen Anne Plaza</w:t>
            </w: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Boston-</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Victory Supermarket</w:t>
            </w:r>
          </w:p>
        </w:tc>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TJ Maxx</w:t>
            </w:r>
          </w:p>
        </w:tc>
      </w:tr>
      <w:tr>
        <w:trPr>
          <w:trHeight w:val="216"/>
        </w:trPr>
        <w:tc>
          <w:tcPr>
            <w:tcW w:w="1860" w:type="dxa"/>
            <w:vAlign w:val="bottom"/>
            <w:shd w:val="clear" w:color="auto" w:fill="CCEEFF"/>
          </w:tcPr>
          <w:p>
            <w:pPr>
              <w:spacing w:after="0"/>
              <w:rPr>
                <w:sz w:val="18"/>
                <w:szCs w:val="18"/>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Worcester-</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Lawrence-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Lowell-</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4"/>
        </w:trPr>
        <w:tc>
          <w:tcPr>
            <w:tcW w:w="1860" w:type="dxa"/>
            <w:vAlign w:val="bottom"/>
            <w:shd w:val="clear" w:color="auto" w:fill="CCEEFF"/>
          </w:tcPr>
          <w:p>
            <w:pPr>
              <w:spacing w:after="0"/>
              <w:rPr>
                <w:sz w:val="19"/>
                <w:szCs w:val="19"/>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Brockton, MA</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8"/>
        </w:trPr>
        <w:tc>
          <w:tcPr>
            <w:tcW w:w="1860" w:type="dxa"/>
            <w:vAlign w:val="bottom"/>
          </w:tcPr>
          <w:p>
            <w:pPr>
              <w:spacing w:after="0"/>
              <w:rPr>
                <w:sz w:val="20"/>
                <w:szCs w:val="20"/>
                <w:color w:val="auto"/>
              </w:rPr>
            </w:pPr>
            <w:r>
              <w:rPr>
                <w:rFonts w:ascii="Arial" w:cs="Arial" w:eastAsia="Arial" w:hAnsi="Arial"/>
                <w:sz w:val="18"/>
                <w:szCs w:val="18"/>
                <w:color w:val="auto"/>
              </w:rPr>
              <w:t>Saugus Plaza</w:t>
            </w:r>
          </w:p>
        </w:tc>
        <w:tc>
          <w:tcPr>
            <w:tcW w:w="1540" w:type="dxa"/>
            <w:vAlign w:val="bottom"/>
          </w:tcPr>
          <w:p>
            <w:pPr>
              <w:ind w:left="360"/>
              <w:spacing w:after="0"/>
              <w:rPr>
                <w:sz w:val="20"/>
                <w:szCs w:val="20"/>
                <w:color w:val="auto"/>
              </w:rPr>
            </w:pPr>
            <w:r>
              <w:rPr>
                <w:rFonts w:ascii="Arial" w:cs="Arial" w:eastAsia="Arial" w:hAnsi="Arial"/>
                <w:sz w:val="18"/>
                <w:szCs w:val="18"/>
                <w:color w:val="auto"/>
              </w:rPr>
              <w:t>Boston-</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840" w:type="dxa"/>
            <w:vAlign w:val="bottom"/>
          </w:tcPr>
          <w:p>
            <w:pPr>
              <w:jc w:val="right"/>
              <w:spacing w:after="0"/>
              <w:rPr>
                <w:sz w:val="20"/>
                <w:szCs w:val="20"/>
                <w:color w:val="auto"/>
              </w:rPr>
            </w:pPr>
            <w:r>
              <w:rPr>
                <w:rFonts w:ascii="Arial" w:cs="Arial" w:eastAsia="Arial" w:hAnsi="Arial"/>
                <w:sz w:val="18"/>
                <w:szCs w:val="18"/>
                <w:color w:val="auto"/>
              </w:rPr>
              <w:t>13,592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171,000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55,000</w:t>
            </w:r>
          </w:p>
        </w:tc>
        <w:tc>
          <w:tcPr>
            <w:tcW w:w="1680" w:type="dxa"/>
            <w:vAlign w:val="bottom"/>
          </w:tcPr>
          <w:p>
            <w:pPr>
              <w:ind w:left="60"/>
              <w:spacing w:after="0"/>
              <w:rPr>
                <w:sz w:val="20"/>
                <w:szCs w:val="20"/>
                <w:color w:val="auto"/>
              </w:rPr>
            </w:pPr>
            <w:r>
              <w:rPr>
                <w:rFonts w:ascii="Arial" w:cs="Arial" w:eastAsia="Arial" w:hAnsi="Arial"/>
                <w:sz w:val="18"/>
                <w:szCs w:val="18"/>
                <w:color w:val="auto"/>
              </w:rPr>
              <w:t>Super Stop &amp; Shop</w:t>
            </w:r>
          </w:p>
        </w:tc>
        <w:tc>
          <w:tcPr>
            <w:tcW w:w="1620" w:type="dxa"/>
            <w:vAlign w:val="bottom"/>
          </w:tcPr>
          <w:p>
            <w:pPr>
              <w:ind w:left="140"/>
              <w:spacing w:after="0"/>
              <w:rPr>
                <w:sz w:val="20"/>
                <w:szCs w:val="20"/>
                <w:color w:val="auto"/>
              </w:rPr>
            </w:pPr>
            <w:r>
              <w:rPr>
                <w:rFonts w:ascii="Arial" w:cs="Arial" w:eastAsia="Arial" w:hAnsi="Arial"/>
                <w:sz w:val="18"/>
                <w:szCs w:val="18"/>
                <w:color w:val="auto"/>
              </w:rPr>
              <w:t>Kmart</w:t>
            </w:r>
          </w:p>
        </w:tc>
      </w:tr>
      <w:tr>
        <w:trPr>
          <w:trHeight w:val="216"/>
        </w:trPr>
        <w:tc>
          <w:tcPr>
            <w:tcW w:w="186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Worcester-</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Lawrence-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Lowell-</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1"/>
        </w:trPr>
        <w:tc>
          <w:tcPr>
            <w:tcW w:w="1860" w:type="dxa"/>
            <w:vAlign w:val="bottom"/>
          </w:tcPr>
          <w:p>
            <w:pPr>
              <w:spacing w:after="0"/>
              <w:rPr>
                <w:sz w:val="20"/>
                <w:szCs w:val="20"/>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rPr>
              <w:t>Brockton, MA</w:t>
            </w:r>
          </w:p>
        </w:tc>
        <w:tc>
          <w:tcPr>
            <w:tcW w:w="6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1860" w:type="dxa"/>
            <w:vAlign w:val="bottom"/>
            <w:shd w:val="clear" w:color="auto" w:fill="CCEEFF"/>
          </w:tcPr>
          <w:p>
            <w:pPr>
              <w:spacing w:after="0"/>
              <w:rPr>
                <w:sz w:val="18"/>
                <w:szCs w:val="18"/>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Boston</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1,113,000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363"/>
        </w:trPr>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4" w:name="page25"/>
    <w:bookmarkEnd w:id="2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Mortgage or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Grocery</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Property Name</w:t>
            </w:r>
          </w:p>
        </w:tc>
        <w:tc>
          <w:tcPr>
            <w:tcW w:w="800" w:type="dxa"/>
            <w:vAlign w:val="bottom"/>
          </w:tcPr>
          <w:p>
            <w:pPr>
              <w:spacing w:after="0"/>
              <w:rPr>
                <w:sz w:val="12"/>
                <w:szCs w:val="12"/>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MSA Description</w:t>
            </w:r>
          </w:p>
        </w:tc>
        <w:tc>
          <w:tcPr>
            <w:tcW w:w="1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Year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17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Grocery Anchor (4)</w:t>
            </w:r>
          </w:p>
        </w:tc>
        <w:tc>
          <w:tcPr>
            <w:tcW w:w="120" w:type="dxa"/>
            <w:vAlign w:val="bottom"/>
          </w:tcPr>
          <w:p>
            <w:pPr>
              <w:spacing w:after="0"/>
              <w:rPr>
                <w:sz w:val="12"/>
                <w:szCs w:val="12"/>
                <w:color w:val="auto"/>
              </w:rPr>
            </w:pPr>
          </w:p>
        </w:tc>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87"/>
              </w:rPr>
              <w:t>Other Principal Tenants</w:t>
            </w:r>
          </w:p>
        </w:tc>
        <w:tc>
          <w:tcPr>
            <w:tcW w:w="0" w:type="dxa"/>
            <w:vAlign w:val="bottom"/>
          </w:tcPr>
          <w:p>
            <w:pPr>
              <w:spacing w:after="0"/>
              <w:rPr>
                <w:sz w:val="1"/>
                <w:szCs w:val="1"/>
                <w:color w:val="auto"/>
              </w:rPr>
            </w:pPr>
          </w:p>
        </w:tc>
      </w:tr>
      <w:tr>
        <w:trPr>
          <w:trHeight w:val="155"/>
        </w:trPr>
        <w:tc>
          <w:tcPr>
            <w:tcW w:w="1160" w:type="dxa"/>
            <w:vAlign w:val="bottom"/>
            <w:gridSpan w:val="11"/>
            <w:vMerge w:val="continue"/>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Acquired</w:t>
            </w:r>
          </w:p>
        </w:tc>
        <w:tc>
          <w:tcPr>
            <w:tcW w:w="9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Investment</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Obligation</w:t>
            </w:r>
          </w:p>
        </w:tc>
        <w:tc>
          <w:tcPr>
            <w:tcW w:w="100" w:type="dxa"/>
            <w:vAlign w:val="bottom"/>
          </w:tcPr>
          <w:p>
            <w:pPr>
              <w:spacing w:after="0"/>
              <w:rPr>
                <w:sz w:val="13"/>
                <w:szCs w:val="13"/>
                <w:color w:val="auto"/>
              </w:rPr>
            </w:pPr>
          </w:p>
        </w:tc>
        <w:tc>
          <w:tcPr>
            <w:tcW w:w="9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GLA (1)</w:t>
            </w: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6"/>
              </w:rPr>
              <w:t>% Leased</w:t>
            </w: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GLA (4)</w:t>
            </w:r>
          </w:p>
        </w:tc>
        <w:tc>
          <w:tcPr>
            <w:tcW w:w="1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7"/>
              </w:rPr>
              <w:t>Chicago</w:t>
            </w:r>
          </w:p>
        </w:tc>
        <w:tc>
          <w:tcPr>
            <w:tcW w:w="26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Crossroads</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Chicago, IL</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22,630</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Comp USA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8"/>
              </w:rPr>
              <w:t>Golfsmith / Guitar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Finley Square</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Chicago, IL</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28,936</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Beyond / Sports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w w:val="93"/>
              </w:rPr>
              <w:t>Garden Market</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Chicago, IL</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11,195</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600" w:type="dxa"/>
            <w:vAlign w:val="bottom"/>
            <w:gridSpan w:val="2"/>
          </w:tcPr>
          <w:p>
            <w:pPr>
              <w:spacing w:after="0"/>
              <w:rPr>
                <w:sz w:val="20"/>
                <w:szCs w:val="20"/>
                <w:color w:val="auto"/>
              </w:rPr>
            </w:pPr>
            <w:r>
              <w:rPr>
                <w:rFonts w:ascii="Arial" w:cs="Arial" w:eastAsia="Arial" w:hAnsi="Arial"/>
                <w:sz w:val="18"/>
                <w:szCs w:val="18"/>
                <w:color w:val="auto"/>
              </w:rPr>
              <w:t>63,000</w:t>
            </w:r>
          </w:p>
        </w:tc>
        <w:tc>
          <w:tcPr>
            <w:tcW w:w="1760" w:type="dxa"/>
            <w:vAlign w:val="bottom"/>
          </w:tcPr>
          <w:p>
            <w:pPr>
              <w:spacing w:after="0"/>
              <w:rPr>
                <w:sz w:val="20"/>
                <w:szCs w:val="20"/>
                <w:color w:val="auto"/>
              </w:rPr>
            </w:pPr>
            <w:r>
              <w:rPr>
                <w:rFonts w:ascii="Arial" w:cs="Arial" w:eastAsia="Arial" w:hAnsi="Arial"/>
                <w:sz w:val="18"/>
                <w:szCs w:val="18"/>
                <w:color w:val="auto"/>
              </w:rPr>
              <w:t>Dominick’s</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Walgreens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North Lake</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Chicago, IL</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13,225</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77,000</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Dominick’s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Commons</w:t>
            </w: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w w:val="99"/>
              </w:rPr>
              <w:t>Total Chicago</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75,986</w:t>
            </w:r>
          </w:p>
        </w:tc>
        <w:tc>
          <w:tcPr>
            <w:tcW w:w="8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757,000</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left w:val="single" w:sz="8" w:color="CCEEFF"/>
              <w:bottom w:val="single" w:sz="8" w:color="auto"/>
            </w:tcBorders>
            <w:gridSpan w:val="9"/>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8"/>
              </w:rPr>
              <w:t>East Region -</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5"/>
              </w:rPr>
              <w:t>Other</w:t>
            </w:r>
          </w:p>
        </w:tc>
        <w:tc>
          <w:tcPr>
            <w:tcW w:w="340" w:type="dxa"/>
            <w:vAlign w:val="bottom"/>
            <w:tcBorders>
              <w:bottom w:val="single" w:sz="8" w:color="CCEEFF"/>
            </w:tcBorders>
            <w:gridSpan w:val="5"/>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w w:val="94"/>
              </w:rPr>
              <w:t>Barracks Road</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9"/>
              </w:rPr>
              <w:t>Charlottesville,</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1985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41,601</w:t>
            </w:r>
          </w:p>
        </w:tc>
        <w:tc>
          <w:tcPr>
            <w:tcW w:w="820" w:type="dxa"/>
            <w:vAlign w:val="bottom"/>
          </w:tcPr>
          <w:p>
            <w:pPr>
              <w:jc w:val="right"/>
              <w:spacing w:after="0"/>
              <w:rPr>
                <w:sz w:val="20"/>
                <w:szCs w:val="20"/>
                <w:color w:val="auto"/>
              </w:rPr>
            </w:pPr>
            <w:r>
              <w:rPr>
                <w:rFonts w:ascii="Arial" w:cs="Arial" w:eastAsia="Arial" w:hAnsi="Arial"/>
                <w:sz w:val="18"/>
                <w:szCs w:val="18"/>
                <w:color w:val="auto"/>
              </w:rPr>
              <w:t>42,909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483,000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600" w:type="dxa"/>
            <w:vAlign w:val="bottom"/>
            <w:gridSpan w:val="2"/>
          </w:tcPr>
          <w:p>
            <w:pPr>
              <w:spacing w:after="0"/>
              <w:rPr>
                <w:sz w:val="20"/>
                <w:szCs w:val="20"/>
                <w:color w:val="auto"/>
              </w:rPr>
            </w:pPr>
            <w:r>
              <w:rPr>
                <w:rFonts w:ascii="Arial" w:cs="Arial" w:eastAsia="Arial" w:hAnsi="Arial"/>
                <w:sz w:val="18"/>
                <w:szCs w:val="18"/>
                <w:color w:val="auto"/>
              </w:rPr>
              <w:t>91,000</w:t>
            </w:r>
          </w:p>
        </w:tc>
        <w:tc>
          <w:tcPr>
            <w:tcW w:w="1760" w:type="dxa"/>
            <w:vAlign w:val="bottom"/>
          </w:tcPr>
          <w:p>
            <w:pPr>
              <w:spacing w:after="0"/>
              <w:rPr>
                <w:sz w:val="20"/>
                <w:szCs w:val="20"/>
                <w:color w:val="auto"/>
              </w:rPr>
            </w:pPr>
            <w:r>
              <w:rPr>
                <w:rFonts w:ascii="Arial" w:cs="Arial" w:eastAsia="Arial" w:hAnsi="Arial"/>
                <w:sz w:val="18"/>
                <w:szCs w:val="18"/>
                <w:color w:val="auto"/>
              </w:rPr>
              <w:t>Harris Teeter /Kroger</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1"/>
              </w:rPr>
              <w:t>Beyond / Barnes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Noble / Old Navy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Bristol Plaza</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Hartford, CT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23,776</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74,000</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Stop &amp; Shop</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TJ 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Eastgate</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Raleigh-</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1986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17,135</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157,000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600" w:type="dxa"/>
            <w:vAlign w:val="bottom"/>
            <w:gridSpan w:val="2"/>
          </w:tcPr>
          <w:p>
            <w:pPr>
              <w:spacing w:after="0"/>
              <w:rPr>
                <w:sz w:val="20"/>
                <w:szCs w:val="20"/>
                <w:color w:val="auto"/>
              </w:rPr>
            </w:pPr>
            <w:r>
              <w:rPr>
                <w:rFonts w:ascii="Arial" w:cs="Arial" w:eastAsia="Arial" w:hAnsi="Arial"/>
                <w:sz w:val="18"/>
                <w:szCs w:val="18"/>
                <w:color w:val="auto"/>
              </w:rPr>
              <w:t>23,000</w:t>
            </w:r>
          </w:p>
        </w:tc>
        <w:tc>
          <w:tcPr>
            <w:tcW w:w="1760" w:type="dxa"/>
            <w:vAlign w:val="bottom"/>
          </w:tcPr>
          <w:p>
            <w:pPr>
              <w:spacing w:after="0"/>
              <w:rPr>
                <w:sz w:val="20"/>
                <w:szCs w:val="20"/>
                <w:color w:val="auto"/>
              </w:rPr>
            </w:pPr>
            <w:r>
              <w:rPr>
                <w:rFonts w:ascii="Arial" w:cs="Arial" w:eastAsia="Arial" w:hAnsi="Arial"/>
                <w:sz w:val="18"/>
                <w:szCs w:val="18"/>
                <w:color w:val="auto"/>
              </w:rPr>
              <w:t>Earth Fare</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Stein 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2"/>
              </w:rPr>
              <w:t>Durham-Chapel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Hill, NC</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w w:val="89"/>
              </w:rPr>
              <w:t>Governor Plaza</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Baltimore, MD</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19,652</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Bally’s / Comp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USA / Office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Gratiot Plaza</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Detroit, MI</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1973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18,061</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spacing w:after="0"/>
              <w:rPr>
                <w:sz w:val="20"/>
                <w:szCs w:val="20"/>
                <w:color w:val="auto"/>
              </w:rPr>
            </w:pPr>
            <w:r>
              <w:rPr>
                <w:rFonts w:ascii="Arial" w:cs="Arial" w:eastAsia="Arial" w:hAnsi="Arial"/>
                <w:sz w:val="18"/>
                <w:szCs w:val="18"/>
                <w:color w:val="auto"/>
              </w:rPr>
              <w:t>69,000</w:t>
            </w:r>
          </w:p>
        </w:tc>
        <w:tc>
          <w:tcPr>
            <w:tcW w:w="1760" w:type="dxa"/>
            <w:vAlign w:val="bottom"/>
          </w:tcPr>
          <w:p>
            <w:pPr>
              <w:spacing w:after="0"/>
              <w:rPr>
                <w:sz w:val="20"/>
                <w:szCs w:val="20"/>
                <w:color w:val="auto"/>
              </w:rPr>
            </w:pPr>
            <w:r>
              <w:rPr>
                <w:rFonts w:ascii="Arial" w:cs="Arial" w:eastAsia="Arial" w:hAnsi="Arial"/>
                <w:sz w:val="18"/>
                <w:szCs w:val="18"/>
                <w:color w:val="auto"/>
              </w:rPr>
              <w:t>Farmer Jacks</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3"/>
              </w:rPr>
              <w:t>Beyond / Best Buy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 DSW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Greenwich</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New Haven-</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15,993</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Saks Fifth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Avenue</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Bridgeport-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Stamford-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Waterbury</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Lancaster</w:t>
            </w:r>
          </w:p>
        </w:tc>
        <w:tc>
          <w:tcPr>
            <w:tcW w:w="800" w:type="dxa"/>
            <w:vAlign w:val="bottom"/>
          </w:tcPr>
          <w:p>
            <w:pPr>
              <w:ind w:left="100"/>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20"/>
                <w:szCs w:val="20"/>
                <w:color w:val="auto"/>
              </w:rPr>
            </w:pPr>
            <w:r>
              <w:rPr>
                <w:rFonts w:ascii="Arial" w:cs="Arial" w:eastAsia="Arial" w:hAnsi="Arial"/>
                <w:sz w:val="18"/>
                <w:szCs w:val="18"/>
                <w:color w:val="auto"/>
              </w:rPr>
              <w:t>Lancaster, PA</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1980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10,822</w:t>
            </w:r>
          </w:p>
        </w:tc>
        <w:tc>
          <w:tcPr>
            <w:tcW w:w="820" w:type="dxa"/>
            <w:vAlign w:val="bottom"/>
          </w:tcPr>
          <w:p>
            <w:pPr>
              <w:jc w:val="right"/>
              <w:spacing w:after="0"/>
              <w:rPr>
                <w:sz w:val="20"/>
                <w:szCs w:val="20"/>
                <w:color w:val="auto"/>
              </w:rPr>
            </w:pPr>
            <w:r>
              <w:rPr>
                <w:rFonts w:ascii="Arial" w:cs="Arial" w:eastAsia="Arial" w:hAnsi="Arial"/>
                <w:sz w:val="18"/>
                <w:szCs w:val="18"/>
                <w:color w:val="auto"/>
              </w:rPr>
              <w:t>4,907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spacing w:after="0"/>
              <w:rPr>
                <w:sz w:val="20"/>
                <w:szCs w:val="20"/>
                <w:color w:val="auto"/>
              </w:rPr>
            </w:pPr>
            <w:r>
              <w:rPr>
                <w:rFonts w:ascii="Arial" w:cs="Arial" w:eastAsia="Arial" w:hAnsi="Arial"/>
                <w:sz w:val="18"/>
                <w:szCs w:val="18"/>
                <w:color w:val="auto"/>
              </w:rPr>
              <w:t>39,000</w:t>
            </w:r>
          </w:p>
        </w:tc>
        <w:tc>
          <w:tcPr>
            <w:tcW w:w="1760" w:type="dxa"/>
            <w:vAlign w:val="bottom"/>
          </w:tcPr>
          <w:p>
            <w:pPr>
              <w:spacing w:after="0"/>
              <w:rPr>
                <w:sz w:val="20"/>
                <w:szCs w:val="20"/>
                <w:color w:val="auto"/>
              </w:rPr>
            </w:pPr>
            <w:r>
              <w:rPr>
                <w:rFonts w:ascii="Arial" w:cs="Arial" w:eastAsia="Arial" w:hAnsi="Arial"/>
                <w:sz w:val="18"/>
                <w:szCs w:val="18"/>
                <w:color w:val="auto"/>
              </w:rPr>
              <w:t>Giant Food</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Perring Plaza</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Baltimore, MD</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26,326</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58,000</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Shoppers Food</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Home Depot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Warehouse</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Burlington 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Factory / Jo-Ann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Shops at</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Richmond-</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1983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69,369</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467,000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600" w:type="dxa"/>
            <w:vAlign w:val="bottom"/>
            <w:gridSpan w:val="2"/>
          </w:tcPr>
          <w:p>
            <w:pPr>
              <w:spacing w:after="0"/>
              <w:rPr>
                <w:sz w:val="20"/>
                <w:szCs w:val="20"/>
                <w:color w:val="auto"/>
              </w:rPr>
            </w:pPr>
            <w:r>
              <w:rPr>
                <w:rFonts w:ascii="Arial" w:cs="Arial" w:eastAsia="Arial" w:hAnsi="Arial"/>
                <w:sz w:val="18"/>
                <w:szCs w:val="18"/>
                <w:color w:val="auto"/>
              </w:rPr>
              <w:t>60,000</w:t>
            </w:r>
          </w:p>
        </w:tc>
        <w:tc>
          <w:tcPr>
            <w:tcW w:w="1760" w:type="dxa"/>
            <w:vAlign w:val="bottom"/>
          </w:tcPr>
          <w:p>
            <w:pPr>
              <w:spacing w:after="0"/>
              <w:rPr>
                <w:sz w:val="20"/>
                <w:szCs w:val="20"/>
                <w:color w:val="auto"/>
              </w:rPr>
            </w:pPr>
            <w:r>
              <w:rPr>
                <w:rFonts w:ascii="Arial" w:cs="Arial" w:eastAsia="Arial" w:hAnsi="Arial"/>
                <w:sz w:val="18"/>
                <w:szCs w:val="18"/>
                <w:color w:val="auto"/>
              </w:rPr>
              <w:t>Kroger</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9"/>
              </w:rPr>
              <w:t>Old Navy / Tower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8"/>
          </w:tcPr>
          <w:p>
            <w:pPr>
              <w:ind w:left="20"/>
              <w:spacing w:after="0"/>
              <w:rPr>
                <w:sz w:val="20"/>
                <w:szCs w:val="20"/>
                <w:color w:val="auto"/>
              </w:rPr>
            </w:pPr>
            <w:r>
              <w:rPr>
                <w:rFonts w:ascii="Arial" w:cs="Arial" w:eastAsia="Arial" w:hAnsi="Arial"/>
                <w:sz w:val="18"/>
                <w:szCs w:val="18"/>
                <w:color w:val="auto"/>
              </w:rPr>
              <w:t>Willow</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6"/>
              </w:rPr>
              <w:t>Petersburg, VA</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7"/>
              </w:rPr>
              <w:t>Records / Staples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8"/>
          </w:tcPr>
          <w:p>
            <w:pPr>
              <w:ind w:left="20"/>
              <w:spacing w:after="0"/>
              <w:rPr>
                <w:sz w:val="20"/>
                <w:szCs w:val="20"/>
                <w:color w:val="auto"/>
              </w:rPr>
            </w:pPr>
            <w:r>
              <w:rPr>
                <w:rFonts w:ascii="Arial" w:cs="Arial" w:eastAsia="Arial" w:hAnsi="Arial"/>
                <w:sz w:val="18"/>
                <w:szCs w:val="18"/>
                <w:color w:val="auto"/>
              </w:rPr>
              <w:t>Lawn</w:t>
            </w: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Total East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242,735</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99"/>
              </w:rPr>
              <w:t>Region - Other</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Total East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1,915,454</w:t>
            </w:r>
          </w:p>
        </w:tc>
        <w:tc>
          <w:tcPr>
            <w:tcW w:w="8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15,073,000</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Region</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7"/>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6"/>
              </w:rPr>
              <w:t>West Region</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9"/>
          </w:tcPr>
          <w:p>
            <w:pPr>
              <w:ind w:left="80"/>
              <w:spacing w:after="0"/>
              <w:rPr>
                <w:sz w:val="20"/>
                <w:szCs w:val="20"/>
                <w:color w:val="auto"/>
              </w:rPr>
            </w:pPr>
            <w:r>
              <w:rPr>
                <w:rFonts w:ascii="Arial" w:cs="Arial" w:eastAsia="Arial" w:hAnsi="Arial"/>
                <w:sz w:val="18"/>
                <w:szCs w:val="18"/>
                <w:b w:val="1"/>
                <w:bCs w:val="1"/>
                <w:color w:val="auto"/>
              </w:rPr>
              <w:t>California</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w w:val="99"/>
              </w:rPr>
              <w:t>Colorado Blvd</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Los Angeles-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16,695</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Pottery Barn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9"/>
              </w:rPr>
              <w:t>Long Beach, CA</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Banana Republic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Crow Canyon</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0"/>
              </w:rPr>
              <w:t>San Ramon, CA</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2005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50,978</w:t>
            </w:r>
          </w:p>
        </w:tc>
        <w:tc>
          <w:tcPr>
            <w:tcW w:w="820" w:type="dxa"/>
            <w:vAlign w:val="bottom"/>
          </w:tcPr>
          <w:p>
            <w:pPr>
              <w:jc w:val="right"/>
              <w:spacing w:after="0"/>
              <w:rPr>
                <w:sz w:val="20"/>
                <w:szCs w:val="20"/>
                <w:color w:val="auto"/>
              </w:rPr>
            </w:pPr>
            <w:r>
              <w:rPr>
                <w:rFonts w:ascii="Arial" w:cs="Arial" w:eastAsia="Arial" w:hAnsi="Arial"/>
                <w:sz w:val="18"/>
                <w:szCs w:val="18"/>
                <w:color w:val="auto"/>
              </w:rPr>
              <w:t>22,115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600" w:type="dxa"/>
            <w:vAlign w:val="bottom"/>
            <w:gridSpan w:val="2"/>
          </w:tcPr>
          <w:p>
            <w:pPr>
              <w:spacing w:after="0"/>
              <w:rPr>
                <w:sz w:val="20"/>
                <w:szCs w:val="20"/>
                <w:color w:val="auto"/>
              </w:rPr>
            </w:pPr>
            <w:r>
              <w:rPr>
                <w:rFonts w:ascii="Arial" w:cs="Arial" w:eastAsia="Arial" w:hAnsi="Arial"/>
                <w:sz w:val="18"/>
                <w:szCs w:val="18"/>
                <w:color w:val="auto"/>
              </w:rPr>
              <w:t>58,000</w:t>
            </w:r>
          </w:p>
        </w:tc>
        <w:tc>
          <w:tcPr>
            <w:tcW w:w="1760" w:type="dxa"/>
            <w:vAlign w:val="bottom"/>
          </w:tcPr>
          <w:p>
            <w:pPr>
              <w:spacing w:after="0"/>
              <w:rPr>
                <w:sz w:val="20"/>
                <w:szCs w:val="20"/>
                <w:color w:val="auto"/>
              </w:rPr>
            </w:pPr>
            <w:r>
              <w:rPr>
                <w:rFonts w:ascii="Arial" w:cs="Arial" w:eastAsia="Arial" w:hAnsi="Arial"/>
                <w:sz w:val="18"/>
                <w:szCs w:val="18"/>
                <w:color w:val="auto"/>
              </w:rPr>
              <w:t>Albertson’s</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5"/>
              </w:rPr>
              <w:t>Loehmann’s / Rite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Aid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Escondido</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99"/>
              </w:rPr>
              <w:t>San Diego, CA</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25,779</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Plus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Maxx / Toys R 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Fifth Ave</w:t>
            </w:r>
          </w:p>
        </w:tc>
        <w:tc>
          <w:tcPr>
            <w:tcW w:w="800" w:type="dxa"/>
            <w:vAlign w:val="bottom"/>
          </w:tcPr>
          <w:p>
            <w:pPr>
              <w:ind w:left="100"/>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0"/>
                <w:szCs w:val="20"/>
                <w:color w:val="auto"/>
              </w:rPr>
            </w:pPr>
            <w:r>
              <w:rPr>
                <w:rFonts w:ascii="Arial" w:cs="Arial" w:eastAsia="Arial" w:hAnsi="Arial"/>
                <w:sz w:val="18"/>
                <w:szCs w:val="18"/>
                <w:color w:val="auto"/>
                <w:w w:val="99"/>
              </w:rPr>
              <w:t>San Diego, CA</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12,698</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Urban Outfitters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1997</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Hermosa Ave</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Los Angeles-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4,721</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9"/>
              </w:rPr>
              <w:t>Long Beach, CA</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Hollywood</w:t>
            </w:r>
          </w:p>
        </w:tc>
        <w:tc>
          <w:tcPr>
            <w:tcW w:w="800" w:type="dxa"/>
            <w:vAlign w:val="bottom"/>
          </w:tcPr>
          <w:p>
            <w:pPr>
              <w:ind w:left="100"/>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rPr>
                <w:sz w:val="20"/>
                <w:szCs w:val="20"/>
                <w:color w:val="auto"/>
              </w:rPr>
            </w:pPr>
            <w:r>
              <w:rPr>
                <w:rFonts w:ascii="Arial" w:cs="Arial" w:eastAsia="Arial" w:hAnsi="Arial"/>
                <w:sz w:val="18"/>
                <w:szCs w:val="18"/>
                <w:color w:val="auto"/>
              </w:rPr>
              <w:t>Los Angeles-</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36,278</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149,000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Hollywood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8"/>
          </w:tcPr>
          <w:p>
            <w:pPr>
              <w:ind w:left="20"/>
              <w:spacing w:after="0"/>
              <w:rPr>
                <w:sz w:val="20"/>
                <w:szCs w:val="20"/>
                <w:color w:val="auto"/>
              </w:rPr>
            </w:pPr>
            <w:r>
              <w:rPr>
                <w:rFonts w:ascii="Arial" w:cs="Arial" w:eastAsia="Arial" w:hAnsi="Arial"/>
                <w:sz w:val="18"/>
                <w:szCs w:val="18"/>
                <w:color w:val="auto"/>
              </w:rPr>
              <w:t>Blvd</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89"/>
              </w:rPr>
              <w:t>Long Beach, CA</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Museum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Kings Court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11,504</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3"/>
              </w:rPr>
              <w:t>Lunardi’s Super Market</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Longs Drug Store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10"/>
          </w:tcPr>
          <w:p>
            <w:pPr>
              <w:spacing w:after="0"/>
              <w:rPr>
                <w:sz w:val="20"/>
                <w:szCs w:val="20"/>
                <w:color w:val="auto"/>
              </w:rPr>
            </w:pPr>
            <w:r>
              <w:rPr>
                <w:rFonts w:ascii="Arial" w:cs="Arial" w:eastAsia="Arial" w:hAnsi="Arial"/>
                <w:sz w:val="18"/>
                <w:szCs w:val="18"/>
                <w:color w:val="auto"/>
              </w:rPr>
              <w:t>Old Town</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San Jose, CA</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33,362</w:t>
            </w: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0"/>
              </w:rPr>
              <w:t>Borders / Gap Kids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8"/>
          </w:tcPr>
          <w:p>
            <w:pPr>
              <w:ind w:left="20"/>
              <w:spacing w:after="0"/>
              <w:rPr>
                <w:sz w:val="20"/>
                <w:szCs w:val="20"/>
                <w:color w:val="auto"/>
              </w:rPr>
            </w:pPr>
            <w:r>
              <w:rPr>
                <w:rFonts w:ascii="Arial" w:cs="Arial" w:eastAsia="Arial" w:hAnsi="Arial"/>
                <w:sz w:val="18"/>
                <w:szCs w:val="18"/>
                <w:color w:val="auto"/>
              </w:rPr>
              <w:t>Center</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3"/>
              </w:rPr>
              <w:t>/ Banana Republic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Santana Row</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458,690</w:t>
            </w:r>
          </w:p>
        </w:tc>
        <w:tc>
          <w:tcPr>
            <w:tcW w:w="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Crate &amp; Barrel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(Phase I,</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II &amp; III)</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Best Buy / Borders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 CineArts Theatre</w:t>
            </w:r>
          </w:p>
        </w:tc>
        <w:tc>
          <w:tcPr>
            <w:tcW w:w="0" w:type="dxa"/>
            <w:vAlign w:val="bottom"/>
          </w:tcPr>
          <w:p>
            <w:pPr>
              <w:spacing w:after="0"/>
              <w:rPr>
                <w:sz w:val="1"/>
                <w:szCs w:val="1"/>
                <w:color w:val="auto"/>
              </w:rPr>
            </w:pPr>
          </w:p>
        </w:tc>
      </w:tr>
      <w:tr>
        <w:trPr>
          <w:trHeight w:val="316"/>
        </w:trPr>
        <w:tc>
          <w:tcPr>
            <w:tcW w:w="1160" w:type="dxa"/>
            <w:vAlign w:val="bottom"/>
            <w:gridSpan w:val="11"/>
          </w:tcPr>
          <w:p>
            <w:pPr>
              <w:spacing w:after="0"/>
              <w:rPr>
                <w:sz w:val="20"/>
                <w:szCs w:val="20"/>
                <w:color w:val="auto"/>
              </w:rPr>
            </w:pPr>
            <w:r>
              <w:rPr>
                <w:rFonts w:ascii="Arial" w:cs="Arial" w:eastAsia="Arial" w:hAnsi="Arial"/>
                <w:sz w:val="18"/>
                <w:szCs w:val="18"/>
                <w:color w:val="auto"/>
              </w:rPr>
              <w:t>Third St</w:t>
            </w:r>
          </w:p>
        </w:tc>
        <w:tc>
          <w:tcPr>
            <w:tcW w:w="800" w:type="dxa"/>
            <w:vAlign w:val="bottom"/>
          </w:tcPr>
          <w:p>
            <w:pPr>
              <w:ind w:left="100"/>
              <w:spacing w:after="0"/>
              <w:rPr>
                <w:sz w:val="20"/>
                <w:szCs w:val="20"/>
                <w:color w:val="auto"/>
              </w:rPr>
            </w:pPr>
            <w:r>
              <w:rPr>
                <w:rFonts w:ascii="Arial" w:cs="Arial" w:eastAsia="Arial" w:hAnsi="Arial"/>
                <w:sz w:val="18"/>
                <w:szCs w:val="18"/>
                <w:color w:val="auto"/>
              </w:rPr>
              <w:t>(13)</w:t>
            </w:r>
          </w:p>
        </w:tc>
        <w:tc>
          <w:tcPr>
            <w:tcW w:w="1200" w:type="dxa"/>
            <w:vAlign w:val="bottom"/>
          </w:tcPr>
          <w:p>
            <w:pPr>
              <w:spacing w:after="0"/>
              <w:rPr>
                <w:sz w:val="20"/>
                <w:szCs w:val="20"/>
                <w:color w:val="auto"/>
              </w:rPr>
            </w:pPr>
            <w:r>
              <w:rPr>
                <w:rFonts w:ascii="Arial" w:cs="Arial" w:eastAsia="Arial" w:hAnsi="Arial"/>
                <w:sz w:val="18"/>
                <w:szCs w:val="18"/>
                <w:color w:val="auto"/>
              </w:rPr>
              <w:t>Los Angeles-</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1996-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73,955</w:t>
            </w:r>
          </w:p>
        </w:tc>
        <w:tc>
          <w:tcPr>
            <w:tcW w:w="8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211,000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9"/>
              </w:rPr>
              <w:t>J. Crew / Banana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8"/>
          </w:tcPr>
          <w:p>
            <w:pPr>
              <w:ind w:left="20"/>
              <w:spacing w:after="0"/>
              <w:rPr>
                <w:sz w:val="20"/>
                <w:szCs w:val="20"/>
                <w:color w:val="auto"/>
              </w:rPr>
            </w:pPr>
            <w:r>
              <w:rPr>
                <w:rFonts w:ascii="Arial" w:cs="Arial" w:eastAsia="Arial" w:hAnsi="Arial"/>
                <w:sz w:val="18"/>
                <w:szCs w:val="18"/>
                <w:color w:val="auto"/>
                <w:w w:val="98"/>
              </w:rPr>
              <w:t>Promenade</w:t>
            </w:r>
          </w:p>
        </w:tc>
        <w:tc>
          <w:tcPr>
            <w:tcW w:w="8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89"/>
              </w:rPr>
              <w:t>Long Beach, CA</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Republic / 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Navy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Abercrombie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Fitch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lef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Westgate</w:t>
            </w: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115,098</w:t>
            </w:r>
          </w:p>
        </w:tc>
        <w:tc>
          <w:tcPr>
            <w:tcW w:w="8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646,000</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38,000</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Safeway</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Target / Burlington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lef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63"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Coat Factory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87"/>
              </w:rPr>
              <w:t>150 Post Street</w:t>
            </w:r>
          </w:p>
        </w:tc>
        <w:tc>
          <w:tcPr>
            <w:tcW w:w="2200" w:type="dxa"/>
            <w:vAlign w:val="bottom"/>
          </w:tcPr>
          <w:p>
            <w:pPr>
              <w:ind w:left="840"/>
              <w:spacing w:after="0"/>
              <w:rPr>
                <w:sz w:val="20"/>
                <w:szCs w:val="20"/>
                <w:color w:val="auto"/>
              </w:rPr>
            </w:pPr>
            <w:r>
              <w:rPr>
                <w:rFonts w:ascii="Arial" w:cs="Arial" w:eastAsia="Arial" w:hAnsi="Arial"/>
                <w:sz w:val="18"/>
                <w:szCs w:val="18"/>
                <w:color w:val="auto"/>
              </w:rPr>
              <w:t>San Francisco,</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1997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35,711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104,000</w:t>
            </w:r>
          </w:p>
        </w:tc>
        <w:tc>
          <w:tcPr>
            <w:tcW w:w="2160" w:type="dxa"/>
            <w:vAlign w:val="bottom"/>
            <w:gridSpan w:val="3"/>
          </w:tcPr>
          <w:p>
            <w:pPr>
              <w:ind w:left="520"/>
              <w:spacing w:after="0"/>
              <w:rPr>
                <w:sz w:val="20"/>
                <w:szCs w:val="20"/>
                <w:color w:val="auto"/>
              </w:rPr>
            </w:pPr>
            <w:r>
              <w:rPr>
                <w:rFonts w:ascii="Arial" w:cs="Arial" w:eastAsia="Arial" w:hAnsi="Arial"/>
                <w:sz w:val="18"/>
                <w:szCs w:val="18"/>
                <w:color w:val="auto"/>
              </w:rPr>
              <w:t>85%</w:t>
            </w:r>
          </w:p>
        </w:tc>
        <w:tc>
          <w:tcPr>
            <w:tcW w:w="2680" w:type="dxa"/>
            <w:vAlign w:val="bottom"/>
          </w:tcPr>
          <w:p>
            <w:pPr>
              <w:ind w:left="1280"/>
              <w:spacing w:after="0"/>
              <w:rPr>
                <w:sz w:val="20"/>
                <w:szCs w:val="20"/>
                <w:color w:val="auto"/>
              </w:rPr>
            </w:pPr>
            <w:r>
              <w:rPr>
                <w:rFonts w:ascii="Arial" w:cs="Arial" w:eastAsia="Arial" w:hAnsi="Arial"/>
                <w:sz w:val="18"/>
                <w:szCs w:val="18"/>
                <w:color w:val="auto"/>
              </w:rPr>
              <w:t>Brooks Brothers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ind w:left="840"/>
              <w:spacing w:after="0"/>
              <w:rPr>
                <w:sz w:val="20"/>
                <w:szCs w:val="20"/>
                <w:color w:val="auto"/>
              </w:rPr>
            </w:pPr>
            <w:r>
              <w:rPr>
                <w:rFonts w:ascii="Arial" w:cs="Arial" w:eastAsia="Arial" w:hAnsi="Arial"/>
                <w:sz w:val="18"/>
                <w:szCs w:val="18"/>
                <w:color w:val="auto"/>
              </w:rPr>
              <w:t>CA</w:t>
            </w:r>
          </w:p>
        </w:tc>
        <w:tc>
          <w:tcPr>
            <w:tcW w:w="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California</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875,469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2,437,000</w:t>
            </w:r>
          </w:p>
        </w:tc>
        <w:tc>
          <w:tcPr>
            <w:tcW w:w="2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96%</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West Region -</w:t>
            </w:r>
          </w:p>
        </w:tc>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4"/>
          </w:tcPr>
          <w:p>
            <w:pPr>
              <w:jc w:val="center"/>
              <w:spacing w:after="0" w:line="196" w:lineRule="exact"/>
              <w:rPr>
                <w:sz w:val="20"/>
                <w:szCs w:val="20"/>
                <w:color w:val="auto"/>
              </w:rPr>
            </w:pPr>
            <w:r>
              <w:rPr>
                <w:rFonts w:ascii="Arial" w:cs="Arial" w:eastAsia="Arial" w:hAnsi="Arial"/>
                <w:sz w:val="18"/>
                <w:szCs w:val="18"/>
                <w:b w:val="1"/>
                <w:bCs w:val="1"/>
                <w:color w:val="auto"/>
                <w:w w:val="95"/>
              </w:rPr>
              <w:t>Other</w:t>
            </w: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Houston St</w:t>
            </w:r>
          </w:p>
        </w:tc>
        <w:tc>
          <w:tcPr>
            <w:tcW w:w="2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San Antonio, TX</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2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72%</w:t>
            </w:r>
          </w:p>
        </w:tc>
        <w:tc>
          <w:tcPr>
            <w:tcW w:w="2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Hotel Valencia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Pr>
          <w:p>
            <w:pPr>
              <w:ind w:left="840"/>
              <w:spacing w:after="0" w:line="201" w:lineRule="exact"/>
              <w:rPr>
                <w:sz w:val="20"/>
                <w:szCs w:val="20"/>
                <w:color w:val="auto"/>
              </w:rPr>
            </w:pPr>
            <w:r>
              <w:rPr>
                <w:rFonts w:ascii="Arial" w:cs="Arial" w:eastAsia="Arial" w:hAnsi="Arial"/>
                <w:sz w:val="18"/>
                <w:szCs w:val="18"/>
                <w:b w:val="1"/>
                <w:bCs w:val="1"/>
                <w:color w:val="auto"/>
              </w:rPr>
              <w:t>Total West</w:t>
            </w:r>
          </w:p>
        </w:tc>
        <w:tc>
          <w:tcPr>
            <w:tcW w:w="600" w:type="dxa"/>
            <w:vAlign w:val="bottom"/>
          </w:tcPr>
          <w:p>
            <w:pPr>
              <w:spacing w:after="0"/>
              <w:rPr>
                <w:sz w:val="17"/>
                <w:szCs w:val="17"/>
                <w:color w:val="auto"/>
              </w:rPr>
            </w:pP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937,242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2,608,000</w:t>
            </w:r>
          </w:p>
        </w:tc>
        <w:tc>
          <w:tcPr>
            <w:tcW w:w="216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94%</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ind w:left="1040"/>
              <w:spacing w:after="0"/>
              <w:rPr>
                <w:sz w:val="20"/>
                <w:szCs w:val="20"/>
                <w:color w:val="auto"/>
              </w:rPr>
            </w:pPr>
            <w:r>
              <w:rPr>
                <w:rFonts w:ascii="Arial" w:cs="Arial" w:eastAsia="Arial" w:hAnsi="Arial"/>
                <w:sz w:val="18"/>
                <w:szCs w:val="18"/>
                <w:b w:val="1"/>
                <w:bCs w:val="1"/>
                <w:color w:val="auto"/>
              </w:rPr>
              <w:t>Region</w:t>
            </w:r>
          </w:p>
        </w:tc>
        <w:tc>
          <w:tcPr>
            <w:tcW w:w="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4"/>
              </w:rPr>
              <w:t>$ 2,852,696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417,189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17,681,000</w:t>
            </w:r>
          </w:p>
        </w:tc>
        <w:tc>
          <w:tcPr>
            <w:tcW w:w="216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97%</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this schedule, “occupied” refers to spaces where the lease term and obligation to pay rent have commenced.</w:t>
      </w:r>
    </w:p>
    <w:p>
      <w:pPr>
        <w:spacing w:after="0" w:line="9" w:lineRule="exact"/>
        <w:rPr>
          <w:rFonts w:ascii="Arial" w:cs="Arial" w:eastAsia="Arial" w:hAnsi="Arial"/>
          <w:sz w:val="18"/>
          <w:szCs w:val="18"/>
          <w:color w:val="auto"/>
        </w:rPr>
      </w:pPr>
    </w:p>
    <w:p>
      <w:pPr>
        <w:ind w:left="580" w:right="48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as the aggregate, annualized in-place contractual (cash basis) minimum rent for all occupied spaces divided by the aggregate GLA of all occupied spaces.</w:t>
      </w: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3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Currently under contract to acquire the retail square footage upon completion of development.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four properties, three owned 100% by the Trust and one in which the Trust has a 90% ownership interest.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nine properties, eight owned 100% by the Trust and one in which the Trust has a 90% ownership interest.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Comparable (2) (7)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Straight-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Cash</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Basis %</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Basis %</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Annual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Over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Over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Increase in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Prior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Prior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Improvements &amp;</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55"/>
        </w:trPr>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1"/>
              </w:rPr>
              <w:t>Leases Signed</w:t>
            </w:r>
          </w:p>
        </w:tc>
        <w:tc>
          <w:tcPr>
            <w:tcW w:w="98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Signed</w:t>
            </w:r>
          </w:p>
        </w:tc>
        <w:tc>
          <w:tcPr>
            <w:tcW w:w="92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GLA Signed</w:t>
            </w:r>
          </w:p>
        </w:tc>
        <w:tc>
          <w:tcPr>
            <w:tcW w:w="820" w:type="dxa"/>
            <w:vAlign w:val="bottom"/>
            <w:gridSpan w:val="4"/>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Per Sq. 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
              <w:spacing w:after="0" w:line="148" w:lineRule="exact"/>
              <w:rPr>
                <w:sz w:val="20"/>
                <w:szCs w:val="20"/>
                <w:color w:val="auto"/>
              </w:rPr>
            </w:pPr>
            <w:r>
              <w:rPr>
                <w:rFonts w:ascii="Arial" w:cs="Arial" w:eastAsia="Arial" w:hAnsi="Arial"/>
                <w:sz w:val="14"/>
                <w:szCs w:val="14"/>
                <w:b w:val="1"/>
                <w:bCs w:val="1"/>
                <w:color w:val="auto"/>
                <w:w w:val="89"/>
              </w:rPr>
              <w:t>Rent</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Rent</w:t>
            </w:r>
          </w:p>
        </w:tc>
        <w:tc>
          <w:tcPr>
            <w:tcW w:w="7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Rent</w:t>
            </w:r>
          </w:p>
        </w:tc>
        <w:tc>
          <w:tcPr>
            <w:tcW w:w="6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0"/>
              </w:rPr>
              <w:t>Term (5)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Incentives (6)</w:t>
            </w:r>
          </w:p>
        </w:tc>
        <w:tc>
          <w:tcPr>
            <w:tcW w:w="120" w:type="dxa"/>
            <w:vAlign w:val="bottom"/>
          </w:tcPr>
          <w:p>
            <w:pPr>
              <w:spacing w:after="0"/>
              <w:rPr>
                <w:sz w:val="13"/>
                <w:szCs w:val="13"/>
                <w:color w:val="auto"/>
              </w:rPr>
            </w:pPr>
          </w:p>
        </w:tc>
        <w:tc>
          <w:tcPr>
            <w:tcW w:w="74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8"/>
        </w:trPr>
        <w:tc>
          <w:tcPr>
            <w:tcW w:w="14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1st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40"/>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208,579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24.28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533,573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462,906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9"/>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389,590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2,522,399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3rd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60" w:type="dxa"/>
            <w:vAlign w:val="bottom"/>
          </w:tcPr>
          <w:p>
            <w:pPr>
              <w:ind w:left="44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197,246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303,787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469,514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- 12</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months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823,955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27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$ 1,710,091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3,554,819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40" w:type="dxa"/>
            <w:vAlign w:val="bottom"/>
            <w:gridSpan w:val="9"/>
          </w:tcPr>
          <w:p>
            <w:pPr>
              <w:spacing w:after="0"/>
              <w:rPr>
                <w:sz w:val="20"/>
                <w:szCs w:val="20"/>
                <w:color w:val="auto"/>
              </w:rPr>
            </w:pPr>
            <w:r>
              <w:rPr>
                <w:rFonts w:ascii="Arial" w:cs="Arial" w:eastAsia="Arial" w:hAnsi="Arial"/>
                <w:sz w:val="18"/>
                <w:szCs w:val="18"/>
                <w:b w:val="1"/>
                <w:bCs w:val="1"/>
                <w:color w:val="auto"/>
              </w:rPr>
              <w:t>New Lease Summary - Comparable (2)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Straight-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Cash</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Basis %</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Basis %</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Annual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Over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Over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Increase in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Prior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Prior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Improvements &amp;</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55"/>
        </w:trPr>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1"/>
              </w:rPr>
              <w:t>Leases Signed</w:t>
            </w:r>
          </w:p>
        </w:tc>
        <w:tc>
          <w:tcPr>
            <w:tcW w:w="98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Signed</w:t>
            </w:r>
          </w:p>
        </w:tc>
        <w:tc>
          <w:tcPr>
            <w:tcW w:w="92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GLA Signed</w:t>
            </w:r>
          </w:p>
        </w:tc>
        <w:tc>
          <w:tcPr>
            <w:tcW w:w="820" w:type="dxa"/>
            <w:vAlign w:val="bottom"/>
            <w:gridSpan w:val="4"/>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Per Sq. 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
              <w:spacing w:after="0" w:line="148" w:lineRule="exact"/>
              <w:rPr>
                <w:sz w:val="20"/>
                <w:szCs w:val="20"/>
                <w:color w:val="auto"/>
              </w:rPr>
            </w:pPr>
            <w:r>
              <w:rPr>
                <w:rFonts w:ascii="Arial" w:cs="Arial" w:eastAsia="Arial" w:hAnsi="Arial"/>
                <w:sz w:val="14"/>
                <w:szCs w:val="14"/>
                <w:b w:val="1"/>
                <w:bCs w:val="1"/>
                <w:color w:val="auto"/>
                <w:w w:val="89"/>
              </w:rPr>
              <w:t>Rent</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Rent</w:t>
            </w:r>
          </w:p>
        </w:tc>
        <w:tc>
          <w:tcPr>
            <w:tcW w:w="7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Rent</w:t>
            </w:r>
          </w:p>
        </w:tc>
        <w:tc>
          <w:tcPr>
            <w:tcW w:w="6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0"/>
              </w:rPr>
              <w:t>Term (5)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Incentives (6)</w:t>
            </w:r>
          </w:p>
        </w:tc>
        <w:tc>
          <w:tcPr>
            <w:tcW w:w="120" w:type="dxa"/>
            <w:vAlign w:val="bottom"/>
          </w:tcPr>
          <w:p>
            <w:pPr>
              <w:spacing w:after="0"/>
              <w:rPr>
                <w:sz w:val="13"/>
                <w:szCs w:val="13"/>
                <w:color w:val="auto"/>
              </w:rPr>
            </w:pPr>
          </w:p>
        </w:tc>
        <w:tc>
          <w:tcPr>
            <w:tcW w:w="74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8"/>
        </w:trPr>
        <w:tc>
          <w:tcPr>
            <w:tcW w:w="14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2,089,643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1st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40"/>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77,625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380,698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1,084,565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9"/>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187,935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$ 1,206,955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3,764,025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3rd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60" w:type="dxa"/>
            <w:vAlign w:val="bottom"/>
          </w:tcPr>
          <w:p>
            <w:pPr>
              <w:ind w:left="44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197,380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23.86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$ 1,300,320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5,405,665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- 12</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months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586,592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$ 3,371,032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12,343,898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40" w:type="dxa"/>
            <w:vAlign w:val="bottom"/>
            <w:gridSpan w:val="9"/>
          </w:tcPr>
          <w:p>
            <w:pPr>
              <w:spacing w:after="0"/>
              <w:rPr>
                <w:sz w:val="20"/>
                <w:szCs w:val="20"/>
                <w:color w:val="auto"/>
              </w:rPr>
            </w:pPr>
            <w:r>
              <w:rPr>
                <w:rFonts w:ascii="Arial" w:cs="Arial" w:eastAsia="Arial" w:hAnsi="Arial"/>
                <w:sz w:val="18"/>
                <w:szCs w:val="18"/>
                <w:b w:val="1"/>
                <w:bCs w:val="1"/>
                <w:color w:val="auto"/>
              </w:rPr>
              <w:t>Total Lease Summary - Comparable (2)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Straight-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Cash</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Basis %</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Basis %</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Annual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Over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Over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Increase in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Prior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Prior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Improvements &amp;</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55"/>
        </w:trPr>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1"/>
              </w:rPr>
              <w:t>Leases Signed</w:t>
            </w:r>
          </w:p>
        </w:tc>
        <w:tc>
          <w:tcPr>
            <w:tcW w:w="98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Signed</w:t>
            </w:r>
          </w:p>
        </w:tc>
        <w:tc>
          <w:tcPr>
            <w:tcW w:w="92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GLA Signed</w:t>
            </w:r>
          </w:p>
        </w:tc>
        <w:tc>
          <w:tcPr>
            <w:tcW w:w="820" w:type="dxa"/>
            <w:vAlign w:val="bottom"/>
            <w:gridSpan w:val="4"/>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Per Sq. Ft.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
              <w:spacing w:after="0" w:line="148" w:lineRule="exact"/>
              <w:rPr>
                <w:sz w:val="20"/>
                <w:szCs w:val="20"/>
                <w:color w:val="auto"/>
              </w:rPr>
            </w:pPr>
            <w:r>
              <w:rPr>
                <w:rFonts w:ascii="Arial" w:cs="Arial" w:eastAsia="Arial" w:hAnsi="Arial"/>
                <w:sz w:val="14"/>
                <w:szCs w:val="14"/>
                <w:b w:val="1"/>
                <w:bCs w:val="1"/>
                <w:color w:val="auto"/>
                <w:w w:val="89"/>
              </w:rPr>
              <w:t>Rent</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Rent</w:t>
            </w:r>
          </w:p>
        </w:tc>
        <w:tc>
          <w:tcPr>
            <w:tcW w:w="7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Rent</w:t>
            </w:r>
          </w:p>
        </w:tc>
        <w:tc>
          <w:tcPr>
            <w:tcW w:w="6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0"/>
              </w:rPr>
              <w:t>Term (5)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Incentives (6)</w:t>
            </w:r>
          </w:p>
        </w:tc>
        <w:tc>
          <w:tcPr>
            <w:tcW w:w="120" w:type="dxa"/>
            <w:vAlign w:val="bottom"/>
          </w:tcPr>
          <w:p>
            <w:pPr>
              <w:spacing w:after="0"/>
              <w:rPr>
                <w:sz w:val="13"/>
                <w:szCs w:val="13"/>
                <w:color w:val="auto"/>
              </w:rPr>
            </w:pPr>
          </w:p>
        </w:tc>
        <w:tc>
          <w:tcPr>
            <w:tcW w:w="74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8"/>
        </w:trPr>
        <w:tc>
          <w:tcPr>
            <w:tcW w:w="14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966,200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2,189,643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1st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40"/>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286,204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23.05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914,271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1,547,471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453,953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$ 1,596,545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6,286,424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3rd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60" w:type="dxa"/>
            <w:vAlign w:val="bottom"/>
          </w:tcPr>
          <w:p>
            <w:pPr>
              <w:ind w:left="44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394,626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24.25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$ 1,604,107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5,875,179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- 12</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months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1,410,547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$ 5,081,123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15,898,717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w w:val="88"/>
              </w:rPr>
              <w:t>Total Lease Summary - Comparable and Non-comparable (2)</w:t>
            </w:r>
          </w:p>
        </w:tc>
        <w:tc>
          <w:tcPr>
            <w:tcW w:w="5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Contractual</w:t>
            </w: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right="2"/>
              <w:spacing w:after="0"/>
              <w:rPr>
                <w:sz w:val="20"/>
                <w:szCs w:val="20"/>
                <w:color w:val="auto"/>
              </w:rPr>
            </w:pPr>
            <w:r>
              <w:rPr>
                <w:rFonts w:ascii="Arial" w:cs="Arial" w:eastAsia="Arial" w:hAnsi="Arial"/>
                <w:sz w:val="14"/>
                <w:szCs w:val="14"/>
                <w:b w:val="1"/>
                <w:bCs w:val="1"/>
                <w:color w:val="auto"/>
                <w:w w:val="87"/>
              </w:rPr>
              <w:t>Tenant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Tenant</w:t>
            </w:r>
          </w:p>
        </w:tc>
        <w:tc>
          <w:tcPr>
            <w:tcW w:w="12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5"/>
              </w:rPr>
              <w:t>Improvements</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Rent (3)</w:t>
            </w: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Improvements &amp;</w:t>
            </w: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Leases Signed</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GLA Signed</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 Sq. Ft.</w:t>
            </w:r>
          </w:p>
        </w:tc>
        <w:tc>
          <w:tcPr>
            <w:tcW w:w="10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Term (5)</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Incentives (6)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Per Sq. Ft.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324,367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4,582,028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1st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40"/>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82</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349,369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5,204,611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8,738,711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00" w:type="dxa"/>
            <w:vAlign w:val="bottom"/>
            <w:gridSpan w:val="2"/>
          </w:tcPr>
          <w:p>
            <w:pPr>
              <w:ind w:left="220"/>
              <w:spacing w:after="0"/>
              <w:rPr>
                <w:sz w:val="20"/>
                <w:szCs w:val="20"/>
                <w:color w:val="auto"/>
              </w:rPr>
            </w:pPr>
            <w:r>
              <w:rPr>
                <w:rFonts w:ascii="Arial" w:cs="Arial" w:eastAsia="Arial" w:hAnsi="Arial"/>
                <w:sz w:val="18"/>
                <w:szCs w:val="18"/>
                <w:color w:val="auto"/>
              </w:rPr>
              <w:t>3rd Quarter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60" w:type="dxa"/>
            <w:vAlign w:val="bottom"/>
          </w:tcPr>
          <w:p>
            <w:pPr>
              <w:ind w:left="44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93</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441,018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7,049,748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- 12</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months</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7"/>
              </w:rPr>
              <w:t>1,647,254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25,575,098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ectPr>
          <w:pgSz w:w="11900" w:h="16838" w:orient="portrait"/>
          <w:cols w:equalWidth="0" w:num="1">
            <w:col w:w="11420"/>
          </w:cols>
          <w:pgMar w:left="240" w:top="274" w:right="239" w:bottom="0" w:gutter="0" w:footer="0" w:header="0"/>
        </w:sectPr>
      </w:pPr>
    </w:p>
    <w:bookmarkStart w:id="27" w:name="page28"/>
    <w:bookmarkEnd w:id="27"/>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Renewal leases represent expiring leases rolling over with the same tenant in the same location. All other leases are categorized as new.</w:t>
      </w:r>
    </w:p>
    <w:p>
      <w:pPr>
        <w:spacing w:after="0" w:line="174"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32"/>
          </w:cols>
          <w:pgMar w:left="248" w:top="131"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Minimum Rent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61"/>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Anchor SF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PSF (2)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Expiring SF</w:t>
            </w:r>
          </w:p>
        </w:tc>
        <w:tc>
          <w:tcPr>
            <w:tcW w:w="2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716,000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879,000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24.92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1,595,000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1,719,000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1,153,000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11.71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1,018,000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26.19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2,171,000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1,579,000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15.90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904,000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28.71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1,589,000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1,445,000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621,000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293,000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33.00</w:t>
            </w:r>
          </w:p>
        </w:tc>
        <w:tc>
          <w:tcPr>
            <w:tcW w:w="780" w:type="dxa"/>
            <w:vAlign w:val="bottom"/>
          </w:tcPr>
          <w:p>
            <w:pPr>
              <w:jc w:val="right"/>
              <w:spacing w:after="0"/>
              <w:rPr>
                <w:sz w:val="20"/>
                <w:szCs w:val="20"/>
                <w:color w:val="auto"/>
              </w:rPr>
            </w:pPr>
            <w:r>
              <w:rPr>
                <w:rFonts w:ascii="Arial" w:cs="Arial" w:eastAsia="Arial" w:hAnsi="Arial"/>
                <w:sz w:val="18"/>
                <w:szCs w:val="18"/>
                <w:color w:val="auto"/>
              </w:rPr>
              <w:t>914,000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539,000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14.06</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331,000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27.51</w:t>
            </w:r>
          </w:p>
        </w:tc>
        <w:tc>
          <w:tcPr>
            <w:tcW w:w="780" w:type="dxa"/>
            <w:vAlign w:val="bottom"/>
          </w:tcPr>
          <w:p>
            <w:pPr>
              <w:jc w:val="right"/>
              <w:spacing w:after="0"/>
              <w:rPr>
                <w:sz w:val="20"/>
                <w:szCs w:val="20"/>
                <w:color w:val="auto"/>
              </w:rPr>
            </w:pPr>
            <w:r>
              <w:rPr>
                <w:rFonts w:ascii="Arial" w:cs="Arial" w:eastAsia="Arial" w:hAnsi="Arial"/>
                <w:sz w:val="18"/>
                <w:szCs w:val="18"/>
                <w:color w:val="auto"/>
              </w:rPr>
              <w:t>871,000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3,022,000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3,556,000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gridSpan w:val="4"/>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9,716,000</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7,033,000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26.51</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16,749,000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120" w:type="dxa"/>
            <w:vAlign w:val="bottom"/>
            <w:gridSpan w:val="6"/>
          </w:tcPr>
          <w:p>
            <w:pPr>
              <w:spacing w:after="0"/>
              <w:rPr>
                <w:sz w:val="20"/>
                <w:szCs w:val="20"/>
                <w:color w:val="auto"/>
              </w:rPr>
            </w:pPr>
            <w:r>
              <w:rPr>
                <w:rFonts w:ascii="Arial" w:cs="Arial" w:eastAsia="Arial" w:hAnsi="Arial"/>
                <w:sz w:val="18"/>
                <w:szCs w:val="18"/>
                <w:b w:val="1"/>
                <w:bCs w:val="1"/>
                <w:color w:val="auto"/>
                <w:w w:val="96"/>
              </w:rPr>
              <w:t>Assumes lease options are exercised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4"/>
            <w:vMerge w:val="continue"/>
          </w:tcPr>
          <w:p>
            <w:pPr>
              <w:spacing w:after="0"/>
              <w:rPr>
                <w:sz w:val="12"/>
                <w:szCs w:val="12"/>
                <w:color w:val="auto"/>
              </w:rPr>
            </w:pPr>
          </w:p>
        </w:tc>
        <w:tc>
          <w:tcPr>
            <w:tcW w:w="7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2"/>
                <w:szCs w:val="12"/>
                <w:color w:val="auto"/>
              </w:rPr>
            </w:pPr>
          </w:p>
        </w:tc>
        <w:tc>
          <w:tcPr>
            <w:tcW w:w="9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Anchor SF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9"/>
              </w:rPr>
              <w:t>PSF (2)</w:t>
            </w: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Expiring SF</w:t>
            </w: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229,000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504,000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24.77</w:t>
            </w:r>
          </w:p>
        </w:tc>
        <w:tc>
          <w:tcPr>
            <w:tcW w:w="780" w:type="dxa"/>
            <w:vAlign w:val="bottom"/>
          </w:tcPr>
          <w:p>
            <w:pPr>
              <w:jc w:val="right"/>
              <w:spacing w:after="0"/>
              <w:rPr>
                <w:sz w:val="20"/>
                <w:szCs w:val="20"/>
                <w:color w:val="auto"/>
              </w:rPr>
            </w:pPr>
            <w:r>
              <w:rPr>
                <w:rFonts w:ascii="Arial" w:cs="Arial" w:eastAsia="Arial" w:hAnsi="Arial"/>
                <w:sz w:val="18"/>
                <w:szCs w:val="18"/>
                <w:color w:val="auto"/>
              </w:rPr>
              <w:t>732,000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231,000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11.60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588,000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27.52</w:t>
            </w:r>
          </w:p>
        </w:tc>
        <w:tc>
          <w:tcPr>
            <w:tcW w:w="780" w:type="dxa"/>
            <w:vAlign w:val="bottom"/>
          </w:tcPr>
          <w:p>
            <w:pPr>
              <w:jc w:val="right"/>
              <w:spacing w:after="0"/>
              <w:rPr>
                <w:sz w:val="20"/>
                <w:szCs w:val="20"/>
                <w:color w:val="auto"/>
              </w:rPr>
            </w:pPr>
            <w:r>
              <w:rPr>
                <w:rFonts w:ascii="Arial" w:cs="Arial" w:eastAsia="Arial" w:hAnsi="Arial"/>
                <w:sz w:val="18"/>
                <w:szCs w:val="18"/>
                <w:color w:val="auto"/>
              </w:rPr>
              <w:t>819,000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24.60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596,000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26.60</w:t>
            </w:r>
          </w:p>
        </w:tc>
        <w:tc>
          <w:tcPr>
            <w:tcW w:w="780" w:type="dxa"/>
            <w:vAlign w:val="bottom"/>
          </w:tcPr>
          <w:p>
            <w:pPr>
              <w:jc w:val="right"/>
              <w:spacing w:after="0"/>
              <w:rPr>
                <w:sz w:val="20"/>
                <w:szCs w:val="20"/>
                <w:color w:val="auto"/>
              </w:rPr>
            </w:pPr>
            <w:r>
              <w:rPr>
                <w:rFonts w:ascii="Arial" w:cs="Arial" w:eastAsia="Arial" w:hAnsi="Arial"/>
                <w:sz w:val="18"/>
                <w:szCs w:val="18"/>
                <w:color w:val="auto"/>
              </w:rPr>
              <w:t>626,000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13.08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317,000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27.82</w:t>
            </w:r>
          </w:p>
        </w:tc>
        <w:tc>
          <w:tcPr>
            <w:tcW w:w="780" w:type="dxa"/>
            <w:vAlign w:val="bottom"/>
          </w:tcPr>
          <w:p>
            <w:pPr>
              <w:jc w:val="right"/>
              <w:spacing w:after="0"/>
              <w:rPr>
                <w:sz w:val="20"/>
                <w:szCs w:val="20"/>
                <w:color w:val="auto"/>
              </w:rPr>
            </w:pPr>
            <w:r>
              <w:rPr>
                <w:rFonts w:ascii="Arial" w:cs="Arial" w:eastAsia="Arial" w:hAnsi="Arial"/>
                <w:sz w:val="18"/>
                <w:szCs w:val="18"/>
                <w:color w:val="auto"/>
              </w:rPr>
              <w:t>471,000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216,000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480,000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25.01</w:t>
            </w:r>
          </w:p>
        </w:tc>
        <w:tc>
          <w:tcPr>
            <w:tcW w:w="780" w:type="dxa"/>
            <w:vAlign w:val="bottom"/>
          </w:tcPr>
          <w:p>
            <w:pPr>
              <w:jc w:val="right"/>
              <w:spacing w:after="0"/>
              <w:rPr>
                <w:sz w:val="20"/>
                <w:szCs w:val="20"/>
                <w:color w:val="auto"/>
              </w:rPr>
            </w:pPr>
            <w:r>
              <w:rPr>
                <w:rFonts w:ascii="Arial" w:cs="Arial" w:eastAsia="Arial" w:hAnsi="Arial"/>
                <w:sz w:val="18"/>
                <w:szCs w:val="18"/>
                <w:color w:val="auto"/>
              </w:rPr>
              <w:t>696,000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7,908,000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2,291,000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10,200,000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gridSpan w:val="4"/>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9,716,000</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7,033,000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26.51</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16,749,000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June 30,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occupied square footage as of June 30,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June 30, 2006</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June 30, 2005</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4"/>
            <w:vMerge w:val="continue"/>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17,681,000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17,095,000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17,367,000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666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92.1%</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385"/>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At June 30, 2006</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At June 30, 2005</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gridSpan w:val="4"/>
            <w:vMerge w:val="continue"/>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13,285,000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12,975,000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12,876,000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388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90.7%</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Overall portfolio statistics at June 30, 2006 include Rollingwood, The Crest at Congressional and the residential units in Building Eight (36 units) and Seven (259 units) at Santana Row. Residential units in Buildings Three, Four and Six at Santana Row are excluded from overall portfolio statistics as we have commenced closing sales of the units (Buildings Three, Four and Six - 219 units). Overall portfolio statistics at June 30, 2005 included Rollingwood, The Crest at Congressional and the residential units in Buildings Three, Four, Six and Eight (255 units) at Santana Row. Same center statistics at June 30, 2006 and 2005 include only Rollingwood and The Crest at Congressional.</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Rank</w:t>
            </w:r>
          </w:p>
        </w:tc>
        <w:tc>
          <w:tcPr>
            <w:tcW w:w="4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Tenant Name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48"/>
        </w:trPr>
        <w:tc>
          <w:tcPr>
            <w:tcW w:w="460" w:type="dxa"/>
            <w:vAlign w:val="bottom"/>
            <w:gridSpan w:val="3"/>
            <w:vMerge w:val="continue"/>
          </w:tcPr>
          <w:p>
            <w:pPr>
              <w:spacing w:after="0"/>
              <w:rPr>
                <w:sz w:val="12"/>
                <w:szCs w:val="12"/>
                <w:color w:val="auto"/>
              </w:rPr>
            </w:pPr>
          </w:p>
        </w:tc>
        <w:tc>
          <w:tcPr>
            <w:tcW w:w="47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96"/>
              </w:rPr>
              <w:t>Base Rent</w:t>
            </w:r>
          </w:p>
        </w:tc>
        <w:tc>
          <w:tcPr>
            <w:tcW w:w="14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Base Rent</w:t>
            </w:r>
          </w:p>
        </w:tc>
        <w:tc>
          <w:tcPr>
            <w:tcW w:w="128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3"/>
              </w:rPr>
              <w:t>Tenant GLA</w:t>
            </w:r>
          </w:p>
        </w:tc>
        <w:tc>
          <w:tcPr>
            <w:tcW w:w="120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Bed, Bath &amp; Beyond,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7,997,000</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Ahold USA,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7,463,000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800" w:type="dxa"/>
            <w:vAlign w:val="bottom"/>
          </w:tcPr>
          <w:p>
            <w:pPr>
              <w:jc w:val="right"/>
              <w:spacing w:after="0"/>
              <w:rPr>
                <w:sz w:val="20"/>
                <w:szCs w:val="20"/>
                <w:color w:val="auto"/>
              </w:rPr>
            </w:pPr>
            <w:r>
              <w:rPr>
                <w:rFonts w:ascii="Arial" w:cs="Arial" w:eastAsia="Arial" w:hAnsi="Arial"/>
                <w:sz w:val="18"/>
                <w:szCs w:val="18"/>
                <w:color w:val="auto"/>
              </w:rPr>
              <w:t>601,000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Safeway,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6,609,000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Gap,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6,438,000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800" w:type="dxa"/>
            <w:vAlign w:val="bottom"/>
          </w:tcPr>
          <w:p>
            <w:pPr>
              <w:jc w:val="right"/>
              <w:spacing w:after="0"/>
              <w:rPr>
                <w:sz w:val="20"/>
                <w:szCs w:val="20"/>
                <w:color w:val="auto"/>
              </w:rPr>
            </w:pPr>
            <w:r>
              <w:rPr>
                <w:rFonts w:ascii="Arial" w:cs="Arial" w:eastAsia="Arial" w:hAnsi="Arial"/>
                <w:sz w:val="18"/>
                <w:szCs w:val="18"/>
                <w:color w:val="auto"/>
              </w:rPr>
              <w:t>224,000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TJX Companies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5,822,000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CVS Corporation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3,840,000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800" w:type="dxa"/>
            <w:vAlign w:val="bottom"/>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Barnes &amp; Noble,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3,821,000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Best Buy Stores, L.P.</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3,394,000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800" w:type="dxa"/>
            <w:vAlign w:val="bottom"/>
          </w:tcPr>
          <w:p>
            <w:pPr>
              <w:jc w:val="right"/>
              <w:spacing w:after="0"/>
              <w:rPr>
                <w:sz w:val="20"/>
                <w:szCs w:val="20"/>
                <w:color w:val="auto"/>
              </w:rPr>
            </w:pPr>
            <w:r>
              <w:rPr>
                <w:rFonts w:ascii="Arial" w:cs="Arial" w:eastAsia="Arial" w:hAnsi="Arial"/>
                <w:sz w:val="18"/>
                <w:szCs w:val="18"/>
                <w:color w:val="auto"/>
              </w:rPr>
              <w:t>97,000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Supervalu (Acme/Albertson’s/Star Mkt/ Shoppers Food)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3,379,000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Wakefern Food Corporation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3,077,000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0.97%</w:t>
            </w:r>
          </w:p>
        </w:tc>
        <w:tc>
          <w:tcPr>
            <w:tcW w:w="800" w:type="dxa"/>
            <w:vAlign w:val="bottom"/>
          </w:tcPr>
          <w:p>
            <w:pPr>
              <w:jc w:val="right"/>
              <w:spacing w:after="0"/>
              <w:rPr>
                <w:sz w:val="20"/>
                <w:szCs w:val="20"/>
                <w:color w:val="auto"/>
              </w:rPr>
            </w:pPr>
            <w:r>
              <w:rPr>
                <w:rFonts w:ascii="Arial" w:cs="Arial" w:eastAsia="Arial" w:hAnsi="Arial"/>
                <w:sz w:val="18"/>
                <w:szCs w:val="18"/>
                <w:color w:val="auto"/>
              </w:rPr>
              <w:t>232,000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Retail Ventures (DSW/Filene’s Basement)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2,994,000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Michaels Stores,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2,858,000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800" w:type="dxa"/>
            <w:vAlign w:val="bottom"/>
          </w:tcPr>
          <w:p>
            <w:pPr>
              <w:jc w:val="right"/>
              <w:spacing w:after="0"/>
              <w:rPr>
                <w:sz w:val="20"/>
                <w:szCs w:val="20"/>
                <w:color w:val="auto"/>
              </w:rPr>
            </w:pPr>
            <w:r>
              <w:rPr>
                <w:rFonts w:ascii="Arial" w:cs="Arial" w:eastAsia="Arial" w:hAnsi="Arial"/>
                <w:sz w:val="18"/>
                <w:szCs w:val="18"/>
                <w:color w:val="auto"/>
              </w:rPr>
              <w:t>189,000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Staples,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2,760,000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Borders Group,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2,736,000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0.86%</w:t>
            </w:r>
          </w:p>
        </w:tc>
        <w:tc>
          <w:tcPr>
            <w:tcW w:w="800" w:type="dxa"/>
            <w:vAlign w:val="bottom"/>
          </w:tcPr>
          <w:p>
            <w:pPr>
              <w:jc w:val="right"/>
              <w:spacing w:after="0"/>
              <w:rPr>
                <w:sz w:val="20"/>
                <w:szCs w:val="20"/>
                <w:color w:val="auto"/>
              </w:rPr>
            </w:pPr>
            <w:r>
              <w:rPr>
                <w:rFonts w:ascii="Arial" w:cs="Arial" w:eastAsia="Arial" w:hAnsi="Arial"/>
                <w:sz w:val="18"/>
                <w:szCs w:val="18"/>
                <w:color w:val="auto"/>
              </w:rPr>
              <w:t>129,000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OPNET Technologies,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2,637,000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CompUSA,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2,499,000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800" w:type="dxa"/>
            <w:vAlign w:val="bottom"/>
          </w:tcPr>
          <w:p>
            <w:pPr>
              <w:jc w:val="right"/>
              <w:spacing w:after="0"/>
              <w:rPr>
                <w:sz w:val="20"/>
                <w:szCs w:val="20"/>
                <w:color w:val="auto"/>
              </w:rPr>
            </w:pPr>
            <w:r>
              <w:rPr>
                <w:rFonts w:ascii="Arial" w:cs="Arial" w:eastAsia="Arial" w:hAnsi="Arial"/>
                <w:sz w:val="18"/>
                <w:szCs w:val="18"/>
                <w:color w:val="auto"/>
              </w:rPr>
              <w:t>134,000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0.76%</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MTS, Inc. (Tower Records)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2,485,000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Ross Stores,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2,432,000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800" w:type="dxa"/>
            <w:vAlign w:val="bottom"/>
          </w:tcPr>
          <w:p>
            <w:pPr>
              <w:jc w:val="right"/>
              <w:spacing w:after="0"/>
              <w:rPr>
                <w:sz w:val="20"/>
                <w:szCs w:val="20"/>
                <w:color w:val="auto"/>
              </w:rPr>
            </w:pPr>
            <w:r>
              <w:rPr>
                <w:rFonts w:ascii="Arial" w:cs="Arial" w:eastAsia="Arial" w:hAnsi="Arial"/>
                <w:sz w:val="18"/>
                <w:szCs w:val="18"/>
                <w:color w:val="auto"/>
              </w:rPr>
              <w:t>149,000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Container Store,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2,354,000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Dollar Tree Stores,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2,334,000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800" w:type="dxa"/>
            <w:vAlign w:val="bottom"/>
          </w:tcPr>
          <w:p>
            <w:pPr>
              <w:jc w:val="right"/>
              <w:spacing w:after="0"/>
              <w:rPr>
                <w:sz w:val="20"/>
                <w:szCs w:val="20"/>
                <w:color w:val="auto"/>
              </w:rPr>
            </w:pPr>
            <w:r>
              <w:rPr>
                <w:rFonts w:ascii="Arial" w:cs="Arial" w:eastAsia="Arial" w:hAnsi="Arial"/>
                <w:sz w:val="18"/>
                <w:szCs w:val="18"/>
                <w:color w:val="auto"/>
              </w:rPr>
              <w:t>175,000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0.99%</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L.A. Fitness International LLC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2,306,000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Dress Barn,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2,220,000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0.70%</w:t>
            </w:r>
          </w:p>
        </w:tc>
        <w:tc>
          <w:tcPr>
            <w:tcW w:w="800" w:type="dxa"/>
            <w:vAlign w:val="bottom"/>
          </w:tcPr>
          <w:p>
            <w:pPr>
              <w:jc w:val="right"/>
              <w:spacing w:after="0"/>
              <w:rPr>
                <w:sz w:val="20"/>
                <w:szCs w:val="20"/>
                <w:color w:val="auto"/>
              </w:rPr>
            </w:pPr>
            <w:r>
              <w:rPr>
                <w:rFonts w:ascii="Arial" w:cs="Arial" w:eastAsia="Arial" w:hAnsi="Arial"/>
                <w:sz w:val="18"/>
                <w:szCs w:val="18"/>
                <w:color w:val="auto"/>
              </w:rPr>
              <w:t>105,000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0.59%</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Home Depot,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2,207,000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Bally’s Health &amp; Tennis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2,141,000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0.67%</w:t>
            </w:r>
          </w:p>
        </w:tc>
        <w:tc>
          <w:tcPr>
            <w:tcW w:w="800" w:type="dxa"/>
            <w:vAlign w:val="bottom"/>
          </w:tcPr>
          <w:p>
            <w:pPr>
              <w:jc w:val="right"/>
              <w:spacing w:after="0"/>
              <w:rPr>
                <w:sz w:val="20"/>
                <w:szCs w:val="20"/>
                <w:color w:val="auto"/>
              </w:rPr>
            </w:pPr>
            <w:r>
              <w:rPr>
                <w:rFonts w:ascii="Arial" w:cs="Arial" w:eastAsia="Arial" w:hAnsi="Arial"/>
                <w:sz w:val="18"/>
                <w:szCs w:val="18"/>
                <w:color w:val="auto"/>
              </w:rPr>
              <w:t>156,000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0.88%</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Office Depot,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2,108,000</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gridSpan w:val="3"/>
            <w:vMerge w:val="restart"/>
          </w:tcPr>
          <w:p>
            <w:pPr>
              <w:ind w:left="140"/>
              <w:spacing w:after="0"/>
              <w:rPr>
                <w:sz w:val="20"/>
                <w:szCs w:val="20"/>
                <w:color w:val="auto"/>
              </w:rPr>
            </w:pPr>
            <w:r>
              <w:rPr>
                <w:rFonts w:ascii="Arial" w:cs="Arial" w:eastAsia="Arial" w:hAnsi="Arial"/>
                <w:sz w:val="18"/>
                <w:szCs w:val="18"/>
                <w:color w:val="auto"/>
              </w:rPr>
              <w:t>Totals - Top 25 Tenants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88,909,000</w:t>
            </w:r>
          </w:p>
        </w:tc>
        <w:tc>
          <w:tcPr>
            <w:tcW w:w="4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28.02%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5,420,000</w:t>
            </w:r>
          </w:p>
        </w:tc>
        <w:tc>
          <w:tcPr>
            <w:tcW w:w="4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30.66%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317,330,000(1)</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17,681,000(2)</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June 30,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2006 Net Income to 2006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tcBorders>
              <w:bottom w:val="single" w:sz="8" w:color="auto"/>
            </w:tcBorders>
            <w:gridSpan w:val="4"/>
          </w:tcPr>
          <w:p>
            <w:pPr>
              <w:jc w:val="center"/>
              <w:ind w:left="237"/>
              <w:spacing w:after="0"/>
              <w:rPr>
                <w:sz w:val="20"/>
                <w:szCs w:val="20"/>
                <w:color w:val="auto"/>
              </w:rPr>
            </w:pPr>
            <w:r>
              <w:rPr>
                <w:rFonts w:ascii="Arial" w:cs="Arial" w:eastAsia="Arial" w:hAnsi="Arial"/>
                <w:sz w:val="14"/>
                <w:szCs w:val="14"/>
                <w:b w:val="1"/>
                <w:bCs w:val="1"/>
                <w:color w:val="auto"/>
                <w:w w:val="86"/>
              </w:rPr>
              <w:t>2006 Guidance</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1300" w:type="dxa"/>
            <w:vAlign w:val="bottom"/>
            <w:gridSpan w:val="4"/>
          </w:tcPr>
          <w:p>
            <w:pPr>
              <w:jc w:val="center"/>
              <w:ind w:left="217"/>
              <w:spacing w:after="0" w:line="129" w:lineRule="exact"/>
              <w:rPr>
                <w:sz w:val="20"/>
                <w:szCs w:val="20"/>
                <w:color w:val="auto"/>
              </w:rPr>
            </w:pPr>
            <w:r>
              <w:rPr>
                <w:rFonts w:ascii="Arial" w:cs="Arial" w:eastAsia="Arial" w:hAnsi="Arial"/>
                <w:sz w:val="14"/>
                <w:szCs w:val="14"/>
                <w:b w:val="1"/>
                <w:bCs w:val="1"/>
                <w:color w:val="auto"/>
                <w:w w:val="85"/>
              </w:rPr>
              <w:t>($ millions except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6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6"/>
              </w:rPr>
              <w:t>per share amounts) (1)</w:t>
            </w:r>
          </w:p>
        </w:tc>
      </w:tr>
      <w:tr>
        <w:trPr>
          <w:trHeight w:val="217"/>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joint venture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9740" w:type="dxa"/>
            <w:vAlign w:val="bottom"/>
            <w:gridSpan w:val="3"/>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to</w:t>
            </w: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740" w:type="dxa"/>
            <w:vAlign w:val="bottom"/>
            <w:gridSpan w:val="3"/>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$ 3.33</w:t>
            </w:r>
          </w:p>
        </w:tc>
        <w:tc>
          <w:tcPr>
            <w:tcW w:w="1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3.35</w:t>
            </w:r>
          </w:p>
        </w:tc>
        <w:tc>
          <w:tcPr>
            <w:tcW w:w="60" w:type="dxa"/>
            <w:vAlign w:val="bottom"/>
          </w:tcPr>
          <w:p>
            <w:pPr>
              <w:spacing w:after="0"/>
              <w:rPr>
                <w:sz w:val="19"/>
                <w:szCs w:val="19"/>
                <w:color w:val="auto"/>
              </w:rPr>
            </w:pPr>
          </w:p>
        </w:tc>
      </w:tr>
      <w:tr>
        <w:trPr>
          <w:trHeight w:val="116"/>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7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3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Clarion Lion Properties Fund</w:t>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27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OPERATING RESULTS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June 30, 2006</w:t>
            </w: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Operating income</w:t>
            </w: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1"/>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3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780" w:type="dxa"/>
            <w:vAlign w:val="bottom"/>
            <w:gridSpan w:val="3"/>
            <w:vMerge w:val="continue"/>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vMerge w:val="restart"/>
          </w:tcPr>
          <w:p>
            <w:pPr>
              <w:jc w:val="center"/>
              <w:ind w:right="1020"/>
              <w:spacing w:after="0"/>
              <w:rPr>
                <w:sz w:val="20"/>
                <w:szCs w:val="20"/>
                <w:color w:val="auto"/>
              </w:rPr>
            </w:pPr>
            <w:r>
              <w:rPr>
                <w:rFonts w:ascii="Arial" w:cs="Arial" w:eastAsia="Arial" w:hAnsi="Arial"/>
                <w:sz w:val="14"/>
                <w:szCs w:val="14"/>
                <w:b w:val="1"/>
                <w:bCs w:val="1"/>
                <w:color w:val="auto"/>
                <w:w w:val="79"/>
              </w:rPr>
              <w:t>As of</w:t>
            </w:r>
          </w:p>
        </w:tc>
        <w:tc>
          <w:tcPr>
            <w:tcW w:w="120" w:type="dxa"/>
            <w:vAlign w:val="bottom"/>
          </w:tcPr>
          <w:p>
            <w:pPr>
              <w:spacing w:after="0"/>
              <w:rPr>
                <w:sz w:val="24"/>
                <w:szCs w:val="24"/>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18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June 30,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128,995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(3,816)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21"/>
        </w:trPr>
        <w:tc>
          <w:tcPr>
            <w:tcW w:w="4780" w:type="dxa"/>
            <w:vAlign w:val="bottom"/>
            <w:gridSpan w:val="3"/>
          </w:tcPr>
          <w:p>
            <w:pPr>
              <w:spacing w:after="0"/>
              <w:rPr>
                <w:sz w:val="20"/>
                <w:szCs w:val="20"/>
                <w:color w:val="auto"/>
              </w:rPr>
            </w:pPr>
            <w:r>
              <w:rPr>
                <w:rFonts w:ascii="Arial" w:cs="Arial" w:eastAsia="Arial" w:hAnsi="Arial"/>
                <w:sz w:val="18"/>
                <w:szCs w:val="18"/>
                <w:color w:val="auto"/>
              </w:rPr>
              <w:t>Net real estate investments</w:t>
            </w:r>
          </w:p>
        </w:tc>
        <w:tc>
          <w:tcPr>
            <w:tcW w:w="3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125,179</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Accounts receivable and other assets</w:t>
            </w:r>
          </w:p>
        </w:tc>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58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131,239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780" w:type="dxa"/>
            <w:vAlign w:val="bottom"/>
            <w:gridSpan w:val="3"/>
            <w:vMerge w:val="continue"/>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Mortgages</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77,425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84,454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46,785</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131,239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20" w:type="dxa"/>
            <w:vAlign w:val="bottom"/>
            <w:vMerge w:val="restart"/>
          </w:tcPr>
          <w:p>
            <w:pPr>
              <w:jc w:val="right"/>
              <w:ind w:right="2252"/>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Outstanding Debt and Debt Maturities - Joint Venture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Loans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Secured Fixed Rate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Campus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Pleasant Shops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Plaza del Mercado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Atlantic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Barcroft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Greenlawn Plaza</w:t>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Total Fixed Rate Debt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12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 Rate as of</w:t>
            </w: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2006</w:t>
            </w:r>
          </w:p>
        </w:tc>
        <w:tc>
          <w:tcPr>
            <w:tcW w:w="16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Balance</w:t>
            </w:r>
          </w:p>
        </w:tc>
      </w:tr>
      <w:tr>
        <w:trPr>
          <w:trHeight w:val="168"/>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-1181735</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-15875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8"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220" w:type="dxa"/>
            <w:vAlign w:val="bottom"/>
          </w:tcPr>
          <w:p>
            <w:pPr>
              <w:jc w:val="right"/>
              <w:ind w:right="512"/>
              <w:spacing w:after="0"/>
              <w:rPr>
                <w:sz w:val="20"/>
                <w:szCs w:val="20"/>
                <w:color w:val="auto"/>
              </w:rPr>
            </w:pPr>
            <w:r>
              <w:rPr>
                <w:rFonts w:ascii="Arial" w:cs="Arial" w:eastAsia="Arial" w:hAnsi="Arial"/>
                <w:sz w:val="18"/>
                <w:szCs w:val="18"/>
                <w:color w:val="auto"/>
                <w:w w:val="85"/>
              </w:rPr>
              <w:t>12/01/09</w:t>
            </w:r>
          </w:p>
        </w:tc>
        <w:tc>
          <w:tcPr>
            <w:tcW w:w="2580" w:type="dxa"/>
            <w:vAlign w:val="bottom"/>
          </w:tcPr>
          <w:p>
            <w:pPr>
              <w:ind w:left="580"/>
              <w:spacing w:after="0"/>
              <w:rPr>
                <w:sz w:val="20"/>
                <w:szCs w:val="20"/>
                <w:color w:val="auto"/>
              </w:rPr>
            </w:pPr>
            <w:r>
              <w:rPr>
                <w:rFonts w:ascii="Arial" w:cs="Arial" w:eastAsia="Arial" w:hAnsi="Arial"/>
                <w:sz w:val="18"/>
                <w:szCs w:val="18"/>
                <w:color w:val="auto"/>
              </w:rPr>
              <w:t>4.530%(a)</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1220" w:type="dxa"/>
            <w:vAlign w:val="bottom"/>
          </w:tcPr>
          <w:p>
            <w:pPr>
              <w:jc w:val="right"/>
              <w:ind w:right="512"/>
              <w:spacing w:after="0"/>
              <w:rPr>
                <w:sz w:val="20"/>
                <w:szCs w:val="20"/>
                <w:color w:val="auto"/>
              </w:rPr>
            </w:pPr>
            <w:r>
              <w:rPr>
                <w:rFonts w:ascii="Arial" w:cs="Arial" w:eastAsia="Arial" w:hAnsi="Arial"/>
                <w:sz w:val="18"/>
                <w:szCs w:val="18"/>
                <w:color w:val="auto"/>
                <w:w w:val="85"/>
              </w:rPr>
              <w:t>12/01/09</w:t>
            </w:r>
          </w:p>
        </w:tc>
        <w:tc>
          <w:tcPr>
            <w:tcW w:w="2580" w:type="dxa"/>
            <w:vAlign w:val="bottom"/>
          </w:tcPr>
          <w:p>
            <w:pPr>
              <w:ind w:left="580"/>
              <w:spacing w:after="0"/>
              <w:rPr>
                <w:sz w:val="20"/>
                <w:szCs w:val="20"/>
                <w:color w:val="auto"/>
              </w:rPr>
            </w:pPr>
            <w:r>
              <w:rPr>
                <w:rFonts w:ascii="Arial" w:cs="Arial" w:eastAsia="Arial" w:hAnsi="Arial"/>
                <w:sz w:val="18"/>
                <w:szCs w:val="18"/>
                <w:color w:val="auto"/>
              </w:rPr>
              <w:t>4.530%(a)</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12,400</w:t>
            </w:r>
          </w:p>
        </w:tc>
      </w:tr>
      <w:tr>
        <w:trPr>
          <w:trHeight w:val="216"/>
        </w:trPr>
        <w:tc>
          <w:tcPr>
            <w:tcW w:w="1220" w:type="dxa"/>
            <w:vAlign w:val="bottom"/>
          </w:tcPr>
          <w:p>
            <w:pPr>
              <w:jc w:val="right"/>
              <w:ind w:right="512"/>
              <w:spacing w:after="0"/>
              <w:rPr>
                <w:sz w:val="20"/>
                <w:szCs w:val="20"/>
                <w:color w:val="auto"/>
              </w:rPr>
            </w:pPr>
            <w:r>
              <w:rPr>
                <w:rFonts w:ascii="Arial" w:cs="Arial" w:eastAsia="Arial" w:hAnsi="Arial"/>
                <w:sz w:val="18"/>
                <w:szCs w:val="18"/>
                <w:color w:val="auto"/>
                <w:w w:val="85"/>
              </w:rPr>
              <w:t>07/05/14</w:t>
            </w:r>
          </w:p>
        </w:tc>
        <w:tc>
          <w:tcPr>
            <w:tcW w:w="2580" w:type="dxa"/>
            <w:vAlign w:val="bottom"/>
          </w:tcPr>
          <w:p>
            <w:pPr>
              <w:ind w:left="580"/>
              <w:spacing w:after="0"/>
              <w:rPr>
                <w:sz w:val="20"/>
                <w:szCs w:val="20"/>
                <w:color w:val="auto"/>
              </w:rPr>
            </w:pPr>
            <w:r>
              <w:rPr>
                <w:rFonts w:ascii="Arial" w:cs="Arial" w:eastAsia="Arial" w:hAnsi="Arial"/>
                <w:sz w:val="18"/>
                <w:szCs w:val="18"/>
                <w:color w:val="auto"/>
              </w:rPr>
              <w:t>5.770%(b)</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13,325</w:t>
            </w:r>
          </w:p>
        </w:tc>
      </w:tr>
      <w:tr>
        <w:trPr>
          <w:trHeight w:val="216"/>
        </w:trPr>
        <w:tc>
          <w:tcPr>
            <w:tcW w:w="1220" w:type="dxa"/>
            <w:vAlign w:val="bottom"/>
          </w:tcPr>
          <w:p>
            <w:pPr>
              <w:jc w:val="right"/>
              <w:ind w:right="512"/>
              <w:spacing w:after="0"/>
              <w:rPr>
                <w:sz w:val="20"/>
                <w:szCs w:val="20"/>
                <w:color w:val="auto"/>
              </w:rPr>
            </w:pPr>
            <w:r>
              <w:rPr>
                <w:rFonts w:ascii="Arial" w:cs="Arial" w:eastAsia="Arial" w:hAnsi="Arial"/>
                <w:sz w:val="18"/>
                <w:szCs w:val="18"/>
                <w:color w:val="auto"/>
                <w:w w:val="85"/>
              </w:rPr>
              <w:t>12/01/14</w:t>
            </w:r>
          </w:p>
        </w:tc>
        <w:tc>
          <w:tcPr>
            <w:tcW w:w="2580" w:type="dxa"/>
            <w:vAlign w:val="bottom"/>
          </w:tcPr>
          <w:p>
            <w:pPr>
              <w:ind w:left="580"/>
              <w:spacing w:after="0"/>
              <w:rPr>
                <w:sz w:val="20"/>
                <w:szCs w:val="20"/>
                <w:color w:val="auto"/>
              </w:rPr>
            </w:pPr>
            <w:r>
              <w:rPr>
                <w:rFonts w:ascii="Arial" w:cs="Arial" w:eastAsia="Arial" w:hAnsi="Arial"/>
                <w:sz w:val="18"/>
                <w:szCs w:val="18"/>
                <w:color w:val="auto"/>
              </w:rPr>
              <w:t>5.120%(a)</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16"/>
        </w:trPr>
        <w:tc>
          <w:tcPr>
            <w:tcW w:w="1220" w:type="dxa"/>
            <w:vAlign w:val="bottom"/>
          </w:tcPr>
          <w:p>
            <w:pPr>
              <w:jc w:val="right"/>
              <w:ind w:right="512"/>
              <w:spacing w:after="0"/>
              <w:rPr>
                <w:sz w:val="20"/>
                <w:szCs w:val="20"/>
                <w:color w:val="auto"/>
              </w:rPr>
            </w:pPr>
            <w:r>
              <w:rPr>
                <w:rFonts w:ascii="Arial" w:cs="Arial" w:eastAsia="Arial" w:hAnsi="Arial"/>
                <w:sz w:val="18"/>
                <w:szCs w:val="18"/>
                <w:color w:val="auto"/>
                <w:w w:val="85"/>
              </w:rPr>
              <w:t>07/01/16</w:t>
            </w:r>
          </w:p>
        </w:tc>
        <w:tc>
          <w:tcPr>
            <w:tcW w:w="2580" w:type="dxa"/>
            <w:vAlign w:val="bottom"/>
          </w:tcPr>
          <w:p>
            <w:pPr>
              <w:ind w:left="580"/>
              <w:spacing w:after="0"/>
              <w:rPr>
                <w:sz w:val="20"/>
                <w:szCs w:val="20"/>
                <w:color w:val="auto"/>
              </w:rPr>
            </w:pPr>
            <w:r>
              <w:rPr>
                <w:rFonts w:ascii="Arial" w:cs="Arial" w:eastAsia="Arial" w:hAnsi="Arial"/>
                <w:sz w:val="18"/>
                <w:szCs w:val="18"/>
                <w:color w:val="auto"/>
              </w:rPr>
              <w:t>6.060%(a)</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16,600</w:t>
            </w:r>
          </w:p>
        </w:tc>
      </w:tr>
      <w:tr>
        <w:trPr>
          <w:trHeight w:val="223"/>
        </w:trPr>
        <w:tc>
          <w:tcPr>
            <w:tcW w:w="1220" w:type="dxa"/>
            <w:vAlign w:val="bottom"/>
          </w:tcPr>
          <w:p>
            <w:pPr>
              <w:jc w:val="right"/>
              <w:ind w:right="512"/>
              <w:spacing w:after="0"/>
              <w:rPr>
                <w:sz w:val="20"/>
                <w:szCs w:val="20"/>
                <w:color w:val="auto"/>
              </w:rPr>
            </w:pPr>
            <w:r>
              <w:rPr>
                <w:rFonts w:ascii="Arial" w:cs="Arial" w:eastAsia="Arial" w:hAnsi="Arial"/>
                <w:sz w:val="18"/>
                <w:szCs w:val="18"/>
                <w:color w:val="auto"/>
                <w:w w:val="85"/>
              </w:rPr>
              <w:t>07/01/16</w:t>
            </w:r>
          </w:p>
        </w:tc>
        <w:tc>
          <w:tcPr>
            <w:tcW w:w="2580" w:type="dxa"/>
            <w:vAlign w:val="bottom"/>
          </w:tcPr>
          <w:p>
            <w:pPr>
              <w:ind w:left="580"/>
              <w:spacing w:after="0"/>
              <w:rPr>
                <w:sz w:val="20"/>
                <w:szCs w:val="20"/>
                <w:color w:val="auto"/>
              </w:rPr>
            </w:pPr>
            <w:r>
              <w:rPr>
                <w:rFonts w:ascii="Arial" w:cs="Arial" w:eastAsia="Arial" w:hAnsi="Arial"/>
                <w:sz w:val="18"/>
                <w:szCs w:val="18"/>
                <w:color w:val="auto"/>
              </w:rPr>
              <w:t>5.900%(a)</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r>
      <w:tr>
        <w:trPr>
          <w:trHeight w:val="223"/>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77,425</w:t>
            </w:r>
          </w:p>
        </w:tc>
      </w:tr>
      <w:tr>
        <w:trPr>
          <w:trHeight w:val="20"/>
        </w:trPr>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-1002665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-728345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-454025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-162560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Cumulative</w:t>
      </w:r>
    </w:p>
    <w:p>
      <w:pPr>
        <w:ind w:left="80"/>
        <w:spacing w:after="0"/>
        <w:tabs>
          <w:tab w:leader="none" w:pos="3500" w:val="left"/>
          <w:tab w:leader="none" w:pos="4980" w:val="left"/>
        </w:tabs>
        <w:rPr>
          <w:sz w:val="20"/>
          <w:szCs w:val="20"/>
          <w:color w:val="auto"/>
        </w:rPr>
      </w:pPr>
      <w:r>
        <w:rPr>
          <w:rFonts w:ascii="Arial" w:cs="Arial" w:eastAsia="Arial" w:hAnsi="Arial"/>
          <w:sz w:val="14"/>
          <w:szCs w:val="14"/>
          <w:b w:val="1"/>
          <w:bCs w:val="1"/>
          <w:color w:val="auto"/>
        </w:rPr>
        <w:t>Scheduled</w:t>
      </w:r>
      <w:r>
        <w:rPr>
          <w:sz w:val="20"/>
          <w:szCs w:val="20"/>
          <w:color w:val="auto"/>
        </w:rPr>
        <w:tab/>
      </w:r>
      <w:r>
        <w:rPr>
          <w:rFonts w:ascii="Arial" w:cs="Arial" w:eastAsia="Arial" w:hAnsi="Arial"/>
          <w:sz w:val="14"/>
          <w:szCs w:val="14"/>
          <w:b w:val="1"/>
          <w:bCs w:val="1"/>
          <w:color w:val="auto"/>
        </w:rPr>
        <w:t>Percent of</w:t>
      </w:r>
      <w:r>
        <w:rPr>
          <w:sz w:val="20"/>
          <w:szCs w:val="20"/>
          <w:color w:val="auto"/>
        </w:rPr>
        <w:tab/>
      </w:r>
      <w:r>
        <w:rPr>
          <w:rFonts w:ascii="Arial" w:cs="Arial" w:eastAsia="Arial" w:hAnsi="Arial"/>
          <w:sz w:val="11"/>
          <w:szCs w:val="11"/>
          <w:b w:val="1"/>
          <w:bCs w:val="1"/>
          <w:color w:val="auto"/>
        </w:rPr>
        <w:t>Percent of</w:t>
      </w:r>
    </w:p>
    <w:p>
      <w:pPr>
        <w:spacing w:after="0" w:line="233" w:lineRule="auto"/>
        <w:tabs>
          <w:tab w:leader="none" w:pos="1220" w:val="left"/>
          <w:tab w:leader="none" w:pos="2440" w:val="left"/>
          <w:tab w:leader="none" w:pos="3360" w:val="left"/>
          <w:tab w:leader="none" w:pos="4840" w:val="left"/>
        </w:tabs>
        <w:rPr>
          <w:sz w:val="20"/>
          <w:szCs w:val="20"/>
          <w:color w:val="auto"/>
        </w:rPr>
      </w:pPr>
      <w:r>
        <w:rPr>
          <w:rFonts w:ascii="Arial" w:cs="Arial" w:eastAsia="Arial" w:hAnsi="Arial"/>
          <w:sz w:val="14"/>
          <w:szCs w:val="14"/>
          <w:b w:val="1"/>
          <w:bCs w:val="1"/>
          <w:color w:val="auto"/>
        </w:rPr>
        <w:t>Amortization</w:t>
      </w:r>
      <w:r>
        <w:rPr>
          <w:sz w:val="20"/>
          <w:szCs w:val="20"/>
          <w:color w:val="auto"/>
        </w:rPr>
        <w:tab/>
      </w:r>
      <w:r>
        <w:rPr>
          <w:rFonts w:ascii="Arial" w:cs="Arial" w:eastAsia="Arial" w:hAnsi="Arial"/>
          <w:sz w:val="14"/>
          <w:szCs w:val="14"/>
          <w:b w:val="1"/>
          <w:bCs w:val="1"/>
          <w:color w:val="auto"/>
        </w:rPr>
        <w:t>Maturities</w:t>
      </w:r>
      <w:r>
        <w:rPr>
          <w:sz w:val="20"/>
          <w:szCs w:val="20"/>
          <w:color w:val="auto"/>
        </w:rPr>
        <w:tab/>
      </w: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Debt Maturing</w:t>
      </w:r>
      <w:r>
        <w:rPr>
          <w:sz w:val="20"/>
          <w:szCs w:val="20"/>
          <w:color w:val="auto"/>
        </w:rPr>
        <w:tab/>
      </w:r>
      <w:r>
        <w:rPr>
          <w:rFonts w:ascii="Arial" w:cs="Arial" w:eastAsia="Arial" w:hAnsi="Arial"/>
          <w:sz w:val="12"/>
          <w:szCs w:val="12"/>
          <w:b w:val="1"/>
          <w:bCs w:val="1"/>
          <w:color w:val="auto"/>
        </w:rPr>
        <w:t>Debt Maturing</w:t>
      </w:r>
    </w:p>
    <w:p>
      <w:pPr>
        <w:spacing w:after="0" w:line="20" w:lineRule="exact"/>
        <w:rPr>
          <w:sz w:val="20"/>
          <w:szCs w:val="20"/>
          <w:color w:val="auto"/>
        </w:rPr>
      </w:pPr>
    </w:p>
    <w:p>
      <w:pPr>
        <w:sectPr>
          <w:pgSz w:w="11900" w:h="16838" w:orient="portrait"/>
          <w:cols w:equalWidth="0" w:num="2">
            <w:col w:w="5060" w:space="480"/>
            <w:col w:w="588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96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2006</w:t>
            </w:r>
          </w:p>
        </w:tc>
        <w:tc>
          <w:tcPr>
            <w:tcW w:w="4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0.0%</w:t>
            </w:r>
          </w:p>
        </w:tc>
        <w:tc>
          <w:tcPr>
            <w:tcW w:w="10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2007</w:t>
            </w:r>
          </w:p>
        </w:tc>
        <w:tc>
          <w:tcPr>
            <w:tcW w:w="4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175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175</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2009</w:t>
            </w:r>
          </w:p>
        </w:tc>
        <w:tc>
          <w:tcPr>
            <w:tcW w:w="4120" w:type="dxa"/>
            <w:vAlign w:val="bottom"/>
          </w:tcPr>
          <w:p>
            <w:pPr>
              <w:spacing w:after="0"/>
              <w:rPr>
                <w:sz w:val="18"/>
                <w:szCs w:val="18"/>
                <w:color w:val="auto"/>
              </w:rPr>
            </w:pP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w w:val="79"/>
              </w:rPr>
              <w:t>185</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23,400</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23,585</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196</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196</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2011</w:t>
            </w:r>
          </w:p>
        </w:tc>
        <w:tc>
          <w:tcPr>
            <w:tcW w:w="4120" w:type="dxa"/>
            <w:vAlign w:val="bottom"/>
          </w:tcPr>
          <w:p>
            <w:pPr>
              <w:spacing w:after="0"/>
              <w:rPr>
                <w:sz w:val="18"/>
                <w:szCs w:val="18"/>
                <w:color w:val="auto"/>
              </w:rPr>
            </w:pP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w w:val="79"/>
              </w:rPr>
              <w:t>208</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208</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220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2013</w:t>
            </w:r>
          </w:p>
        </w:tc>
        <w:tc>
          <w:tcPr>
            <w:tcW w:w="4120" w:type="dxa"/>
            <w:vAlign w:val="bottom"/>
          </w:tcPr>
          <w:p>
            <w:pPr>
              <w:spacing w:after="0"/>
              <w:rPr>
                <w:sz w:val="18"/>
                <w:szCs w:val="18"/>
                <w:color w:val="auto"/>
              </w:rPr>
            </w:pP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w w:val="79"/>
              </w:rPr>
              <w:t>233</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233</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142</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22,538</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2015</w:t>
            </w:r>
          </w:p>
        </w:tc>
        <w:tc>
          <w:tcPr>
            <w:tcW w:w="4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8"/>
              </w:rPr>
              <w:t>$1,429</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$ 75,996</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77,425</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Loan is interest only until July 5, 2007, after which principal and interest payments are due based on a 30-year amortization schedule.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Significant Acquisitions and Dispositions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June 30,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Joint Venture Acquisitions - Unconsolidated (30% owned)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568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Property</w:t>
            </w:r>
          </w:p>
        </w:tc>
      </w:tr>
      <w:tr>
        <w:trPr>
          <w:trHeight w:val="363"/>
        </w:trPr>
        <w:tc>
          <w:tcPr>
            <w:tcW w:w="1040" w:type="dxa"/>
            <w:vAlign w:val="bottom"/>
          </w:tcPr>
          <w:p>
            <w:pPr>
              <w:spacing w:after="0"/>
              <w:rPr>
                <w:sz w:val="20"/>
                <w:szCs w:val="20"/>
                <w:color w:val="auto"/>
              </w:rPr>
            </w:pPr>
            <w:r>
              <w:rPr>
                <w:rFonts w:ascii="Arial" w:cs="Arial" w:eastAsia="Arial" w:hAnsi="Arial"/>
                <w:sz w:val="18"/>
                <w:szCs w:val="18"/>
                <w:color w:val="auto"/>
                <w:w w:val="97"/>
              </w:rPr>
              <w:t>June 5, 2006</w:t>
            </w:r>
          </w:p>
        </w:tc>
        <w:tc>
          <w:tcPr>
            <w:tcW w:w="2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Greenlawn Plaza (1)</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7"/>
              </w:rPr>
              <w:t>June 8, 2006</w:t>
            </w:r>
          </w:p>
        </w:tc>
        <w:tc>
          <w:tcPr>
            <w:tcW w:w="2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Barcroft Plaza</w:t>
            </w:r>
          </w:p>
        </w:tc>
      </w:tr>
      <w:tr>
        <w:trPr>
          <w:trHeight w:val="243"/>
        </w:trPr>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600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Greenlawn Plaza was acquired by the joint venture from the Trust.</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GLA</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Purchase price</w:t>
            </w:r>
          </w:p>
        </w:tc>
        <w:tc>
          <w:tcPr>
            <w:tcW w:w="200" w:type="dxa"/>
            <w:vAlign w:val="bottom"/>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Anchor tenants</w:t>
            </w:r>
          </w:p>
        </w:tc>
      </w:tr>
      <w:tr>
        <w:trPr>
          <w:trHeight w:val="134"/>
        </w:trPr>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w w:val="99"/>
              </w:rPr>
              <w:t>Huntington, NY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w w:val="92"/>
              </w:rPr>
              <w:t>Waldbaum’s</w:t>
            </w:r>
          </w:p>
        </w:tc>
      </w:tr>
      <w:tr>
        <w:trPr>
          <w:trHeight w:val="325"/>
        </w:trPr>
        <w:tc>
          <w:tcPr>
            <w:tcW w:w="1240" w:type="dxa"/>
            <w:vAlign w:val="bottom"/>
          </w:tcPr>
          <w:p>
            <w:pPr>
              <w:spacing w:after="0"/>
              <w:rPr>
                <w:sz w:val="20"/>
                <w:szCs w:val="20"/>
                <w:color w:val="auto"/>
              </w:rPr>
            </w:pPr>
            <w:r>
              <w:rPr>
                <w:rFonts w:ascii="Arial" w:cs="Arial" w:eastAsia="Arial" w:hAnsi="Arial"/>
                <w:sz w:val="18"/>
                <w:szCs w:val="18"/>
                <w:color w:val="auto"/>
                <w:w w:val="90"/>
              </w:rPr>
              <w:t>Falls Church, VA</w:t>
            </w:r>
          </w:p>
        </w:tc>
        <w:tc>
          <w:tcPr>
            <w:tcW w:w="2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w w:val="87"/>
              </w:rPr>
              <w:t>Harris Teeter</w:t>
            </w:r>
          </w:p>
        </w:tc>
      </w:tr>
      <w:tr>
        <w:trPr>
          <w:trHeight w:val="223"/>
        </w:trPr>
        <w:tc>
          <w:tcPr>
            <w:tcW w:w="1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192,000</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ectPr>
          <w:pgSz w:w="11900" w:h="16838" w:orient="portrait"/>
          <w:cols w:equalWidth="0" w:num="2">
            <w:col w:w="6940" w:space="220"/>
            <w:col w:w="426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Real Estate Status Report - Joint Venture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2006</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865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East Region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49"/>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Anchor</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1"/>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w w:val="93"/>
              </w:rPr>
              <w:t>MSA Description  Acquired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GLA</w:t>
            </w:r>
          </w:p>
        </w:tc>
        <w:tc>
          <w:tcPr>
            <w:tcW w:w="1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3"/>
              </w:rPr>
              <w:t>% Leased</w:t>
            </w: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GLA (1)</w:t>
            </w:r>
          </w:p>
        </w:tc>
        <w:tc>
          <w:tcPr>
            <w:tcW w:w="18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Grocery Anchor (1)</w:t>
            </w:r>
          </w:p>
        </w:tc>
        <w:tc>
          <w:tcPr>
            <w:tcW w:w="18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87"/>
              </w:rPr>
              <w:t>Other Principal Tenants</w:t>
            </w:r>
          </w:p>
        </w:tc>
      </w:tr>
      <w:tr>
        <w:trPr>
          <w:trHeight w:val="168"/>
        </w:trPr>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-15875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480" w:space="720"/>
            <w:col w:w="92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Washington Metropolitan Area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Barcroft Plaza</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Washington,</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45,500</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Harris Teeter</w:t>
            </w: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DC-MD-VA</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Plaza del Mercado</w:t>
            </w:r>
          </w:p>
        </w:tc>
        <w:tc>
          <w:tcPr>
            <w:tcW w:w="1400" w:type="dxa"/>
            <w:vAlign w:val="bottom"/>
          </w:tcPr>
          <w:p>
            <w:pPr>
              <w:ind w:left="240"/>
              <w:spacing w:after="0"/>
              <w:rPr>
                <w:sz w:val="20"/>
                <w:szCs w:val="20"/>
                <w:color w:val="auto"/>
              </w:rPr>
            </w:pPr>
            <w:r>
              <w:rPr>
                <w:rFonts w:ascii="Arial" w:cs="Arial" w:eastAsia="Arial" w:hAnsi="Arial"/>
                <w:sz w:val="18"/>
                <w:szCs w:val="18"/>
                <w:color w:val="auto"/>
              </w:rPr>
              <w:t>Washington,</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20,786</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13,325</w:t>
            </w:r>
          </w:p>
        </w:tc>
        <w:tc>
          <w:tcPr>
            <w:tcW w:w="580" w:type="dxa"/>
            <w:vAlign w:val="bottom"/>
          </w:tcPr>
          <w:p>
            <w:pPr>
              <w:jc w:val="right"/>
              <w:spacing w:after="0"/>
              <w:rPr>
                <w:sz w:val="20"/>
                <w:szCs w:val="20"/>
                <w:color w:val="auto"/>
              </w:rPr>
            </w:pPr>
            <w:r>
              <w:rPr>
                <w:rFonts w:ascii="Arial" w:cs="Arial" w:eastAsia="Arial" w:hAnsi="Arial"/>
                <w:sz w:val="18"/>
                <w:szCs w:val="18"/>
                <w:color w:val="auto"/>
              </w:rPr>
              <w:t>96,000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25,000</w:t>
            </w:r>
          </w:p>
        </w:tc>
        <w:tc>
          <w:tcPr>
            <w:tcW w:w="1620" w:type="dxa"/>
            <w:vAlign w:val="bottom"/>
          </w:tcPr>
          <w:p>
            <w:pPr>
              <w:ind w:left="80"/>
              <w:spacing w:after="0"/>
              <w:rPr>
                <w:sz w:val="20"/>
                <w:szCs w:val="20"/>
                <w:color w:val="auto"/>
              </w:rPr>
            </w:pPr>
            <w:r>
              <w:rPr>
                <w:rFonts w:ascii="Arial" w:cs="Arial" w:eastAsia="Arial" w:hAnsi="Arial"/>
                <w:sz w:val="18"/>
                <w:szCs w:val="18"/>
                <w:color w:val="auto"/>
              </w:rPr>
              <w:t>Giant Food</w:t>
            </w:r>
          </w:p>
        </w:tc>
        <w:tc>
          <w:tcPr>
            <w:tcW w:w="1500" w:type="dxa"/>
            <w:vAlign w:val="bottom"/>
          </w:tcPr>
          <w:p>
            <w:pPr>
              <w:ind w:left="10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DC-MD-VA</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48,293</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186,000</w:t>
            </w:r>
          </w:p>
        </w:tc>
        <w:tc>
          <w:tcPr>
            <w:tcW w:w="9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Washington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Metropolitan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Area</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960" w:type="dxa"/>
            <w:vAlign w:val="bottom"/>
            <w:gridSpan w:val="5"/>
          </w:tcPr>
          <w:p>
            <w:pPr>
              <w:spacing w:after="0"/>
              <w:rPr>
                <w:sz w:val="20"/>
                <w:szCs w:val="20"/>
                <w:color w:val="auto"/>
              </w:rPr>
            </w:pPr>
            <w:r>
              <w:rPr>
                <w:rFonts w:ascii="Arial" w:cs="Arial" w:eastAsia="Arial" w:hAnsi="Arial"/>
                <w:sz w:val="18"/>
                <w:szCs w:val="18"/>
                <w:b w:val="1"/>
                <w:bCs w:val="1"/>
                <w:color w:val="auto"/>
                <w:w w:val="98"/>
              </w:rPr>
              <w:t>New York / New Jersey</w:t>
            </w: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Nassau-</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102,000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46,000</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Waldbaum’s</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Suffolk, NY</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Total New</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19,829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102,000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York / New</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Jersey</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New England</w:t>
            </w:r>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Atlantic Plaza</w:t>
            </w:r>
          </w:p>
        </w:tc>
        <w:tc>
          <w:tcPr>
            <w:tcW w:w="1400" w:type="dxa"/>
            <w:vAlign w:val="bottom"/>
          </w:tcPr>
          <w:p>
            <w:pPr>
              <w:ind w:left="240"/>
              <w:spacing w:after="0"/>
              <w:rPr>
                <w:sz w:val="20"/>
                <w:szCs w:val="20"/>
                <w:color w:val="auto"/>
              </w:rPr>
            </w:pPr>
            <w:r>
              <w:rPr>
                <w:rFonts w:ascii="Arial" w:cs="Arial" w:eastAsia="Arial" w:hAnsi="Arial"/>
                <w:sz w:val="18"/>
                <w:szCs w:val="18"/>
                <w:color w:val="auto"/>
              </w:rPr>
              <w:t>Boston-</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16,316</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10,500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123,000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63,000</w:t>
            </w:r>
          </w:p>
        </w:tc>
        <w:tc>
          <w:tcPr>
            <w:tcW w:w="1620" w:type="dxa"/>
            <w:vAlign w:val="bottom"/>
          </w:tcPr>
          <w:p>
            <w:pPr>
              <w:ind w:left="80"/>
              <w:spacing w:after="0"/>
              <w:rPr>
                <w:sz w:val="20"/>
                <w:szCs w:val="20"/>
                <w:color w:val="auto"/>
              </w:rPr>
            </w:pPr>
            <w:r>
              <w:rPr>
                <w:rFonts w:ascii="Arial" w:cs="Arial" w:eastAsia="Arial" w:hAnsi="Arial"/>
                <w:sz w:val="18"/>
                <w:szCs w:val="18"/>
                <w:color w:val="auto"/>
                <w:w w:val="91"/>
              </w:rPr>
              <w:t>Shaw’s Supermarket</w:t>
            </w:r>
          </w:p>
        </w:tc>
        <w:tc>
          <w:tcPr>
            <w:tcW w:w="1500" w:type="dxa"/>
            <w:vAlign w:val="bottom"/>
          </w:tcPr>
          <w:p>
            <w:pPr>
              <w:ind w:left="100"/>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Worcester-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Lawrence-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Lowell-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Brockton,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MA</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Campus Plaza</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Boston-</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117,000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46,000</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Roche Brothers</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Burlington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Worcester-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Lawrence-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Factory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Lowell-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Brockton,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Pleasant Shops</w:t>
            </w:r>
          </w:p>
        </w:tc>
        <w:tc>
          <w:tcPr>
            <w:tcW w:w="1400" w:type="dxa"/>
            <w:vAlign w:val="bottom"/>
          </w:tcPr>
          <w:p>
            <w:pPr>
              <w:ind w:left="240"/>
              <w:spacing w:after="0"/>
              <w:rPr>
                <w:sz w:val="20"/>
                <w:szCs w:val="20"/>
                <w:color w:val="auto"/>
              </w:rPr>
            </w:pPr>
            <w:r>
              <w:rPr>
                <w:rFonts w:ascii="Arial" w:cs="Arial" w:eastAsia="Arial" w:hAnsi="Arial"/>
                <w:sz w:val="18"/>
                <w:szCs w:val="18"/>
                <w:color w:val="auto"/>
              </w:rPr>
              <w:t>Boston-</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22,628</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12,400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130,000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38,000</w:t>
            </w:r>
          </w:p>
        </w:tc>
        <w:tc>
          <w:tcPr>
            <w:tcW w:w="1620" w:type="dxa"/>
            <w:vAlign w:val="bottom"/>
          </w:tcPr>
          <w:p>
            <w:pPr>
              <w:ind w:left="80"/>
              <w:spacing w:after="0"/>
              <w:rPr>
                <w:sz w:val="20"/>
                <w:szCs w:val="20"/>
                <w:color w:val="auto"/>
              </w:rPr>
            </w:pPr>
            <w:r>
              <w:rPr>
                <w:rFonts w:ascii="Arial" w:cs="Arial" w:eastAsia="Arial" w:hAnsi="Arial"/>
                <w:sz w:val="18"/>
                <w:szCs w:val="18"/>
                <w:color w:val="auto"/>
              </w:rPr>
              <w:t>Foodmaster</w:t>
            </w:r>
          </w:p>
        </w:tc>
        <w:tc>
          <w:tcPr>
            <w:tcW w:w="1500" w:type="dxa"/>
            <w:vAlign w:val="bottom"/>
          </w:tcPr>
          <w:p>
            <w:pPr>
              <w:ind w:left="10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Worcester-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Lawrence-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Lowell-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Brockton,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MA</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rPr>
              <w:t>Total New</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60,873</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370,000</w:t>
            </w:r>
          </w:p>
        </w:tc>
        <w:tc>
          <w:tcPr>
            <w:tcW w:w="9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England</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Total East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128,995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658,000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Region</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Grand Totals</w:t>
            </w: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128,995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658,000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21" w:lineRule="exact"/>
        <w:rPr>
          <w:sz w:val="20"/>
          <w:szCs w:val="20"/>
          <w:color w:val="auto"/>
        </w:rPr>
      </w:pPr>
    </w:p>
    <w:p>
      <w:pPr>
        <w:ind w:left="5560" w:right="5260" w:hanging="5552"/>
        <w:spacing w:after="0" w:line="568" w:lineRule="auto"/>
        <w:tabs>
          <w:tab w:leader="none" w:pos="446" w:val="left"/>
        </w:tabs>
        <w:numPr>
          <w:ilvl w:val="0"/>
          <w:numId w:val="26"/>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-29-</w:t>
      </w:r>
    </w:p>
    <w:p>
      <w:pPr>
        <w:sectPr>
          <w:pgSz w:w="11900" w:h="16838" w:orient="portrait"/>
          <w:cols w:equalWidth="0" w:num="1">
            <w:col w:w="11420"/>
          </w:cols>
          <w:pgMar w:left="240" w:top="274"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Adjusted EBITDA is a non-GAAP measure that means net income or loss plus depreciation and amortization, net interest expense,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taxes,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six months ended June 30, 2006 and 2005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420"/>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142,268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8"/>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2019-12-13T00:45:59Z</dcterms:created>
  <dcterms:modified xsi:type="dcterms:W3CDTF">2019-12-13T00:45:59Z</dcterms:modified>
</cp:coreProperties>
</file>