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21,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2980" w:type="dxa"/>
            <w:vAlign w:val="bottom"/>
          </w:tcPr>
          <w:p>
            <w:pPr>
              <w:jc w:val="center"/>
              <w:ind w:right="1242"/>
              <w:spacing w:after="0"/>
              <w:rPr>
                <w:sz w:val="20"/>
                <w:szCs w:val="20"/>
                <w:color w:val="auto"/>
              </w:rPr>
            </w:pPr>
            <w:r>
              <w:rPr>
                <w:rFonts w:ascii="Arial" w:cs="Arial" w:eastAsia="Arial" w:hAnsi="Arial"/>
                <w:sz w:val="18"/>
                <w:szCs w:val="18"/>
                <w:b w:val="1"/>
                <w:bCs w:val="1"/>
                <w:color w:val="auto"/>
                <w:w w:val="98"/>
              </w:rPr>
              <w:t>Maryland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52-0782497</w:t>
            </w:r>
          </w:p>
        </w:tc>
      </w:tr>
      <w:tr>
        <w:trPr>
          <w:trHeight w:val="149"/>
        </w:trPr>
        <w:tc>
          <w:tcPr>
            <w:tcW w:w="2980" w:type="dxa"/>
            <w:vAlign w:val="bottom"/>
          </w:tcPr>
          <w:p>
            <w:pPr>
              <w:jc w:val="center"/>
              <w:ind w:right="12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8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21, 2017, Federal Realty Investment Trust (the “Registrant”) closed its underwritten public offering of $175,000,000 aggregate principal amount of 3.25% Notes due 2027 (the “Notes”). The offering was made pursuant to an underwriting agreement with Deutsche Bank Securities Inc., Goldman Sachs &amp; Co. LLC, Merrill Lynch, Pierce, Fenner &amp; Smith Incorporated and Wells Fargo Securities, LLC, as representatives of the several underwriters named in Schedule I to the related pricing agreement.</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Notes are of the same series as the 3.25% Notes due 2027 that the Registrant first issued on June 23, 3017 and are governed by the Indenture, dated as of September 1, 1998, between the Registrant and U.S. Bank National Association (successor trustee to Wachovia Bank, National Association (successor trustee to First Union National Bank)). The Notes are senior unsecured obligations of the Registrant and rank equally with all of the Registrant’s other senior unsecured indebtedness. The Notes bear interest at 3.25% per annum, and interest will be payable on January 15 and July 15 of each year, beginning on January 15, 2018. The notes will mature on July 15, 2027 (unless redeemed prior to such date in accordance with their terms).</w:t>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4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820" w:type="dxa"/>
            <w:vAlign w:val="bottom"/>
            <w:gridSpan w:val="5"/>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4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838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Form of 3.25% Note due 2027</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838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Opinion of Pillsbury Winthrop Shaw Pittman LLP relating to legality of the securities being issued by the Registrant</w:t>
              </w:r>
            </w:hyperlink>
          </w:p>
        </w:tc>
        <w:tc>
          <w:tcPr>
            <w:tcW w:w="0" w:type="dxa"/>
            <w:vAlign w:val="bottom"/>
          </w:tcPr>
          <w:p>
            <w:pPr>
              <w:spacing w:after="0"/>
              <w:rPr>
                <w:sz w:val="1"/>
                <w:szCs w:val="1"/>
                <w:color w:val="auto"/>
              </w:rPr>
            </w:pPr>
          </w:p>
        </w:tc>
      </w:tr>
      <w:tr>
        <w:trPr>
          <w:trHeight w:val="304"/>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8.1</w:t>
            </w:r>
          </w:p>
        </w:tc>
        <w:tc>
          <w:tcPr>
            <w:tcW w:w="560" w:type="dxa"/>
            <w:vAlign w:val="bottom"/>
          </w:tcPr>
          <w:p>
            <w:pPr>
              <w:spacing w:after="0"/>
              <w:rPr>
                <w:sz w:val="24"/>
                <w:szCs w:val="24"/>
                <w:color w:val="auto"/>
              </w:rPr>
            </w:pPr>
          </w:p>
        </w:tc>
        <w:tc>
          <w:tcPr>
            <w:tcW w:w="8380" w:type="dxa"/>
            <w:vAlign w:val="bottom"/>
            <w:gridSpan w:val="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Opinion of Pillsbury Winthrop Shaw Pittman LLP relating to material tax matters relating to the Registrant</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20" w:type="dxa"/>
            <w:vAlign w:val="bottom"/>
            <w:gridSpan w:val="4"/>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6"/>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8380" w:type="dxa"/>
            <w:vAlign w:val="bottom"/>
            <w:gridSpan w:val="8"/>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Consents of Pillsbury Winthrop Shaw Pittman LLP (contained in the opinions filed as </w:t>
            </w:r>
            <w:hyperlink w:anchor="page15">
              <w:r>
                <w:rPr>
                  <w:rFonts w:ascii="Arial" w:cs="Arial" w:eastAsia="Arial" w:hAnsi="Arial"/>
                  <w:sz w:val="18"/>
                  <w:szCs w:val="18"/>
                  <w:color w:val="0000EE"/>
                  <w:w w:val="93"/>
                </w:rPr>
                <w:t>Exhibits 5.1</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 xml:space="preserve">and </w:t>
            </w:r>
            <w:hyperlink w:anchor="page17">
              <w:r>
                <w:rPr>
                  <w:rFonts w:ascii="Arial" w:cs="Arial" w:eastAsia="Arial" w:hAnsi="Arial"/>
                  <w:sz w:val="18"/>
                  <w:szCs w:val="18"/>
                  <w:color w:val="0000EE"/>
                  <w:w w:val="93"/>
                </w:rPr>
                <w:t>8.1</w:t>
              </w:r>
              <w:r>
                <w:rPr>
                  <w:rFonts w:ascii="Arial" w:cs="Arial" w:eastAsia="Arial" w:hAnsi="Arial"/>
                  <w:sz w:val="18"/>
                  <w:szCs w:val="18"/>
                  <w:color w:val="auto"/>
                  <w:w w:val="93"/>
                </w:rPr>
                <w:t xml:space="preserve"> </w:t>
              </w:r>
            </w:hyperlink>
            <w:r>
              <w:rPr>
                <w:rFonts w:ascii="Arial" w:cs="Arial" w:eastAsia="Arial" w:hAnsi="Arial"/>
                <w:sz w:val="18"/>
                <w:szCs w:val="18"/>
                <w:color w:val="auto"/>
                <w:w w:val="93"/>
              </w:rPr>
              <w:t>hereto)</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7540" w:type="dxa"/>
            <w:vAlign w:val="bottom"/>
            <w:gridSpan w:val="2"/>
          </w:tcPr>
          <w:p>
            <w:pPr>
              <w:ind w:left="2020"/>
              <w:spacing w:after="0"/>
              <w:rPr>
                <w:sz w:val="20"/>
                <w:szCs w:val="20"/>
                <w:color w:val="auto"/>
              </w:rPr>
            </w:pPr>
            <w:r>
              <w:rPr>
                <w:rFonts w:ascii="Arial" w:cs="Arial" w:eastAsia="Arial" w:hAnsi="Arial"/>
                <w:sz w:val="18"/>
                <w:szCs w:val="18"/>
                <w:color w:val="auto"/>
              </w:rPr>
              <w:t>FEDERAL REALTY INVESTMENT TRUST</w:t>
            </w:r>
          </w:p>
        </w:tc>
      </w:tr>
      <w:tr>
        <w:trPr>
          <w:trHeight w:val="432"/>
        </w:trPr>
        <w:tc>
          <w:tcPr>
            <w:tcW w:w="3880" w:type="dxa"/>
            <w:vAlign w:val="bottom"/>
          </w:tcPr>
          <w:p>
            <w:pPr>
              <w:spacing w:after="0"/>
              <w:rPr>
                <w:sz w:val="20"/>
                <w:szCs w:val="20"/>
                <w:color w:val="auto"/>
              </w:rPr>
            </w:pPr>
            <w:r>
              <w:rPr>
                <w:rFonts w:ascii="Arial" w:cs="Arial" w:eastAsia="Arial" w:hAnsi="Arial"/>
                <w:sz w:val="18"/>
                <w:szCs w:val="18"/>
                <w:color w:val="auto"/>
              </w:rPr>
              <w:t>Date: December 27, 2017</w:t>
            </w:r>
          </w:p>
        </w:tc>
        <w:tc>
          <w:tcPr>
            <w:tcW w:w="7540" w:type="dxa"/>
            <w:vAlign w:val="bottom"/>
            <w:gridSpan w:val="2"/>
          </w:tcPr>
          <w:p>
            <w:pPr>
              <w:ind w:left="2020"/>
              <w:spacing w:after="0"/>
              <w:rPr>
                <w:sz w:val="20"/>
                <w:szCs w:val="20"/>
                <w:color w:val="auto"/>
              </w:rPr>
            </w:pPr>
            <w:r>
              <w:rPr>
                <w:rFonts w:ascii="Arial" w:cs="Arial" w:eastAsia="Arial" w:hAnsi="Arial"/>
                <w:sz w:val="18"/>
                <w:szCs w:val="18"/>
                <w:color w:val="auto"/>
              </w:rPr>
              <w:t>By:  /s/ Donald C. Wood</w:t>
            </w:r>
          </w:p>
        </w:tc>
      </w:tr>
      <w:tr>
        <w:trPr>
          <w:trHeight w:val="195"/>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Donald C. Wood</w:t>
            </w:r>
          </w:p>
        </w:tc>
      </w:tr>
      <w:tr>
        <w:trPr>
          <w:trHeight w:val="230"/>
        </w:trPr>
        <w:tc>
          <w:tcPr>
            <w:tcW w:w="38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3.25% Note due 2027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CUSIP No. 313747 AY3</w:t>
            </w:r>
          </w:p>
        </w:tc>
        <w:tc>
          <w:tcPr>
            <w:tcW w:w="5360" w:type="dxa"/>
            <w:vAlign w:val="bottom"/>
          </w:tcPr>
          <w:p>
            <w:pPr>
              <w:jc w:val="right"/>
              <w:spacing w:after="0"/>
              <w:rPr>
                <w:sz w:val="20"/>
                <w:szCs w:val="20"/>
                <w:color w:val="auto"/>
              </w:rPr>
            </w:pPr>
            <w:r>
              <w:rPr>
                <w:rFonts w:ascii="Arial" w:cs="Arial" w:eastAsia="Arial" w:hAnsi="Arial"/>
                <w:sz w:val="18"/>
                <w:szCs w:val="18"/>
                <w:color w:val="auto"/>
              </w:rPr>
              <w:t>$  175,000,000</w:t>
            </w:r>
          </w:p>
        </w:tc>
      </w:tr>
    </w:tbl>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(THE “DEPOSITORY”)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8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80"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$2,000 AND INTEGRAL MULTIPLES OF $1,000 IN EXCESS THEREOF.</w:t>
      </w:r>
    </w:p>
    <w:p>
      <w:pPr>
        <w:spacing w:after="0" w:line="166"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One Hundred Seventy-Five Million Dollars ($175,000,000) on July 15, 2027 (the “Stated Maturity Date”) or the date fixed for earlier redemption (the “Redemption Date,” and together with the Stated Maturity Date with respect to principal repayable on such date, the “Maturity Date”), and to pay interest on the outstanding principal amount thereof from June 23, 2017, or from the most recent interest payment date to which interest has been paid or duly provided for, semi-annually on January 15 and July 15 in each year (each, an “Interest Payment Date”), commencing January 15, 2018, at the rate of 3.25%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January 1 or July 1 (whether or not a Business Day, as defined below), as the case may be, next preceding such Interest Payment Date at the office or agency of the Company maintained for such purpose; provided, however, that such interest may be paid, at the Company’s option, by mailing a check to such Holder at its registered address or by transfer of funds to an account</w:t>
      </w:r>
    </w:p>
    <w:p>
      <w:pPr>
        <w:sectPr>
          <w:pgSz w:w="11900" w:h="16838" w:orient="portrait"/>
          <w:cols w:equalWidth="0" w:num="1">
            <w:col w:w="11420"/>
          </w:cols>
          <w:pgMar w:left="240" w:top="121" w:right="239" w:bottom="1440" w:gutter="0" w:footer="0" w:header="0"/>
        </w:sectPr>
      </w:pPr>
    </w:p>
    <w:bookmarkStart w:id="4" w:name="page5"/>
    <w:bookmarkEnd w:id="4"/>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6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8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June 23, 2017, if no interest has been paid on this Note) to but excluding such Interest Payment Date or the Maturity Date, as the case may be. If any Interest Payment Date or the Maturity Date falls on a day that is not a Business Day,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All payments of principal, premium, if any, and interest in respect of this Note will be made by the Company in immediately available funds.</w:t>
      </w:r>
    </w:p>
    <w:p>
      <w:pPr>
        <w:spacing w:after="0" w:line="237"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21,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President-Chief Financial Officer and</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21,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ectPr>
          <w:pgSz w:w="11900" w:h="16838" w:orient="portrait"/>
          <w:cols w:equalWidth="0" w:num="1">
            <w:col w:w="11080"/>
          </w:cols>
          <w:pgMar w:left="240" w:top="274" w:right="5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3.25% Note due 2027</w:t>
      </w:r>
    </w:p>
    <w:p>
      <w:pPr>
        <w:spacing w:after="0" w:line="22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“3.25% Notes due 2027” (collectively, the “Notes”), and the aggregate principal amount of the Notes to be issued under such series is limited to $475,000,000 as of the date hereof (except for Notes authenticated and delivered upon transfer of, or in exchange for, or in lieu of other Notes). This Note forms a single series with the 3.25% Notes due 2027 first issued by the Company as of June 23, 2017.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88"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If an Event of Default, as defined herein,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right="4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73" w:lineRule="exact"/>
        <w:rPr>
          <w:sz w:val="20"/>
          <w:szCs w:val="20"/>
          <w:color w:val="auto"/>
        </w:rPr>
      </w:pPr>
    </w:p>
    <w:p>
      <w:pPr>
        <w:ind w:left="460" w:right="320" w:firstLine="443"/>
        <w:spacing w:after="0" w:line="277" w:lineRule="auto"/>
        <w:tabs>
          <w:tab w:leader="none" w:pos="1288"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the payment of any interest upon or any Additional Amounts payable in respect of the Notes when such interest or Additional Amounts becomes due and payable, and continuance of such default for a period of 30 days;</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the Notes when it becomes due and payable at its Maturity;</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the Notes;</w:t>
      </w:r>
    </w:p>
    <w:p>
      <w:pPr>
        <w:sectPr>
          <w:pgSz w:w="11900" w:h="16838" w:orient="portrait"/>
          <w:cols w:equalWidth="0" w:num="1">
            <w:col w:w="11400"/>
          </w:cols>
          <w:pgMar w:left="240" w:top="274" w:right="259" w:bottom="1440" w:gutter="0" w:footer="0" w:header="0"/>
        </w:sectPr>
      </w:pPr>
    </w:p>
    <w:bookmarkStart w:id="7" w:name="page8"/>
    <w:bookmarkEnd w:id="7"/>
    <w:p>
      <w:pPr>
        <w:ind w:firstLine="443"/>
        <w:spacing w:after="0" w:line="276" w:lineRule="auto"/>
        <w:tabs>
          <w:tab w:leader="none" w:pos="828" w:val="left"/>
        </w:tabs>
        <w:numPr>
          <w:ilvl w:val="0"/>
          <w:numId w:val="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 in the performance, or a breach, of any covenant or agreement by the Company under the Indenture (other than a covenant or agreement a default in whose performance or whose breach is elsewhere in this definition of Event of Default specifically dealt with), and continuance of such default or breach for a period of 60 days after there has been given, by registered or certified mail, to the Company by the Trustee or to the Company and the Trustee by the Holders of at least 25% in aggregate principal amount of the outstanding Notes a written notice specifying such default or breach and requiring it to be remedied and stating that such notice is a “Notice of Default” under the Indenture;</w:t>
      </w:r>
    </w:p>
    <w:p>
      <w:pPr>
        <w:spacing w:after="0" w:line="64" w:lineRule="exact"/>
        <w:rPr>
          <w:rFonts w:ascii="Arial" w:cs="Arial" w:eastAsia="Arial" w:hAnsi="Arial"/>
          <w:sz w:val="17"/>
          <w:szCs w:val="17"/>
          <w:color w:val="auto"/>
        </w:rPr>
      </w:pPr>
    </w:p>
    <w:p>
      <w:pPr>
        <w:ind w:right="160" w:firstLine="443"/>
        <w:spacing w:after="0" w:line="290" w:lineRule="auto"/>
        <w:tabs>
          <w:tab w:leader="none" w:pos="828" w:val="left"/>
        </w:tabs>
        <w:numPr>
          <w:ilvl w:val="0"/>
          <w:numId w:val="3"/>
        </w:numPr>
        <w:rPr>
          <w:rFonts w:ascii="Arial" w:cs="Arial" w:eastAsia="Arial" w:hAnsi="Arial"/>
          <w:sz w:val="16"/>
          <w:szCs w:val="16"/>
          <w:color w:val="auto"/>
        </w:rPr>
      </w:pPr>
      <w:r>
        <w:rPr>
          <w:rFonts w:ascii="Arial" w:cs="Arial" w:eastAsia="Arial" w:hAnsi="Arial"/>
          <w:sz w:val="16"/>
          <w:szCs w:val="16"/>
          <w:color w:val="auto"/>
        </w:rPr>
        <w:t>default under any bond, debenture, note or other evidence of indebtedness for money borrowed by the Company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the Company (including such leases but not including such indebtedness or obligations for which recourse is limited to property purchased) in an aggregate principal amount in excess of $25,000,000 by the Company,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w:t>
      </w:r>
    </w:p>
    <w:p>
      <w:pPr>
        <w:spacing w:after="0" w:line="58" w:lineRule="exact"/>
        <w:rPr>
          <w:rFonts w:ascii="Arial" w:cs="Arial" w:eastAsia="Arial" w:hAnsi="Arial"/>
          <w:sz w:val="16"/>
          <w:szCs w:val="16"/>
          <w:color w:val="auto"/>
        </w:rPr>
      </w:pPr>
    </w:p>
    <w:p>
      <w:pPr>
        <w:ind w:left="840" w:hanging="397"/>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420" w:hanging="388"/>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117" w:lineRule="exact"/>
        <w:rPr>
          <w:rFonts w:ascii="Arial" w:cs="Arial" w:eastAsia="Arial" w:hAnsi="Arial"/>
          <w:sz w:val="18"/>
          <w:szCs w:val="18"/>
          <w:color w:val="auto"/>
        </w:rPr>
      </w:pPr>
    </w:p>
    <w:p>
      <w:pPr>
        <w:ind w:left="1420" w:hanging="388"/>
        <w:spacing w:after="0"/>
        <w:tabs>
          <w:tab w:leader="none" w:pos="14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appoints a Custodian of the Company or any Significant Subsidiary or for all or substantially all of either of its property, or</w:t>
      </w:r>
    </w:p>
    <w:p>
      <w:pPr>
        <w:spacing w:after="0" w:line="128" w:lineRule="exact"/>
        <w:rPr>
          <w:rFonts w:ascii="Arial" w:cs="Arial" w:eastAsia="Arial" w:hAnsi="Arial"/>
          <w:sz w:val="17"/>
          <w:szCs w:val="17"/>
          <w:color w:val="auto"/>
        </w:rPr>
      </w:pPr>
    </w:p>
    <w:p>
      <w:pPr>
        <w:ind w:left="1040" w:right="100" w:hanging="8"/>
        <w:spacing w:after="0" w:line="277"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orders the liquidation of the Company or any Significant Subsidiary, and the order or decree remains unstayed and in effect for 90 days; or</w:t>
      </w:r>
    </w:p>
    <w:p>
      <w:pPr>
        <w:spacing w:after="0" w:line="62" w:lineRule="exact"/>
        <w:rPr>
          <w:rFonts w:ascii="Arial" w:cs="Arial" w:eastAsia="Arial" w:hAnsi="Arial"/>
          <w:sz w:val="18"/>
          <w:szCs w:val="18"/>
          <w:color w:val="auto"/>
        </w:rPr>
      </w:pPr>
    </w:p>
    <w:p>
      <w:pPr>
        <w:ind w:left="840" w:hanging="397"/>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117" w:lineRule="exact"/>
        <w:rPr>
          <w:rFonts w:ascii="Arial" w:cs="Arial" w:eastAsia="Arial" w:hAnsi="Arial"/>
          <w:sz w:val="18"/>
          <w:szCs w:val="18"/>
          <w:color w:val="auto"/>
        </w:rPr>
      </w:pPr>
    </w:p>
    <w:p>
      <w:pPr>
        <w:ind w:left="1420" w:hanging="388"/>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17" w:lineRule="exact"/>
        <w:rPr>
          <w:rFonts w:ascii="Arial" w:cs="Arial" w:eastAsia="Arial" w:hAnsi="Arial"/>
          <w:sz w:val="18"/>
          <w:szCs w:val="18"/>
          <w:color w:val="auto"/>
        </w:rPr>
      </w:pPr>
    </w:p>
    <w:p>
      <w:pPr>
        <w:ind w:left="1420" w:hanging="388"/>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117" w:lineRule="exact"/>
        <w:rPr>
          <w:rFonts w:ascii="Arial" w:cs="Arial" w:eastAsia="Arial" w:hAnsi="Arial"/>
          <w:sz w:val="18"/>
          <w:szCs w:val="18"/>
          <w:color w:val="auto"/>
        </w:rPr>
      </w:pPr>
    </w:p>
    <w:p>
      <w:pPr>
        <w:ind w:left="1420" w:hanging="388"/>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117" w:lineRule="exact"/>
        <w:rPr>
          <w:rFonts w:ascii="Arial" w:cs="Arial" w:eastAsia="Arial" w:hAnsi="Arial"/>
          <w:sz w:val="18"/>
          <w:szCs w:val="18"/>
          <w:color w:val="auto"/>
        </w:rPr>
      </w:pPr>
    </w:p>
    <w:p>
      <w:pPr>
        <w:ind w:left="1420" w:hanging="388"/>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700" w:top="274" w:right="339" w:bottom="1440" w:gutter="0" w:footer="0" w:header="0"/>
        </w:sectPr>
      </w:pPr>
    </w:p>
    <w:bookmarkStart w:id="8" w:name="page9"/>
    <w:bookmarkEnd w:id="8"/>
    <w:p>
      <w:pPr>
        <w:ind w:right="4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defeasance and covenant defeasance provisions of the Indenture apply to the Notes. The Notes will not be entitled to the benefits of any sinking fund.</w:t>
      </w:r>
    </w:p>
    <w:p>
      <w:pPr>
        <w:spacing w:after="0" w:line="170" w:lineRule="exact"/>
        <w:rPr>
          <w:sz w:val="20"/>
          <w:szCs w:val="20"/>
          <w:color w:val="auto"/>
        </w:rPr>
      </w:pPr>
    </w:p>
    <w:p>
      <w:pPr>
        <w:ind w:right="160" w:firstLine="913"/>
        <w:spacing w:after="0" w:line="288" w:lineRule="auto"/>
        <w:rPr>
          <w:sz w:val="20"/>
          <w:szCs w:val="20"/>
          <w:color w:val="auto"/>
        </w:rPr>
      </w:pPr>
      <w:r>
        <w:rPr>
          <w:rFonts w:ascii="Arial" w:cs="Arial" w:eastAsia="Arial" w:hAnsi="Arial"/>
          <w:sz w:val="16"/>
          <w:szCs w:val="16"/>
          <w:color w:val="auto"/>
        </w:rPr>
        <w:t>The Notes are subject to redemption at any time, in whole or in part, at the election of the Company, at a redemption price equal to (x) if the Notes are redeemed before April 15, 2027 (the “Par Call Date”), the greater of (1) 100% of the principal amount of the Notes being redeemed, or (2) as determined by the Quotation Agent (as defined below), the sum of the present values of the remaining scheduled payments of principal and interest (not including any portion of such payments of interest accrued as of the Redemption Date) on the Notes to be redeemed, assuming that such Notes matured on, and that interest on such Notes was payable on, the Par Call Date, discounted to the Redemption Date on a semi-annual basis (assuming a 360-day year consisting of twelve 30-day months) at the Adjusted Treasury Rate (as defined below) plus 20 basis points (twenty one-hundredths of one percent) plus, in each case, accrued interest thereon to, but excluding, the Redemption Date or (y) if the Notes are redeemed on or after the Par Call Date, 100% of the principal amount of the Notes to be redeemed plus accrued and unpaid interest to, but excluding,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60" w:right="10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73"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(assuming for this purpose that such Notes matured on the Par Call Date) that would be utilized, at the time of selection and in accordance with customary financial practice, in pricing new issues of corporate debt securities of comparable maturity to the remaining term of such Notes.</w:t>
      </w:r>
    </w:p>
    <w:p>
      <w:pPr>
        <w:spacing w:after="0" w:line="79" w:lineRule="exact"/>
        <w:rPr>
          <w:sz w:val="20"/>
          <w:szCs w:val="20"/>
          <w:color w:val="auto"/>
        </w:rPr>
      </w:pPr>
    </w:p>
    <w:p>
      <w:pPr>
        <w:ind w:left="460" w:right="240" w:firstLine="438"/>
        <w:spacing w:after="0" w:line="264" w:lineRule="auto"/>
        <w:rPr>
          <w:sz w:val="20"/>
          <w:szCs w:val="20"/>
          <w:color w:val="auto"/>
        </w:rPr>
      </w:pP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such Redemption Date, after excluding the highest and lowest of such Reference Treasury Dealer Quotations, or (2) if the Trustee obtains fewer than five such Reference Treasury Dealer quotations, the average of all such Quotations.</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jc w:val="both"/>
        <w:ind w:left="460"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each of (1) Citigroup Global Markets Inc., Deutsche Bank Securities Inc., J.P. Morgan Securities LLC and Wells Fargo Securities, LLC and their respective successors; provided, however, that if any of the Reference Treasury Dealers ceases to be a primary U.S. Government securities dealer (a “Primary Treasury Dealer”), the Company will substitute therefor another Primary Treasury Dealer; and (2) any three other Primary Treasury Dealers selected by the Company.</w:t>
      </w:r>
    </w:p>
    <w:p>
      <w:pPr>
        <w:spacing w:after="0" w:line="79" w:lineRule="exact"/>
        <w:rPr>
          <w:sz w:val="20"/>
          <w:szCs w:val="20"/>
          <w:color w:val="auto"/>
        </w:rPr>
      </w:pPr>
    </w:p>
    <w:p>
      <w:pPr>
        <w:ind w:left="460" w:right="2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Notice of any redemption will be given by mail to Holders of Securities, not less than 15 nor more than 60 days prior to the Redemption Date, all as provided in the Indenture.</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7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6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81" w:lineRule="exact"/>
        <w:rPr>
          <w:sz w:val="20"/>
          <w:szCs w:val="20"/>
          <w:color w:val="auto"/>
        </w:rPr>
      </w:pPr>
    </w:p>
    <w:p>
      <w:pPr>
        <w:ind w:right="460" w:firstLine="913"/>
        <w:spacing w:after="0" w:line="259" w:lineRule="auto"/>
        <w:rPr>
          <w:sz w:val="20"/>
          <w:szCs w:val="20"/>
          <w:color w:val="auto"/>
        </w:rPr>
      </w:pPr>
      <w:r>
        <w:rPr>
          <w:rFonts w:ascii="Arial" w:cs="Arial" w:eastAsia="Arial" w:hAnsi="Arial"/>
          <w:sz w:val="18"/>
          <w:szCs w:val="18"/>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0" w:name="page11"/>
    <w:bookmarkEnd w:id="10"/>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93"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In addition to the foregoing limitation on the incurrence of Debt, the Company will not, and will not permit any Subsidiary to, incur any Debt secured by any mortgage, lien, charge, pledge, encumbrance or security interest of any kind upon any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from Total Assets.</w:t>
      </w:r>
    </w:p>
    <w:p>
      <w:pPr>
        <w:spacing w:after="0" w:line="18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1" w:name="page12"/>
    <w:bookmarkEnd w:id="11"/>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8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87" w:lineRule="exact"/>
        <w:rPr>
          <w:sz w:val="20"/>
          <w:szCs w:val="20"/>
          <w:color w:val="auto"/>
        </w:rPr>
      </w:pPr>
    </w:p>
    <w:p>
      <w:pPr>
        <w:ind w:left="460" w:right="1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181" w:lineRule="exact"/>
        <w:rPr>
          <w:sz w:val="20"/>
          <w:szCs w:val="20"/>
          <w:color w:val="auto"/>
        </w:rPr>
      </w:pPr>
    </w:p>
    <w:p>
      <w:pPr>
        <w:ind w:left="460" w:right="48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ind w:left="460" w:right="46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Funds from Operations (as defined below) of the Company and its Subsidiaries plus amounts which have been deducted for interest on Debt of the Company and its Subsidiaries.</w:t>
      </w:r>
    </w:p>
    <w:p>
      <w:pPr>
        <w:spacing w:after="0" w:line="170" w:lineRule="exact"/>
        <w:rPr>
          <w:sz w:val="20"/>
          <w:szCs w:val="20"/>
          <w:color w:val="auto"/>
        </w:rPr>
      </w:pPr>
    </w:p>
    <w:p>
      <w:pPr>
        <w:ind w:left="460" w:right="120" w:firstLine="43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Debt</w:t>
      </w:r>
      <w:r>
        <w:rPr>
          <w:rFonts w:ascii="Arial" w:cs="Arial" w:eastAsia="Arial" w:hAnsi="Arial"/>
          <w:sz w:val="17"/>
          <w:szCs w:val="17"/>
          <w:color w:val="auto"/>
        </w:rPr>
        <w: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Company or any Subsidiary with respect to redemption, repayment or other repurchase of any Disqualified Stock or (v) any lease 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2" w:name="page13"/>
    <w:bookmarkEnd w:id="1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property by the Company or any Subsidiary as lessee which is reflected on the Company’s consolidated balance sheet as a capitalized lease in accordance with generally accepted accounting principles to the extent, in the case of items of indebtedness under (i) through (iii) 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182" w:lineRule="exact"/>
        <w:rPr>
          <w:sz w:val="20"/>
          <w:szCs w:val="20"/>
          <w:color w:val="auto"/>
        </w:rPr>
      </w:pPr>
    </w:p>
    <w:p>
      <w:pPr>
        <w:ind w:right="28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w:t>
      </w:r>
    </w:p>
    <w:p>
      <w:pPr>
        <w:jc w:val="both"/>
        <w:ind w:right="140" w:firstLine="4"/>
        <w:spacing w:after="0" w:line="255"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190" w:lineRule="exact"/>
        <w:rPr>
          <w:sz w:val="20"/>
          <w:szCs w:val="20"/>
          <w:color w:val="auto"/>
        </w:rPr>
      </w:pPr>
    </w:p>
    <w:p>
      <w:pPr>
        <w:ind w:right="340" w:firstLine="43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70" w:lineRule="exact"/>
        <w:rPr>
          <w:sz w:val="20"/>
          <w:szCs w:val="20"/>
          <w:color w:val="auto"/>
        </w:rPr>
      </w:pPr>
    </w:p>
    <w:p>
      <w:pPr>
        <w:ind w:right="140" w:firstLine="43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Assets</w:t>
      </w:r>
      <w:r>
        <w:rPr>
          <w:rFonts w:ascii="Arial" w:cs="Arial" w:eastAsia="Arial" w:hAnsi="Arial"/>
          <w:sz w:val="17"/>
          <w:szCs w:val="17"/>
          <w:color w:val="auto"/>
        </w:rPr>
        <w:t>”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147" w:lineRule="exact"/>
        <w:rPr>
          <w:sz w:val="20"/>
          <w:szCs w:val="20"/>
          <w:color w:val="auto"/>
        </w:rPr>
      </w:pPr>
    </w:p>
    <w:p>
      <w:pPr>
        <w:ind w:right="1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181" w:lineRule="exact"/>
        <w:rPr>
          <w:sz w:val="20"/>
          <w:szCs w:val="20"/>
          <w:color w:val="auto"/>
        </w:rPr>
      </w:pPr>
    </w:p>
    <w:p>
      <w:pPr>
        <w:ind w:firstLine="43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Unencumbered Total Asset Value</w:t>
      </w:r>
      <w:r>
        <w:rPr>
          <w:rFonts w:ascii="Arial" w:cs="Arial" w:eastAsia="Arial" w:hAnsi="Arial"/>
          <w:sz w:val="16"/>
          <w:szCs w:val="16"/>
          <w:color w:val="auto"/>
        </w:rPr>
        <w:t>”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 provided, however, that in determining Unencumbered Total Asset Value for purposes of the</w:t>
      </w:r>
    </w:p>
    <w:p>
      <w:pPr>
        <w:spacing w:after="0" w:line="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4" w:right="259" w:bottom="1440" w:gutter="0" w:footer="0" w:header="0"/>
        </w:sectPr>
      </w:pPr>
    </w:p>
    <w:bookmarkStart w:id="13" w:name="page14"/>
    <w:bookmarkEnd w:id="13"/>
    <w:p>
      <w:pPr>
        <w:ind w:left="460"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covenant relating to the maintenance of Unencumbered Total Asset Value, all investments by the Company and any of the Company’s subsidiaries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8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Administrative Agent (as such term is defined in the Credit Agreement, dated as of July 7, 2011, between the Company and the various financial institutions named therein,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93"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58" w:lineRule="exact"/>
        <w:rPr>
          <w:sz w:val="20"/>
          <w:szCs w:val="20"/>
          <w:color w:val="auto"/>
        </w:rPr>
      </w:pPr>
    </w:p>
    <w:p>
      <w:pPr>
        <w:ind w:right="460" w:firstLine="913"/>
        <w:spacing w:after="0" w:line="264" w:lineRule="auto"/>
        <w:rPr>
          <w:sz w:val="20"/>
          <w:szCs w:val="20"/>
          <w:color w:val="auto"/>
        </w:rPr>
      </w:pPr>
      <w:r>
        <w:rPr>
          <w:rFonts w:ascii="Arial" w:cs="Arial" w:eastAsia="Arial" w:hAnsi="Arial"/>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Securities of this series are issuable only in registered form without coupons in denominations of $2,000 and any integral multiples of $1,000 in excess thereof.</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issuance and sale of $175,000,000 aggregate principal amount of 3.25% Notes due 2027 of the Company (the “Notes”), pursuant to the Underwriting Agreement and related Pricing Agreement, each dated December 7, 2017, between the several underwriters listed in Schedule I to the Pricing Agreement (the “Underwriters”) and the Company (collectively, the “Agreement”). The Notes are being issued under the Indenture dated as of September 1, 1998 between the Company and U.S. Bank National Association (successor trustee to Wachovia Bank, National Association (successor trustee to First Union National Bank)), as Trustee (together with the officers’ certificates dated December 21, 2017 setting forth the terms of the Notes, the “Indenture”).</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reviewed (a) the Agreement, (b) the Indenture, (c) the Registration Statement on Form S-3 (File No. 333-203999) (the “Registration Statement”) filed by the Company to register the offer and sale of the Notes with the Securities and Exchange Commission (the “Commission”) under the Securities Act of 1933 (the “Securities Act”), (d) the Prospectus dated May 8, 2015, as supplemented by the Prospectus Supplement dated December 7, 2017, relating to the offer and sale of the Notes (the “Prospectus”), filed by the Company with the Commission pursuant to Rule 424(b)(5) under the Securities Act. We have also reviewed such other agreements, documents, records, certificates and other materials, and have satisfied ourselves as to such other matters, as we have considered relevant or necessary as a basis for this opinion.</w:t>
      </w:r>
    </w:p>
    <w:p>
      <w:pPr>
        <w:spacing w:after="0" w:line="19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 In delivering this opinion, we have relied, without independent verification, as to factual matters, on certificates and other written or oral statements of governmental and other public officials and of officers and representatives of the Company, the Underwriters and the Trustee.</w:t>
      </w:r>
    </w:p>
    <w:p>
      <w:pPr>
        <w:spacing w:after="0" w:line="173"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On the basis of the assumptions and subject to the qualifications and limitations set forth herein, we are of the opinion that the Notes constitute the valid and legally binding obligations of the Company enforceable against the Company in accordance with their terms, except as may be subject to and limited by the effect of (a) applicable bankruptcy, insolvency, reorganization, fraudulent conveyance and other similar laws affecting creditors’ rights generally, (b) general equitable principles (whether considered in a proceeding in equity or at law) and (c) requirements of reasonableness, good faith, materiality and fair dealing and the discretion of the court before which any matter may be brought.</w:t>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opinion is limited to the law of the States of New York and Maryland, in each case as in effect on the date hereof.</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filing of this opinion as Exhibit 5.1 to the Company’s Current Report on Form 8-K dated December 26, 2017 and the incorporation thereof in the Registration Statement and to the use of our name under the captions “Legal Matters” in the Prospectus Supplement. In giving this consent, we do not thereby admit that we are within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360"/>
          </w:cols>
          <w:pgMar w:left="240" w:top="274" w:right="29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December 7, 2017 (the “Prospectus Supplement”) to a prospectus (the “Base Prospectus”) filed as part of a registration statement on Form S-3 (File No. 333-203999, the “Registration Statement,” which term includes the Base Prospectus, Prospectus Supplement, and all documents incorporated and deemed to be incorporated by reference therein) with the Securities and Exchange Commission.</w:t>
      </w:r>
    </w:p>
    <w:p>
      <w:pPr>
        <w:spacing w:after="0" w:line="188"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as of the date hereof, a copy of which is attached as Schedule 1 hereto,</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6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7,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2017;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(2017) taxable year and for future taxable years, and (iii) the discussions in (x) the Base Prospectus under the caption “Material Federal Income Tax Considerations,” (y) the Prospectus Supplement under the caption “Additional Material Federal Income Tax Considerations,” and (z) the Company’s Annual Report on Form 10-K for the year ended December 31, 2016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are incorporated by reference into the Registration Statement, to the extent that they discuss matters of law or legal conclusions or purport to describe certain provisions of the federal tax laws, are correct summaries of the matters discussed therein.</w:t>
      </w:r>
    </w:p>
    <w:p>
      <w:pPr>
        <w:spacing w:after="0" w:line="17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00"/>
          </w:cols>
          <w:pgMar w:left="240" w:top="27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7,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4"/>
    </w:lvl>
    <w:lvl w:ilvl="1">
      <w:lvlJc w:val="left"/>
      <w:lvlText w:val="(%2)"/>
      <w:numFmt w:val="lowerLetter"/>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2019-12-29T02:28:30Z</dcterms:created>
  <dcterms:modified xsi:type="dcterms:W3CDTF">2019-12-29T02:28:30Z</dcterms:modified>
</cp:coreProperties>
</file>