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240"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0"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Date of Report (Date of earliest event reported) February 5, 2019</w:t>
      </w:r>
    </w:p>
    <w:p>
      <w:pPr>
        <w:spacing w:after="0" w:line="200" w:lineRule="exact"/>
        <w:rPr>
          <w:sz w:val="24"/>
          <w:szCs w:val="24"/>
          <w:color w:val="auto"/>
        </w:rPr>
      </w:pPr>
    </w:p>
    <w:p>
      <w:pPr>
        <w:spacing w:after="0" w:line="214"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9" w:lineRule="exact"/>
        <w:rPr>
          <w:sz w:val="24"/>
          <w:szCs w:val="24"/>
          <w:color w:val="auto"/>
        </w:rPr>
      </w:pPr>
    </w:p>
    <w:p>
      <w:pPr>
        <w:ind w:left="3480"/>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760" w:space="720"/>
            <w:col w:w="1940" w:space="720"/>
            <w:col w:w="2840"/>
          </w:cols>
          <w:pgMar w:left="240" w:top="679" w:right="679" w:bottom="1440" w:gutter="0" w:footer="0" w:header="0"/>
          <w:type w:val="continuous"/>
        </w:sectPr>
      </w:pPr>
    </w:p>
    <w:p>
      <w:pPr>
        <w:spacing w:after="0" w:line="1" w:lineRule="exact"/>
        <w:rPr>
          <w:sz w:val="24"/>
          <w:szCs w:val="24"/>
          <w:color w:val="auto"/>
        </w:rPr>
      </w:pPr>
    </w:p>
    <w:p>
      <w:pPr>
        <w:jc w:val="center"/>
        <w:ind w:left="114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left="11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3"/>
          <w:szCs w:val="13"/>
          <w:b w:val="1"/>
          <w:bCs w:val="1"/>
          <w:color w:val="auto"/>
        </w:rPr>
        <w:t>(IRS Employer</w:t>
      </w:r>
    </w:p>
    <w:p>
      <w:pPr>
        <w:jc w:val="center"/>
        <w:ind w:right="190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00" w:space="720"/>
            <w:col w:w="1940" w:space="720"/>
            <w:col w:w="2900"/>
          </w:cols>
          <w:pgMar w:left="240" w:top="679" w:right="67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6740" w:space="720"/>
            <w:col w:w="3520"/>
          </w:cols>
          <w:pgMar w:left="240" w:top="679" w:right="679" w:bottom="1440" w:gutter="0" w:footer="0" w:header="0"/>
          <w:type w:val="continuous"/>
        </w:sectPr>
      </w:pPr>
    </w:p>
    <w:p>
      <w:pPr>
        <w:ind w:left="25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6880" w:space="720"/>
            <w:col w:w="3380"/>
          </w:cols>
          <w:pgMar w:left="240" w:top="679" w:right="679" w:bottom="1440" w:gutter="0" w:footer="0" w:header="0"/>
          <w:type w:val="continuous"/>
        </w:sectPr>
      </w:pPr>
    </w:p>
    <w:p>
      <w:pPr>
        <w:spacing w:after="0" w:line="29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1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79" w:lineRule="exact"/>
        <w:rPr>
          <w:sz w:val="24"/>
          <w:szCs w:val="24"/>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940" w:right="200" w:hanging="412"/>
        <w:spacing w:after="0" w:line="308" w:lineRule="auto"/>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jc w:val="both"/>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On February 5, 2019, the Compensation Committee (“Committee”) of the Board of Trustees of Federal Realty Investment Trust (“Trust”) approved the following compensation arrangements for the Trust’s named executive officers: (a) increases in base salaries effective as of January 1, 2019 for Dawn M. Becker, the Trust’s Executive Vice President-General Counsel and Secretary to $475,000 and for Daniel Guglielmone, the Trust’s Executive Vice President-Chief Financial Officer and Treasurer to $500,000; (b) a supplemental cash bonus of $50,000 to each of Ms. Becker and Mr. Guglielmone; and (c) payouts at 100% of target to each of Mr. Donald C. Wood, the Trust’s President and Chief Executive Officer, Mr. Guglielmone and Ms. Becker under the Trust’s long-term incentive award program (“LTIAP”) which represents an exercise of the Committee’s discretion under the LTIAP to increase the award. Without the exercise of the Committee’s discretion, the awards for Mr. Wood and Ms. Becker, based on the performance goals set by the Committee for 2018, would have been paid at 90% of target and the award for Mr. Guglielmone would have been paid at 85% of target.</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5, 2019, the Board of Trustees of the Trust approved an amendment to Section 1 of Article III of the Trust’s Amended and Restated Bylaws effective as of February 1, 2019 to change the requirement that the Board of Trustees contain no more than one non-independent trustee to reflect that a majority of Trustees must be independent.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Section 1 is filed as an exhibit to this report and is incorporated by reference into this Item 5.03.</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following Exhibits are included in the Form 8-K:</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gridSpan w:val="2"/>
          </w:tcPr>
          <w:p>
            <w:pPr>
              <w:spacing w:after="0"/>
              <w:rPr>
                <w:sz w:val="20"/>
                <w:szCs w:val="20"/>
                <w:color w:val="auto"/>
              </w:rPr>
            </w:pPr>
            <w:r>
              <w:rPr>
                <w:rFonts w:ascii="Arial" w:cs="Arial" w:eastAsia="Arial" w:hAnsi="Arial"/>
                <w:sz w:val="20"/>
                <w:szCs w:val="20"/>
                <w:color w:val="auto"/>
                <w:w w:val="93"/>
              </w:rPr>
              <w:t>Exhibit</w:t>
            </w:r>
          </w:p>
        </w:tc>
        <w:tc>
          <w:tcPr>
            <w:tcW w:w="180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20"/>
                <w:szCs w:val="20"/>
                <w:color w:val="auto"/>
              </w:rPr>
              <w:t>Description of Exhibit</w:t>
            </w:r>
          </w:p>
        </w:tc>
      </w:tr>
      <w:tr>
        <w:trPr>
          <w:trHeight w:val="20"/>
        </w:trPr>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385"/>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20"/>
                <w:szCs w:val="20"/>
                <w:color w:val="auto"/>
                <w:w w:val="90"/>
              </w:rPr>
              <w:t>Amended Section 1 of Article III of the Amended and Restated Bylaws</w:t>
            </w:r>
          </w:p>
        </w:tc>
      </w:tr>
    </w:tbl>
    <w:p>
      <w:pPr>
        <w:sectPr>
          <w:pgSz w:w="11900" w:h="16838" w:orient="portrait"/>
          <w:cols w:equalWidth="0" w:num="1">
            <w:col w:w="11420"/>
          </w:cols>
          <w:pgMar w:left="240" w:top="805"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720" w:val="left"/>
          <w:tab w:leader="none" w:pos="3900" w:val="left"/>
        </w:tabs>
        <w:rPr>
          <w:sz w:val="20"/>
          <w:szCs w:val="20"/>
          <w:color w:val="auto"/>
        </w:rPr>
      </w:pPr>
      <w:r>
        <w:rPr>
          <w:rFonts w:ascii="Arial" w:cs="Arial" w:eastAsia="Arial" w:hAnsi="Arial"/>
          <w:sz w:val="22"/>
          <w:szCs w:val="22"/>
          <w:color w:val="auto"/>
        </w:rPr>
        <w:t>Date:</w:t>
        <w:tab/>
        <w:t>February 7, 2019</w:t>
      </w:r>
      <w:r>
        <w:rPr>
          <w:sz w:val="20"/>
          <w:szCs w:val="20"/>
          <w:color w:val="auto"/>
        </w:rPr>
        <w:tab/>
      </w:r>
      <w:r>
        <w:rPr>
          <w:rFonts w:ascii="Arial" w:cs="Arial" w:eastAsia="Arial" w:hAnsi="Arial"/>
          <w:sz w:val="19"/>
          <w:szCs w:val="19"/>
          <w:u w:val="single" w:color="auto"/>
          <w:color w:val="auto"/>
        </w:rPr>
        <w:t>/s/ Dawn M. Becker</w:t>
      </w:r>
    </w:p>
    <w:p>
      <w:pPr>
        <w:spacing w:after="0" w:line="27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Dawn M. Becker</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Executive Vice President-General Counsel and Secretary</w:t>
      </w:r>
    </w:p>
    <w:p>
      <w:pPr>
        <w:sectPr>
          <w:pgSz w:w="11900" w:h="16838" w:orient="portrait"/>
          <w:cols w:equalWidth="0" w:num="1">
            <w:col w:w="11420"/>
          </w:cols>
          <w:pgMar w:left="240" w:top="79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less than a majority of Trustees on the Board of Trustees that fail to satisfy the definitions for independence as established from time to time in the Securities Exchange Act of 1934, the New York Stock Exchange’s Listed Company Manual and other laws, rules and regulations applicable to the Trust from time to time.</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2019-12-28T16:40:35Z</dcterms:created>
  <dcterms:modified xsi:type="dcterms:W3CDTF">2019-12-28T16:40:35Z</dcterms:modified>
</cp:coreProperties>
</file>