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(Amendment No.</w:t>
        <w:tab/>
        <w:t>)*</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Federal Realty Investments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69215</wp:posOffset>
            </wp:positionV>
            <wp:extent cx="684784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69215</wp:posOffset>
            </wp:positionV>
            <wp:extent cx="68478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69215</wp:posOffset>
            </wp:positionV>
            <wp:extent cx="68478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Calendar Year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69215</wp:posOffset>
            </wp:positionV>
            <wp:extent cx="68478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273"/>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15" w:lineRule="exact"/>
        <w:rPr>
          <w:rFonts w:ascii="Arial" w:cs="Arial" w:eastAsia="Arial" w:hAnsi="Arial"/>
          <w:sz w:val="18"/>
          <w:szCs w:val="18"/>
          <w:color w:val="auto"/>
        </w:rPr>
      </w:pPr>
    </w:p>
    <w:p>
      <w:pPr>
        <w:ind w:left="940" w:hanging="113"/>
        <w:spacing w:after="0"/>
        <w:tabs>
          <w:tab w:leader="none" w:pos="940" w:val="left"/>
        </w:tabs>
        <w:numPr>
          <w:ilvl w:val="1"/>
          <w:numId w:val="1"/>
        </w:numPr>
        <w:rPr>
          <w:rFonts w:ascii="Arial" w:cs="Arial" w:eastAsia="Arial" w:hAnsi="Arial"/>
          <w:sz w:val="18"/>
          <w:szCs w:val="18"/>
          <w:color w:val="auto"/>
        </w:rPr>
      </w:pPr>
      <w:r>
        <w:rPr>
          <w:rFonts w:ascii="Arial" w:cs="Arial" w:eastAsia="Arial" w:hAnsi="Arial"/>
          <w:sz w:val="18"/>
          <w:szCs w:val="18"/>
          <w:color w:val="auto"/>
        </w:rPr>
        <w:t>X ] Rule 13d-1(c)</w:t>
      </w:r>
    </w:p>
    <w:p>
      <w:pPr>
        <w:spacing w:after="0" w:line="9" w:lineRule="exact"/>
        <w:rPr>
          <w:rFonts w:ascii="Arial" w:cs="Arial" w:eastAsia="Arial" w:hAnsi="Arial"/>
          <w:sz w:val="18"/>
          <w:szCs w:val="18"/>
          <w:color w:val="auto"/>
        </w:rPr>
      </w:pPr>
    </w:p>
    <w:p>
      <w:pPr>
        <w:ind w:left="1100" w:hanging="273"/>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45" w:lineRule="exact"/>
        <w:rPr>
          <w:rFonts w:ascii="Arial" w:cs="Arial" w:eastAsia="Arial" w:hAnsi="Arial"/>
          <w:sz w:val="18"/>
          <w:szCs w:val="18"/>
          <w:color w:val="auto"/>
        </w:rPr>
      </w:pPr>
    </w:p>
    <w:p>
      <w:pPr>
        <w:spacing w:after="0" w:line="268"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6882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21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No. 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111760</wp:posOffset>
            </wp:positionV>
            <wp:extent cx="684784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40" w:lineRule="exact"/>
        <w:rPr>
          <w:sz w:val="24"/>
          <w:szCs w:val="24"/>
          <w:color w:val="auto"/>
        </w:rPr>
      </w:pPr>
    </w:p>
    <w:p>
      <w:pPr>
        <w:jc w:val="both"/>
        <w:ind w:left="1600" w:right="7160" w:hanging="674"/>
        <w:spacing w:after="0" w:line="305"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Stichting Pensioenfonds ABP</w:t>
      </w:r>
    </w:p>
    <w:p>
      <w:pPr>
        <w:ind w:left="1600"/>
        <w:spacing w:after="0"/>
        <w:rPr>
          <w:rFonts w:ascii="Arial" w:cs="Arial" w:eastAsia="Arial" w:hAnsi="Arial"/>
          <w:sz w:val="15"/>
          <w:szCs w:val="15"/>
          <w:color w:val="auto"/>
        </w:rPr>
      </w:pPr>
      <w:r>
        <w:rPr>
          <w:rFonts w:ascii="Arial" w:cs="Arial" w:eastAsia="Arial" w:hAnsi="Arial"/>
          <w:sz w:val="18"/>
          <w:szCs w:val="18"/>
          <w:color w:val="auto"/>
        </w:rPr>
        <w:t>I.R.S. Identification Nos. of above persons (entities only).</w:t>
      </w:r>
    </w:p>
    <w:p>
      <w:pPr>
        <w:spacing w:after="0" w:line="9" w:lineRule="exact"/>
        <w:rPr>
          <w:rFonts w:ascii="Arial" w:cs="Arial" w:eastAsia="Arial" w:hAnsi="Arial"/>
          <w:sz w:val="15"/>
          <w:szCs w:val="15"/>
          <w:color w:val="auto"/>
        </w:rPr>
      </w:pPr>
    </w:p>
    <w:p>
      <w:pPr>
        <w:ind w:left="1600"/>
        <w:spacing w:after="0"/>
        <w:rPr>
          <w:rFonts w:ascii="Arial" w:cs="Arial" w:eastAsia="Arial" w:hAnsi="Arial"/>
          <w:sz w:val="15"/>
          <w:szCs w:val="15"/>
          <w:color w:val="auto"/>
        </w:rPr>
      </w:pPr>
      <w:r>
        <w:rPr>
          <w:rFonts w:ascii="Arial" w:cs="Arial" w:eastAsia="Arial" w:hAnsi="Arial"/>
          <w:sz w:val="18"/>
          <w:szCs w:val="18"/>
          <w:color w:val="auto"/>
        </w:rPr>
        <w:t>98-0140331</w:t>
      </w:r>
    </w:p>
    <w:p>
      <w:pPr>
        <w:spacing w:after="0" w:line="353" w:lineRule="exact"/>
        <w:rPr>
          <w:rFonts w:ascii="Arial" w:cs="Arial" w:eastAsia="Arial" w:hAnsi="Arial"/>
          <w:sz w:val="15"/>
          <w:szCs w:val="15"/>
          <w:color w:val="auto"/>
        </w:rPr>
      </w:pPr>
    </w:p>
    <w:p>
      <w:pPr>
        <w:ind w:left="1600" w:hanging="674"/>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-247650</wp:posOffset>
            </wp:positionV>
            <wp:extent cx="684784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ind w:left="1600"/>
        <w:spacing w:after="0"/>
        <w:tabs>
          <w:tab w:leader="none" w:pos="2100" w:val="left"/>
          <w:tab w:leader="none" w:pos="2460" w:val="left"/>
          <w:tab w:leader="none" w:pos="3000" w:val="left"/>
        </w:tabs>
        <w:rPr>
          <w:sz w:val="20"/>
          <w:szCs w:val="20"/>
          <w:color w:val="auto"/>
        </w:rPr>
      </w:pPr>
      <w:r>
        <w:rPr>
          <w:rFonts w:ascii="Arial" w:cs="Arial" w:eastAsia="Arial" w:hAnsi="Arial"/>
          <w:sz w:val="18"/>
          <w:szCs w:val="18"/>
          <w:color w:val="auto"/>
        </w:rPr>
        <w:t>(a) [</w:t>
        <w:tab/>
        <w:t>]</w:t>
      </w:r>
      <w:r>
        <w:rPr>
          <w:sz w:val="20"/>
          <w:szCs w:val="20"/>
          <w:color w:val="auto"/>
        </w:rPr>
        <w:tab/>
      </w:r>
      <w:r>
        <w:rPr>
          <w:rFonts w:ascii="Arial" w:cs="Arial" w:eastAsia="Arial" w:hAnsi="Arial"/>
          <w:sz w:val="18"/>
          <w:szCs w:val="18"/>
          <w:color w:val="auto"/>
        </w:rPr>
        <w:t>(b) [</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107950</wp:posOffset>
            </wp:positionV>
            <wp:extent cx="684784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47" w:lineRule="exact"/>
        <w:rPr>
          <w:sz w:val="24"/>
          <w:szCs w:val="24"/>
          <w:color w:val="auto"/>
        </w:rPr>
      </w:pPr>
    </w:p>
    <w:p>
      <w:pPr>
        <w:ind w:left="1600" w:hanging="674"/>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73" w:lineRule="exact"/>
        <w:rPr>
          <w:rFonts w:ascii="Arial" w:cs="Arial" w:eastAsia="Arial" w:hAnsi="Arial"/>
          <w:sz w:val="18"/>
          <w:szCs w:val="18"/>
          <w:color w:val="auto"/>
        </w:rPr>
      </w:pPr>
    </w:p>
    <w:p>
      <w:pPr>
        <w:ind w:left="1600" w:right="6680" w:hanging="674"/>
        <w:spacing w:after="0" w:line="332" w:lineRule="auto"/>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The Kingdom of 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-439420</wp:posOffset>
            </wp:positionV>
            <wp:extent cx="684784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7840" cy="215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57150</wp:posOffset>
            </wp:positionV>
            <wp:extent cx="684784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254"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8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2,914,551</w:t>
            </w:r>
          </w:p>
        </w:tc>
        <w:tc>
          <w:tcPr>
            <w:tcW w:w="0" w:type="dxa"/>
            <w:vAlign w:val="bottom"/>
          </w:tcPr>
          <w:p>
            <w:pPr>
              <w:spacing w:after="0"/>
              <w:rPr>
                <w:sz w:val="1"/>
                <w:szCs w:val="1"/>
                <w:color w:val="auto"/>
              </w:rPr>
            </w:pPr>
          </w:p>
        </w:tc>
      </w:tr>
      <w:tr>
        <w:trPr>
          <w:trHeight w:val="181"/>
        </w:trPr>
        <w:tc>
          <w:tcPr>
            <w:tcW w:w="1320" w:type="dxa"/>
            <w:vAlign w:val="bottom"/>
          </w:tcPr>
          <w:p>
            <w:pPr>
              <w:spacing w:after="0" w:line="181"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88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580" w:type="dxa"/>
            <w:vAlign w:val="bottom"/>
            <w:gridSpan w:val="2"/>
            <w:vMerge w:val="continue"/>
          </w:tcPr>
          <w:p>
            <w:pPr>
              <w:spacing w:after="0"/>
              <w:rPr>
                <w:sz w:val="11"/>
                <w:szCs w:val="11"/>
                <w:color w:val="auto"/>
              </w:rPr>
            </w:pPr>
          </w:p>
        </w:tc>
        <w:tc>
          <w:tcPr>
            <w:tcW w:w="8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1"/>
        </w:trPr>
        <w:tc>
          <w:tcPr>
            <w:tcW w:w="13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88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2,914,551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6854825</wp:posOffset>
            </wp:positionH>
            <wp:positionV relativeFrom="paragraph">
              <wp:posOffset>-885825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-885825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-387985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-387985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0840"/>
          </w:cols>
          <w:pgMar w:left="240" w:top="307" w:right="819" w:bottom="0" w:gutter="0" w:footer="0" w:header="0"/>
        </w:sectPr>
      </w:pPr>
    </w:p>
    <w:bookmarkStart w:id="1" w:name="page2"/>
    <w:bookmarkEnd w:id="1"/>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1167130</wp:posOffset>
            </wp:positionH>
            <wp:positionV relativeFrom="page">
              <wp:posOffset>189865</wp:posOffset>
            </wp:positionV>
            <wp:extent cx="58527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2795" cy="21590"/>
                    </a:xfrm>
                    <a:prstGeom prst="rect">
                      <a:avLst/>
                    </a:prstGeom>
                    <a:noFill/>
                  </pic:spPr>
                </pic:pic>
              </a:graphicData>
            </a:graphic>
          </wp:anchor>
        </w:drawing>
      </w:r>
    </w:p>
    <w:p>
      <w:pPr>
        <w:ind w:left="2120" w:right="6820" w:hanging="558"/>
        <w:spacing w:after="0" w:line="268" w:lineRule="auto"/>
        <w:tabs>
          <w:tab w:leader="none" w:pos="2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21" w:lineRule="exact"/>
        <w:rPr>
          <w:rFonts w:ascii="Arial" w:cs="Arial" w:eastAsia="Arial" w:hAnsi="Arial"/>
          <w:sz w:val="18"/>
          <w:szCs w:val="18"/>
          <w:color w:val="auto"/>
        </w:rPr>
      </w:pPr>
    </w:p>
    <w:p>
      <w:pPr>
        <w:ind w:left="1560" w:right="4520" w:hanging="674"/>
        <w:spacing w:after="0" w:line="268" w:lineRule="auto"/>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2,914,551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684784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7840" cy="21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86995</wp:posOffset>
            </wp:positionV>
            <wp:extent cx="684784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01" w:lineRule="exact"/>
        <w:rPr>
          <w:sz w:val="20"/>
          <w:szCs w:val="20"/>
          <w:color w:val="auto"/>
        </w:rPr>
      </w:pPr>
    </w:p>
    <w:p>
      <w:pPr>
        <w:ind w:left="880"/>
        <w:spacing w:after="0"/>
        <w:tabs>
          <w:tab w:leader="none" w:pos="1540" w:val="left"/>
          <w:tab w:leader="none" w:pos="79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 (See Instructions)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84784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67" w:lineRule="exact"/>
        <w:rPr>
          <w:sz w:val="20"/>
          <w:szCs w:val="20"/>
          <w:color w:val="auto"/>
        </w:rPr>
      </w:pPr>
    </w:p>
    <w:p>
      <w:pPr>
        <w:ind w:left="1560" w:right="5500" w:hanging="674"/>
        <w:spacing w:after="0" w:line="268"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5.27%</w:t>
      </w:r>
    </w:p>
    <w:p>
      <w:pPr>
        <w:spacing w:after="0" w:line="321" w:lineRule="exact"/>
        <w:rPr>
          <w:rFonts w:ascii="Arial" w:cs="Arial" w:eastAsia="Arial" w:hAnsi="Arial"/>
          <w:sz w:val="18"/>
          <w:szCs w:val="18"/>
          <w:color w:val="auto"/>
        </w:rPr>
      </w:pPr>
    </w:p>
    <w:p>
      <w:pPr>
        <w:ind w:left="1560" w:hanging="674"/>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-388620</wp:posOffset>
            </wp:positionV>
            <wp:extent cx="684784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684784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60" w:type="dxa"/>
            <w:vAlign w:val="bottom"/>
          </w:tcPr>
          <w:p>
            <w:pPr>
              <w:spacing w:after="0"/>
              <w:rPr>
                <w:sz w:val="19"/>
                <w:szCs w:val="19"/>
                <w:color w:val="auto"/>
              </w:rPr>
            </w:pPr>
          </w:p>
        </w:tc>
        <w:tc>
          <w:tcPr>
            <w:tcW w:w="9740" w:type="dxa"/>
            <w:vAlign w:val="bottom"/>
          </w:tcPr>
          <w:p>
            <w:pPr>
              <w:spacing w:after="0"/>
              <w:rPr>
                <w:sz w:val="19"/>
                <w:szCs w:val="19"/>
                <w:color w:val="auto"/>
              </w:rPr>
            </w:pP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Name of Issuer</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Federal Realty Investments Trust</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426"/>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1625 East Jefferson Street</w:t>
            </w:r>
          </w:p>
        </w:tc>
      </w:tr>
      <w:tr>
        <w:trPr>
          <w:trHeight w:val="222"/>
        </w:trPr>
        <w:tc>
          <w:tcPr>
            <w:tcW w:w="760" w:type="dxa"/>
            <w:vAlign w:val="bottom"/>
          </w:tcPr>
          <w:p>
            <w:pPr>
              <w:spacing w:after="0"/>
              <w:rPr>
                <w:sz w:val="19"/>
                <w:szCs w:val="19"/>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Rockville MD 20852-4041</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Name of Person Filing</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Stichting Pensioenfonds ABP</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Oude Lindestraat 70, Postbus 2889, 6401 DL The Kingdom of the Netherlands</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(c)</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Citizenship</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The Kingdom of the Netherlands</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(d)</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Common Stock, par valu $0.01 per share</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(e)</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CUSIP Number</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313747206</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000" w:type="dxa"/>
            <w:vAlign w:val="bottom"/>
            <w:gridSpan w:val="2"/>
          </w:tcPr>
          <w:p>
            <w:pPr>
              <w:ind w:left="1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(c)</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(d)</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Investment company registered under section 8 of the Investment Company Act of 1940 (15 U.S.C 80a-8).</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(e)</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An investment adviser in accordance with §240.13d-1(b)(1)(ii)(E);</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(f)</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(g)</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(h)</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A savings associations as defined in Section 3(b) of the Federal Deposit Insurance Act (12 U.S.C. 1813);</w:t>
            </w:r>
          </w:p>
        </w:tc>
      </w:tr>
      <w:tr>
        <w:trPr>
          <w:trHeight w:val="264"/>
        </w:trPr>
        <w:tc>
          <w:tcPr>
            <w:tcW w:w="760" w:type="dxa"/>
            <w:vAlign w:val="bottom"/>
          </w:tcPr>
          <w:p>
            <w:pPr>
              <w:ind w:left="440"/>
              <w:spacing w:after="0"/>
              <w:rPr>
                <w:sz w:val="20"/>
                <w:szCs w:val="20"/>
                <w:color w:val="auto"/>
              </w:rPr>
            </w:pPr>
            <w:r>
              <w:rPr>
                <w:rFonts w:ascii="Arial" w:cs="Arial" w:eastAsia="Arial" w:hAnsi="Arial"/>
                <w:sz w:val="18"/>
                <w:szCs w:val="18"/>
                <w:color w:val="auto"/>
              </w:rPr>
              <w:t>(i)</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w w:val="91"/>
              </w:rPr>
              <w:t>]  A church plan that is excluded from the definition of an investment company under section 3(c)(14) of the Investment Company Act</w:t>
            </w:r>
          </w:p>
        </w:tc>
      </w:tr>
      <w:tr>
        <w:trPr>
          <w:trHeight w:val="222"/>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of 1940 (15 U.S.C. 80a-3);</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(j)</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Group, in accordance with §240.13d-1(b)(1)(ii)(J).</w:t>
            </w:r>
          </w:p>
        </w:tc>
      </w:tr>
    </w:tbl>
    <w:p>
      <w:pPr>
        <w:spacing w:after="0" w:line="3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69" w:lineRule="exact"/>
        <w:rPr>
          <w:sz w:val="20"/>
          <w:szCs w:val="20"/>
          <w:color w:val="auto"/>
        </w:rPr>
      </w:pPr>
    </w:p>
    <w:p>
      <w:pPr>
        <w:ind w:left="880" w:right="7880" w:hanging="439"/>
        <w:spacing w:after="0" w:line="40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2,914,551</w:t>
      </w:r>
    </w:p>
    <w:p>
      <w:pPr>
        <w:ind w:left="880" w:hanging="43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ectPr>
          <w:pgSz w:w="11900" w:h="16866" w:orient="portrait"/>
          <w:cols w:equalWidth="0" w:num="1">
            <w:col w:w="10760"/>
          </w:cols>
          <w:pgMar w:left="280" w:top="482" w:right="859" w:bottom="0" w:gutter="0" w:footer="0" w:header="0"/>
        </w:sectPr>
      </w:pPr>
    </w:p>
    <w:bookmarkStart w:id="2" w:name="page3"/>
    <w:bookmarkEnd w:id="2"/>
    <w:p>
      <w:pPr>
        <w:ind w:left="880"/>
        <w:spacing w:after="0"/>
        <w:rPr>
          <w:sz w:val="20"/>
          <w:szCs w:val="20"/>
          <w:color w:val="auto"/>
        </w:rPr>
      </w:pPr>
      <w:r>
        <w:rPr>
          <w:rFonts w:ascii="Arial" w:cs="Arial" w:eastAsia="Arial" w:hAnsi="Arial"/>
          <w:sz w:val="18"/>
          <w:szCs w:val="18"/>
          <w:color w:val="auto"/>
        </w:rPr>
        <w:t>5.27%</w:t>
      </w:r>
    </w:p>
    <w:p>
      <w:pPr>
        <w:spacing w:after="0" w:line="6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(c)</w:t>
        <w:tab/>
        <w:t>Number of shares as to which the person has:</w:t>
      </w:r>
    </w:p>
    <w:p>
      <w:pPr>
        <w:spacing w:after="0" w:line="6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(i)</w:t>
        <w:tab/>
        <w:t>Sole power to vote or to direct the vote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2,914,551</w:t>
      </w:r>
    </w:p>
    <w:p>
      <w:pPr>
        <w:spacing w:after="0" w:line="6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(ii)</w:t>
        <w:tab/>
        <w:t>Shared power to vote or to direct the vote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0</w:t>
      </w:r>
    </w:p>
    <w:p>
      <w:pPr>
        <w:spacing w:after="0" w:line="6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5"/>
          <w:szCs w:val="15"/>
          <w:color w:val="auto"/>
        </w:rPr>
        <w:t>Sole power to dispose or to direct the disposition 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2,914,551</w:t>
      </w:r>
    </w:p>
    <w:p>
      <w:pPr>
        <w:spacing w:after="0" w:line="63" w:lineRule="exact"/>
        <w:rPr>
          <w:sz w:val="20"/>
          <w:szCs w:val="20"/>
          <w:color w:val="auto"/>
        </w:rPr>
      </w:pPr>
    </w:p>
    <w:p>
      <w:pPr>
        <w:ind w:left="880"/>
        <w:spacing w:after="0"/>
        <w:tabs>
          <w:tab w:leader="none" w:pos="1280" w:val="left"/>
        </w:tabs>
        <w:rPr>
          <w:sz w:val="20"/>
          <w:szCs w:val="20"/>
          <w:color w:val="auto"/>
        </w:rPr>
      </w:pPr>
      <w:r>
        <w:rPr>
          <w:rFonts w:ascii="Arial" w:cs="Arial" w:eastAsia="Arial" w:hAnsi="Arial"/>
          <w:sz w:val="18"/>
          <w:szCs w:val="18"/>
          <w:color w:val="auto"/>
        </w:rPr>
        <w:t>(iv)</w:t>
        <w:tab/>
        <w:t>Shared power to dispose or to direct the disposition 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0</w:t>
      </w:r>
    </w:p>
    <w:p>
      <w:pPr>
        <w:spacing w:after="0" w:line="35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w:t>
      </w:r>
    </w:p>
    <w:p>
      <w:pPr>
        <w:spacing w:after="0" w:line="38" w:lineRule="exact"/>
        <w:rPr>
          <w:sz w:val="20"/>
          <w:szCs w:val="20"/>
          <w:color w:val="auto"/>
        </w:rPr>
      </w:pPr>
    </w:p>
    <w:p>
      <w:pPr>
        <w:ind w:left="880"/>
        <w:spacing w:after="0"/>
        <w:tabs>
          <w:tab w:leader="none" w:pos="5520" w:val="left"/>
        </w:tabs>
        <w:rPr>
          <w:sz w:val="20"/>
          <w:szCs w:val="20"/>
          <w:color w:val="auto"/>
        </w:rPr>
      </w:pPr>
      <w:r>
        <w:rPr>
          <w:rFonts w:ascii="Arial" w:cs="Arial" w:eastAsia="Arial" w:hAnsi="Arial"/>
          <w:sz w:val="16"/>
          <w:szCs w:val="16"/>
          <w:color w:val="auto"/>
        </w:rPr>
        <w:t>than five percent of the class of securities, check the following [</w:t>
        <w:tab/>
        <w: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80" w:hanging="877"/>
        <w:spacing w:after="0" w:line="275" w:lineRule="auto"/>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3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5"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08, 2007</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Stichting Pensioenfonds ABP</w:t>
      </w:r>
    </w:p>
    <w:p>
      <w:pPr>
        <w:spacing w:after="0" w:line="200" w:lineRule="exact"/>
        <w:rPr>
          <w:sz w:val="20"/>
          <w:szCs w:val="20"/>
          <w:color w:val="auto"/>
        </w:rPr>
      </w:pPr>
    </w:p>
    <w:p>
      <w:pPr>
        <w:spacing w:after="0" w:line="322" w:lineRule="exact"/>
        <w:rPr>
          <w:sz w:val="20"/>
          <w:szCs w:val="20"/>
          <w:color w:val="auto"/>
        </w:rPr>
      </w:pPr>
    </w:p>
    <w:p>
      <w:pPr>
        <w:ind w:left="54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 Killion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58420</wp:posOffset>
            </wp:positionV>
            <wp:extent cx="304863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8635" cy="342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Kim Killion</w:t>
      </w:r>
    </w:p>
    <w:p>
      <w:pPr>
        <w:spacing w:after="0" w:line="36"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Acting Chief Compliance Officer</w:t>
      </w:r>
    </w:p>
    <w:p>
      <w:pPr>
        <w:sectPr>
          <w:pgSz w:w="11900" w:h="16838" w:orient="portrait"/>
          <w:cols w:equalWidth="0" w:num="1">
            <w:col w:w="10780"/>
          </w:cols>
          <w:pgMar w:left="280" w:top="34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684784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sectPr>
      <w:pgSz w:w="11900" w:h="16838" w:orient="portrait"/>
      <w:cols w:equalWidth="0" w:num="1">
        <w:col w:w="10780"/>
      </w:cols>
      <w:pgMar w:left="280" w:top="347" w:right="8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1"/>
    </w:lvl>
    <w:lvl w:ilvl="1">
      <w:lvlJc w:val="left"/>
      <w:lvlText w:val="%2."/>
      <w:numFmt w:val="decimal"/>
      <w:start w:val="8"/>
    </w:lvl>
  </w:abstractNum>
  <w:abstractNum w:abstractNumId="4">
    <w:nsid w:val="507ED7AB"/>
    <w:multiLevelType w:val="hybridMultilevel"/>
    <w:lvl w:ilvl="0">
      <w:lvlJc w:val="left"/>
      <w:lvlText w:val="%1."/>
      <w:numFmt w:val="decimal"/>
      <w:start w:val="9"/>
    </w:lvl>
    <w:lvl w:ilvl="1">
      <w:lvlJc w:val="left"/>
      <w:lvlText w:val="%2"/>
      <w:numFmt w:val="decimal"/>
      <w:start w:val="1"/>
    </w:lvl>
  </w:abstractNum>
  <w:abstractNum w:abstractNumId="5">
    <w:nsid w:val="2EB141F2"/>
    <w:multiLevelType w:val="hybridMultilevel"/>
    <w:lvl w:ilvl="0">
      <w:lvlJc w:val="left"/>
      <w:lvlText w:val="%1."/>
      <w:numFmt w:val="decimal"/>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2019-12-11T17:15:23Z</dcterms:created>
  <dcterms:modified xsi:type="dcterms:W3CDTF">2019-12-11T17:15:23Z</dcterms:modified>
</cp:coreProperties>
</file>