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25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Date of Report (Date of earliest event reported) May 6, 2020</w:t>
      </w:r>
    </w:p>
    <w:p>
      <w:pPr>
        <w:spacing w:after="0" w:line="200" w:lineRule="exact"/>
        <w:rPr>
          <w:sz w:val="24"/>
          <w:szCs w:val="24"/>
          <w:color w:val="auto"/>
        </w:rPr>
      </w:pPr>
    </w:p>
    <w:p>
      <w:pPr>
        <w:spacing w:after="0" w:line="368"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40" w:lineRule="exact"/>
        <w:rPr>
          <w:sz w:val="24"/>
          <w:szCs w:val="24"/>
          <w:color w:val="auto"/>
        </w:rPr>
      </w:pPr>
    </w:p>
    <w:tbl>
      <w:tblPr>
        <w:tblLayout w:type="fixed"/>
        <w:tblInd w:w="160" w:type="dxa"/>
        <w:tblCellMar>
          <w:top w:w="0" w:type="dxa"/>
          <w:left w:w="0" w:type="dxa"/>
          <w:bottom w:w="0" w:type="dxa"/>
          <w:right w:w="0" w:type="dxa"/>
        </w:tblCellMar>
      </w:tblPr>
      <w:tr>
        <w:trPr>
          <w:trHeight w:val="234"/>
        </w:trPr>
        <w:tc>
          <w:tcPr>
            <w:tcW w:w="4000" w:type="dxa"/>
            <w:vAlign w:val="bottom"/>
            <w:gridSpan w:val="3"/>
          </w:tcPr>
          <w:p>
            <w:pPr>
              <w:jc w:val="center"/>
              <w:ind w:right="610"/>
              <w:spacing w:after="0"/>
              <w:rPr>
                <w:sz w:val="20"/>
                <w:szCs w:val="20"/>
                <w:color w:val="auto"/>
              </w:rPr>
            </w:pPr>
            <w:r>
              <w:rPr>
                <w:rFonts w:ascii="Arial" w:cs="Arial" w:eastAsia="Arial" w:hAnsi="Arial"/>
                <w:sz w:val="18"/>
                <w:szCs w:val="18"/>
                <w:b w:val="1"/>
                <w:bCs w:val="1"/>
                <w:color w:val="auto"/>
                <w:w w:val="98"/>
              </w:rPr>
              <w:t>Maryland</w:t>
            </w:r>
          </w:p>
        </w:tc>
        <w:tc>
          <w:tcPr>
            <w:tcW w:w="920" w:type="dxa"/>
            <w:vAlign w:val="bottom"/>
          </w:tcPr>
          <w:p>
            <w:pPr>
              <w:spacing w:after="0"/>
              <w:rPr>
                <w:sz w:val="20"/>
                <w:szCs w:val="20"/>
                <w:color w:val="auto"/>
              </w:rPr>
            </w:pPr>
          </w:p>
        </w:tc>
        <w:tc>
          <w:tcPr>
            <w:tcW w:w="1100" w:type="dxa"/>
            <w:vAlign w:val="bottom"/>
          </w:tcPr>
          <w:p>
            <w:pPr>
              <w:jc w:val="center"/>
              <w:ind w:right="19"/>
              <w:spacing w:after="0"/>
              <w:rPr>
                <w:sz w:val="20"/>
                <w:szCs w:val="20"/>
                <w:color w:val="auto"/>
              </w:rPr>
            </w:pPr>
            <w:r>
              <w:rPr>
                <w:rFonts w:ascii="Arial" w:cs="Arial" w:eastAsia="Arial" w:hAnsi="Arial"/>
                <w:sz w:val="18"/>
                <w:szCs w:val="18"/>
                <w:b w:val="1"/>
                <w:bCs w:val="1"/>
                <w:color w:val="auto"/>
                <w:w w:val="90"/>
              </w:rPr>
              <w:t>1-07533</w:t>
            </w:r>
          </w:p>
        </w:tc>
        <w:tc>
          <w:tcPr>
            <w:tcW w:w="1140" w:type="dxa"/>
            <w:vAlign w:val="bottom"/>
          </w:tcPr>
          <w:p>
            <w:pPr>
              <w:spacing w:after="0"/>
              <w:rPr>
                <w:sz w:val="20"/>
                <w:szCs w:val="20"/>
                <w:color w:val="auto"/>
              </w:rPr>
            </w:pPr>
          </w:p>
        </w:tc>
        <w:tc>
          <w:tcPr>
            <w:tcW w:w="3220" w:type="dxa"/>
            <w:vAlign w:val="bottom"/>
          </w:tcPr>
          <w:p>
            <w:pPr>
              <w:jc w:val="center"/>
              <w:ind w:left="844"/>
              <w:spacing w:after="0"/>
              <w:rPr>
                <w:sz w:val="20"/>
                <w:szCs w:val="20"/>
                <w:color w:val="auto"/>
              </w:rPr>
            </w:pPr>
            <w:r>
              <w:rPr>
                <w:rFonts w:ascii="Arial" w:cs="Arial" w:eastAsia="Arial" w:hAnsi="Arial"/>
                <w:sz w:val="18"/>
                <w:szCs w:val="18"/>
                <w:b w:val="1"/>
                <w:bCs w:val="1"/>
                <w:color w:val="auto"/>
                <w:w w:val="89"/>
              </w:rPr>
              <w:t>52-0782497</w:t>
            </w:r>
          </w:p>
        </w:tc>
      </w:tr>
      <w:tr>
        <w:trPr>
          <w:trHeight w:val="171"/>
        </w:trPr>
        <w:tc>
          <w:tcPr>
            <w:tcW w:w="4000" w:type="dxa"/>
            <w:vAlign w:val="bottom"/>
            <w:gridSpan w:val="3"/>
          </w:tcPr>
          <w:p>
            <w:pPr>
              <w:jc w:val="center"/>
              <w:ind w:right="610"/>
              <w:spacing w:after="0"/>
              <w:rPr>
                <w:sz w:val="20"/>
                <w:szCs w:val="20"/>
                <w:color w:val="auto"/>
              </w:rPr>
            </w:pPr>
            <w:r>
              <w:rPr>
                <w:rFonts w:ascii="Arial" w:cs="Arial" w:eastAsia="Arial" w:hAnsi="Arial"/>
                <w:sz w:val="13"/>
                <w:szCs w:val="13"/>
                <w:b w:val="1"/>
                <w:bCs w:val="1"/>
                <w:color w:val="auto"/>
                <w:w w:val="87"/>
              </w:rPr>
              <w:t>(State or other jurisdiction</w:t>
            </w:r>
          </w:p>
        </w:tc>
        <w:tc>
          <w:tcPr>
            <w:tcW w:w="920" w:type="dxa"/>
            <w:vAlign w:val="bottom"/>
          </w:tcPr>
          <w:p>
            <w:pPr>
              <w:spacing w:after="0"/>
              <w:rPr>
                <w:sz w:val="14"/>
                <w:szCs w:val="14"/>
                <w:color w:val="auto"/>
              </w:rPr>
            </w:pPr>
          </w:p>
        </w:tc>
        <w:tc>
          <w:tcPr>
            <w:tcW w:w="2240" w:type="dxa"/>
            <w:vAlign w:val="bottom"/>
            <w:gridSpan w:val="2"/>
          </w:tcPr>
          <w:p>
            <w:pPr>
              <w:jc w:val="center"/>
              <w:ind w:right="1220"/>
              <w:spacing w:after="0"/>
              <w:rPr>
                <w:sz w:val="20"/>
                <w:szCs w:val="20"/>
                <w:color w:val="auto"/>
              </w:rPr>
            </w:pPr>
            <w:r>
              <w:rPr>
                <w:rFonts w:ascii="Arial" w:cs="Arial" w:eastAsia="Arial" w:hAnsi="Arial"/>
                <w:sz w:val="13"/>
                <w:szCs w:val="13"/>
                <w:b w:val="1"/>
                <w:bCs w:val="1"/>
                <w:color w:val="auto"/>
                <w:w w:val="84"/>
              </w:rPr>
              <w:t>(Commission</w:t>
            </w:r>
          </w:p>
        </w:tc>
        <w:tc>
          <w:tcPr>
            <w:tcW w:w="3220" w:type="dxa"/>
            <w:vAlign w:val="bottom"/>
          </w:tcPr>
          <w:p>
            <w:pPr>
              <w:jc w:val="center"/>
              <w:ind w:left="844"/>
              <w:spacing w:after="0"/>
              <w:rPr>
                <w:sz w:val="20"/>
                <w:szCs w:val="20"/>
                <w:color w:val="auto"/>
              </w:rPr>
            </w:pPr>
            <w:r>
              <w:rPr>
                <w:rFonts w:ascii="Arial" w:cs="Arial" w:eastAsia="Arial" w:hAnsi="Arial"/>
                <w:sz w:val="13"/>
                <w:szCs w:val="13"/>
                <w:b w:val="1"/>
                <w:bCs w:val="1"/>
                <w:color w:val="auto"/>
                <w:w w:val="92"/>
              </w:rPr>
              <w:t>(IRS Employer</w:t>
            </w:r>
          </w:p>
        </w:tc>
      </w:tr>
      <w:tr>
        <w:trPr>
          <w:trHeight w:val="164"/>
        </w:trPr>
        <w:tc>
          <w:tcPr>
            <w:tcW w:w="4000" w:type="dxa"/>
            <w:vAlign w:val="bottom"/>
            <w:gridSpan w:val="3"/>
          </w:tcPr>
          <w:p>
            <w:pPr>
              <w:jc w:val="center"/>
              <w:ind w:right="590"/>
              <w:spacing w:after="0"/>
              <w:rPr>
                <w:sz w:val="20"/>
                <w:szCs w:val="20"/>
                <w:color w:val="auto"/>
              </w:rPr>
            </w:pPr>
            <w:r>
              <w:rPr>
                <w:rFonts w:ascii="Arial" w:cs="Arial" w:eastAsia="Arial" w:hAnsi="Arial"/>
                <w:sz w:val="13"/>
                <w:szCs w:val="13"/>
                <w:b w:val="1"/>
                <w:bCs w:val="1"/>
                <w:color w:val="auto"/>
                <w:w w:val="88"/>
              </w:rPr>
              <w:t>of incorporation)</w:t>
            </w:r>
          </w:p>
        </w:tc>
        <w:tc>
          <w:tcPr>
            <w:tcW w:w="920" w:type="dxa"/>
            <w:vAlign w:val="bottom"/>
          </w:tcPr>
          <w:p>
            <w:pPr>
              <w:spacing w:after="0"/>
              <w:rPr>
                <w:sz w:val="14"/>
                <w:szCs w:val="14"/>
                <w:color w:val="auto"/>
              </w:rPr>
            </w:pPr>
          </w:p>
        </w:tc>
        <w:tc>
          <w:tcPr>
            <w:tcW w:w="2240" w:type="dxa"/>
            <w:vAlign w:val="bottom"/>
            <w:gridSpan w:val="2"/>
          </w:tcPr>
          <w:p>
            <w:pPr>
              <w:jc w:val="center"/>
              <w:ind w:right="1240"/>
              <w:spacing w:after="0"/>
              <w:rPr>
                <w:sz w:val="20"/>
                <w:szCs w:val="20"/>
                <w:color w:val="auto"/>
              </w:rPr>
            </w:pPr>
            <w:r>
              <w:rPr>
                <w:rFonts w:ascii="Arial" w:cs="Arial" w:eastAsia="Arial" w:hAnsi="Arial"/>
                <w:sz w:val="13"/>
                <w:szCs w:val="13"/>
                <w:b w:val="1"/>
                <w:bCs w:val="1"/>
                <w:color w:val="auto"/>
                <w:w w:val="90"/>
              </w:rPr>
              <w:t>File Number)</w:t>
            </w:r>
          </w:p>
        </w:tc>
        <w:tc>
          <w:tcPr>
            <w:tcW w:w="3220" w:type="dxa"/>
            <w:vAlign w:val="bottom"/>
          </w:tcPr>
          <w:p>
            <w:pPr>
              <w:jc w:val="center"/>
              <w:ind w:left="844"/>
              <w:spacing w:after="0"/>
              <w:rPr>
                <w:sz w:val="20"/>
                <w:szCs w:val="20"/>
                <w:color w:val="auto"/>
              </w:rPr>
            </w:pPr>
            <w:r>
              <w:rPr>
                <w:rFonts w:ascii="Arial" w:cs="Arial" w:eastAsia="Arial" w:hAnsi="Arial"/>
                <w:sz w:val="13"/>
                <w:szCs w:val="13"/>
                <w:b w:val="1"/>
                <w:bCs w:val="1"/>
                <w:color w:val="auto"/>
                <w:w w:val="89"/>
              </w:rPr>
              <w:t>Identification No.)</w:t>
            </w:r>
          </w:p>
        </w:tc>
      </w:tr>
      <w:tr>
        <w:trPr>
          <w:trHeight w:val="596"/>
        </w:trPr>
        <w:tc>
          <w:tcPr>
            <w:tcW w:w="1500" w:type="dxa"/>
            <w:vAlign w:val="bottom"/>
          </w:tcPr>
          <w:p>
            <w:pPr>
              <w:spacing w:after="0"/>
              <w:rPr>
                <w:sz w:val="24"/>
                <w:szCs w:val="24"/>
                <w:color w:val="auto"/>
              </w:rPr>
            </w:pPr>
          </w:p>
        </w:tc>
        <w:tc>
          <w:tcPr>
            <w:tcW w:w="2500" w:type="dxa"/>
            <w:vAlign w:val="bottom"/>
            <w:gridSpan w:val="2"/>
          </w:tcPr>
          <w:p>
            <w:pPr>
              <w:ind w:left="200"/>
              <w:spacing w:after="0"/>
              <w:rPr>
                <w:sz w:val="20"/>
                <w:szCs w:val="20"/>
                <w:color w:val="auto"/>
              </w:rPr>
            </w:pPr>
            <w:r>
              <w:rPr>
                <w:rFonts w:ascii="Arial" w:cs="Arial" w:eastAsia="Arial" w:hAnsi="Arial"/>
                <w:sz w:val="18"/>
                <w:szCs w:val="18"/>
                <w:b w:val="1"/>
                <w:bCs w:val="1"/>
                <w:color w:val="auto"/>
                <w:w w:val="99"/>
              </w:rPr>
              <w:t>1626 East Jefferson Street,</w:t>
            </w:r>
          </w:p>
        </w:tc>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Rockville,</w:t>
            </w:r>
          </w:p>
        </w:tc>
        <w:tc>
          <w:tcPr>
            <w:tcW w:w="2240" w:type="dxa"/>
            <w:vAlign w:val="bottom"/>
            <w:gridSpan w:val="2"/>
          </w:tcPr>
          <w:p>
            <w:pPr>
              <w:ind w:left="240"/>
              <w:spacing w:after="0"/>
              <w:rPr>
                <w:sz w:val="20"/>
                <w:szCs w:val="20"/>
                <w:color w:val="auto"/>
              </w:rPr>
            </w:pPr>
            <w:r>
              <w:rPr>
                <w:rFonts w:ascii="Arial" w:cs="Arial" w:eastAsia="Arial" w:hAnsi="Arial"/>
                <w:sz w:val="18"/>
                <w:szCs w:val="18"/>
                <w:b w:val="1"/>
                <w:bCs w:val="1"/>
                <w:color w:val="auto"/>
              </w:rPr>
              <w:t>Maryland</w:t>
            </w:r>
          </w:p>
        </w:tc>
        <w:tc>
          <w:tcPr>
            <w:tcW w:w="3220" w:type="dxa"/>
            <w:vAlign w:val="bottom"/>
          </w:tcPr>
          <w:p>
            <w:pPr>
              <w:jc w:val="right"/>
              <w:ind w:right="2044"/>
              <w:spacing w:after="0"/>
              <w:rPr>
                <w:sz w:val="20"/>
                <w:szCs w:val="20"/>
                <w:color w:val="auto"/>
              </w:rPr>
            </w:pPr>
            <w:r>
              <w:rPr>
                <w:rFonts w:ascii="Arial" w:cs="Arial" w:eastAsia="Arial" w:hAnsi="Arial"/>
                <w:sz w:val="18"/>
                <w:szCs w:val="18"/>
                <w:b w:val="1"/>
                <w:bCs w:val="1"/>
                <w:color w:val="auto"/>
              </w:rPr>
              <w:t>20852-4041</w:t>
            </w:r>
          </w:p>
        </w:tc>
      </w:tr>
      <w:tr>
        <w:trPr>
          <w:trHeight w:val="281"/>
        </w:trPr>
        <w:tc>
          <w:tcPr>
            <w:tcW w:w="1500" w:type="dxa"/>
            <w:vAlign w:val="bottom"/>
          </w:tcPr>
          <w:p>
            <w:pPr>
              <w:spacing w:after="0"/>
              <w:rPr>
                <w:sz w:val="24"/>
                <w:szCs w:val="24"/>
                <w:color w:val="auto"/>
              </w:rPr>
            </w:pPr>
          </w:p>
        </w:tc>
        <w:tc>
          <w:tcPr>
            <w:tcW w:w="3420" w:type="dxa"/>
            <w:vAlign w:val="bottom"/>
            <w:gridSpan w:val="3"/>
          </w:tcPr>
          <w:p>
            <w:pPr>
              <w:ind w:left="1300"/>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20" w:type="dxa"/>
            <w:vAlign w:val="bottom"/>
          </w:tcPr>
          <w:p>
            <w:pPr>
              <w:jc w:val="center"/>
              <w:ind w:right="1804"/>
              <w:spacing w:after="0"/>
              <w:rPr>
                <w:sz w:val="20"/>
                <w:szCs w:val="20"/>
                <w:color w:val="auto"/>
              </w:rPr>
            </w:pPr>
            <w:r>
              <w:rPr>
                <w:rFonts w:ascii="Arial" w:cs="Arial" w:eastAsia="Arial" w:hAnsi="Arial"/>
                <w:sz w:val="13"/>
                <w:szCs w:val="13"/>
                <w:b w:val="1"/>
                <w:bCs w:val="1"/>
                <w:color w:val="auto"/>
                <w:w w:val="90"/>
              </w:rPr>
              <w:t>(Zip Code)</w:t>
            </w:r>
          </w:p>
        </w:tc>
      </w:tr>
      <w:tr>
        <w:trPr>
          <w:trHeight w:val="394"/>
        </w:trPr>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580" w:type="dxa"/>
            <w:vAlign w:val="bottom"/>
            <w:gridSpan w:val="5"/>
          </w:tcPr>
          <w:p>
            <w:pPr>
              <w:jc w:val="center"/>
              <w:ind w:right="2164"/>
              <w:spacing w:after="0"/>
              <w:rPr>
                <w:sz w:val="20"/>
                <w:szCs w:val="20"/>
                <w:color w:val="auto"/>
              </w:rPr>
            </w:pPr>
            <w:r>
              <w:rPr>
                <w:rFonts w:ascii="Arial" w:cs="Arial" w:eastAsia="Arial" w:hAnsi="Arial"/>
                <w:sz w:val="18"/>
                <w:szCs w:val="18"/>
                <w:b w:val="1"/>
                <w:bCs w:val="1"/>
                <w:color w:val="auto"/>
                <w:w w:val="89"/>
              </w:rPr>
              <w:t>Registrant's telephone number including area code: 301/998-8100</w:t>
            </w:r>
          </w:p>
        </w:tc>
      </w:tr>
      <w:tr>
        <w:trPr>
          <w:trHeight w:val="405"/>
        </w:trPr>
        <w:tc>
          <w:tcPr>
            <w:tcW w:w="1500" w:type="dxa"/>
            <w:vAlign w:val="bottom"/>
          </w:tcPr>
          <w:p>
            <w:pPr>
              <w:spacing w:after="0"/>
              <w:rPr>
                <w:sz w:val="24"/>
                <w:szCs w:val="24"/>
                <w:color w:val="auto"/>
              </w:rPr>
            </w:pPr>
          </w:p>
        </w:tc>
        <w:tc>
          <w:tcPr>
            <w:tcW w:w="2500" w:type="dxa"/>
            <w:vAlign w:val="bottom"/>
            <w:gridSpan w:val="2"/>
          </w:tcPr>
          <w:p>
            <w:pPr>
              <w:jc w:val="center"/>
              <w:ind w:right="1110"/>
              <w:spacing w:after="0"/>
              <w:rPr>
                <w:sz w:val="20"/>
                <w:szCs w:val="20"/>
                <w:color w:val="auto"/>
              </w:rPr>
            </w:pPr>
            <w:r>
              <w:rPr>
                <w:rFonts w:ascii="Arial" w:cs="Arial" w:eastAsia="Arial" w:hAnsi="Arial"/>
                <w:sz w:val="16"/>
                <w:szCs w:val="16"/>
                <w:b w:val="1"/>
                <w:bCs w:val="1"/>
                <w:color w:val="auto"/>
                <w:w w:val="91"/>
              </w:rPr>
              <w:t>Title of Each Class</w:t>
            </w:r>
          </w:p>
        </w:tc>
        <w:tc>
          <w:tcPr>
            <w:tcW w:w="920" w:type="dxa"/>
            <w:vAlign w:val="bottom"/>
          </w:tcPr>
          <w:p>
            <w:pPr>
              <w:spacing w:after="0"/>
              <w:rPr>
                <w:sz w:val="24"/>
                <w:szCs w:val="24"/>
                <w:color w:val="auto"/>
              </w:rPr>
            </w:pPr>
          </w:p>
        </w:tc>
        <w:tc>
          <w:tcPr>
            <w:tcW w:w="2240" w:type="dxa"/>
            <w:vAlign w:val="bottom"/>
            <w:gridSpan w:val="2"/>
          </w:tcPr>
          <w:p>
            <w:pPr>
              <w:jc w:val="center"/>
              <w:ind w:right="1140"/>
              <w:spacing w:after="0"/>
              <w:rPr>
                <w:sz w:val="20"/>
                <w:szCs w:val="20"/>
                <w:color w:val="auto"/>
              </w:rPr>
            </w:pPr>
            <w:r>
              <w:rPr>
                <w:rFonts w:ascii="Arial" w:cs="Arial" w:eastAsia="Arial" w:hAnsi="Arial"/>
                <w:sz w:val="16"/>
                <w:szCs w:val="16"/>
                <w:b w:val="1"/>
                <w:bCs w:val="1"/>
                <w:color w:val="auto"/>
                <w:w w:val="90"/>
              </w:rPr>
              <w:t>Trading Symbol</w:t>
            </w:r>
          </w:p>
        </w:tc>
        <w:tc>
          <w:tcPr>
            <w:tcW w:w="3220" w:type="dxa"/>
            <w:vAlign w:val="bottom"/>
          </w:tcPr>
          <w:p>
            <w:pPr>
              <w:jc w:val="center"/>
              <w:spacing w:after="0"/>
              <w:rPr>
                <w:sz w:val="20"/>
                <w:szCs w:val="20"/>
                <w:color w:val="auto"/>
              </w:rPr>
            </w:pPr>
            <w:r>
              <w:rPr>
                <w:rFonts w:ascii="Arial" w:cs="Arial" w:eastAsia="Arial" w:hAnsi="Arial"/>
                <w:sz w:val="16"/>
                <w:szCs w:val="16"/>
                <w:b w:val="1"/>
                <w:bCs w:val="1"/>
                <w:color w:val="auto"/>
                <w:w w:val="91"/>
              </w:rPr>
              <w:t>Name of Each Exchange On Which Registered</w:t>
            </w:r>
          </w:p>
        </w:tc>
      </w:tr>
      <w:tr>
        <w:trPr>
          <w:trHeight w:val="20"/>
        </w:trPr>
        <w:tc>
          <w:tcPr>
            <w:tcW w:w="15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r>
      <w:tr>
        <w:trPr>
          <w:trHeight w:val="290"/>
        </w:trPr>
        <w:tc>
          <w:tcPr>
            <w:tcW w:w="4000" w:type="dxa"/>
            <w:vAlign w:val="bottom"/>
            <w:gridSpan w:val="3"/>
          </w:tcPr>
          <w:p>
            <w:pPr>
              <w:jc w:val="center"/>
              <w:ind w:left="244"/>
              <w:spacing w:after="0"/>
              <w:rPr>
                <w:sz w:val="20"/>
                <w:szCs w:val="20"/>
                <w:color w:val="auto"/>
              </w:rPr>
            </w:pPr>
            <w:r>
              <w:rPr>
                <w:rFonts w:ascii="Arial" w:cs="Arial" w:eastAsia="Arial" w:hAnsi="Arial"/>
                <w:sz w:val="16"/>
                <w:szCs w:val="16"/>
                <w:color w:val="auto"/>
                <w:w w:val="92"/>
              </w:rPr>
              <w:t>Common Shares of Beneficial Interest</w:t>
            </w:r>
          </w:p>
        </w:tc>
        <w:tc>
          <w:tcPr>
            <w:tcW w:w="920" w:type="dxa"/>
            <w:vAlign w:val="bottom"/>
          </w:tcPr>
          <w:p>
            <w:pPr>
              <w:spacing w:after="0"/>
              <w:rPr>
                <w:sz w:val="24"/>
                <w:szCs w:val="24"/>
                <w:color w:val="auto"/>
              </w:rPr>
            </w:pPr>
          </w:p>
        </w:tc>
        <w:tc>
          <w:tcPr>
            <w:tcW w:w="2240" w:type="dxa"/>
            <w:vAlign w:val="bottom"/>
            <w:gridSpan w:val="2"/>
          </w:tcPr>
          <w:p>
            <w:pPr>
              <w:jc w:val="center"/>
              <w:ind w:right="1120"/>
              <w:spacing w:after="0"/>
              <w:rPr>
                <w:sz w:val="20"/>
                <w:szCs w:val="20"/>
                <w:color w:val="auto"/>
              </w:rPr>
            </w:pPr>
            <w:r>
              <w:rPr>
                <w:rFonts w:ascii="Arial" w:cs="Arial" w:eastAsia="Arial" w:hAnsi="Arial"/>
                <w:sz w:val="18"/>
                <w:szCs w:val="18"/>
                <w:color w:val="auto"/>
                <w:w w:val="91"/>
              </w:rPr>
              <w:t>FRT</w:t>
            </w:r>
          </w:p>
        </w:tc>
        <w:tc>
          <w:tcPr>
            <w:tcW w:w="322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r>
        <w:trPr>
          <w:trHeight w:val="247"/>
        </w:trPr>
        <w:tc>
          <w:tcPr>
            <w:tcW w:w="4920" w:type="dxa"/>
            <w:vAlign w:val="bottom"/>
            <w:gridSpan w:val="4"/>
          </w:tcPr>
          <w:p>
            <w:pPr>
              <w:jc w:val="center"/>
              <w:ind w:right="530"/>
              <w:spacing w:after="0"/>
              <w:rPr>
                <w:sz w:val="20"/>
                <w:szCs w:val="20"/>
                <w:color w:val="auto"/>
              </w:rPr>
            </w:pPr>
            <w:r>
              <w:rPr>
                <w:rFonts w:ascii="Arial" w:cs="Arial" w:eastAsia="Arial" w:hAnsi="Arial"/>
                <w:sz w:val="16"/>
                <w:szCs w:val="16"/>
                <w:color w:val="auto"/>
                <w:w w:val="89"/>
              </w:rPr>
              <w:t>$.01 par value per share, with associated Common Share Purchase</w:t>
            </w:r>
          </w:p>
        </w:tc>
        <w:tc>
          <w:tcPr>
            <w:tcW w:w="1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20" w:type="dxa"/>
            <w:vAlign w:val="bottom"/>
          </w:tcPr>
          <w:p>
            <w:pPr>
              <w:spacing w:after="0"/>
              <w:rPr>
                <w:sz w:val="21"/>
                <w:szCs w:val="21"/>
                <w:color w:val="auto"/>
              </w:rPr>
            </w:pPr>
          </w:p>
        </w:tc>
      </w:tr>
      <w:tr>
        <w:trPr>
          <w:trHeight w:val="206"/>
        </w:trPr>
        <w:tc>
          <w:tcPr>
            <w:tcW w:w="1500" w:type="dxa"/>
            <w:vAlign w:val="bottom"/>
          </w:tcPr>
          <w:p>
            <w:pPr>
              <w:spacing w:after="0"/>
              <w:rPr>
                <w:sz w:val="17"/>
                <w:szCs w:val="17"/>
                <w:color w:val="auto"/>
              </w:rPr>
            </w:pPr>
          </w:p>
        </w:tc>
        <w:tc>
          <w:tcPr>
            <w:tcW w:w="2500" w:type="dxa"/>
            <w:vAlign w:val="bottom"/>
            <w:gridSpan w:val="2"/>
          </w:tcPr>
          <w:p>
            <w:pPr>
              <w:jc w:val="center"/>
              <w:ind w:right="1110"/>
              <w:spacing w:after="0"/>
              <w:rPr>
                <w:sz w:val="20"/>
                <w:szCs w:val="20"/>
                <w:color w:val="auto"/>
              </w:rPr>
            </w:pPr>
            <w:r>
              <w:rPr>
                <w:rFonts w:ascii="Arial" w:cs="Arial" w:eastAsia="Arial" w:hAnsi="Arial"/>
                <w:sz w:val="16"/>
                <w:szCs w:val="16"/>
                <w:color w:val="auto"/>
                <w:w w:val="92"/>
              </w:rPr>
              <w:t>Rights</w:t>
            </w: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452"/>
        </w:trPr>
        <w:tc>
          <w:tcPr>
            <w:tcW w:w="4000" w:type="dxa"/>
            <w:vAlign w:val="bottom"/>
            <w:gridSpan w:val="3"/>
          </w:tcPr>
          <w:p>
            <w:pPr>
              <w:jc w:val="center"/>
              <w:ind w:left="244"/>
              <w:spacing w:after="0"/>
              <w:rPr>
                <w:sz w:val="20"/>
                <w:szCs w:val="20"/>
                <w:color w:val="auto"/>
              </w:rPr>
            </w:pPr>
            <w:r>
              <w:rPr>
                <w:rFonts w:ascii="Arial" w:cs="Arial" w:eastAsia="Arial" w:hAnsi="Arial"/>
                <w:sz w:val="16"/>
                <w:szCs w:val="16"/>
                <w:color w:val="auto"/>
                <w:w w:val="89"/>
              </w:rPr>
              <w:t>Depositary Shares, each representing 1/1000 of a share</w:t>
            </w:r>
          </w:p>
        </w:tc>
        <w:tc>
          <w:tcPr>
            <w:tcW w:w="920" w:type="dxa"/>
            <w:vAlign w:val="bottom"/>
          </w:tcPr>
          <w:p>
            <w:pPr>
              <w:spacing w:after="0"/>
              <w:rPr>
                <w:sz w:val="24"/>
                <w:szCs w:val="24"/>
                <w:color w:val="auto"/>
              </w:rPr>
            </w:pPr>
          </w:p>
        </w:tc>
        <w:tc>
          <w:tcPr>
            <w:tcW w:w="2240" w:type="dxa"/>
            <w:vAlign w:val="bottom"/>
            <w:gridSpan w:val="2"/>
          </w:tcPr>
          <w:p>
            <w:pPr>
              <w:jc w:val="center"/>
              <w:ind w:right="1140"/>
              <w:spacing w:after="0"/>
              <w:rPr>
                <w:sz w:val="20"/>
                <w:szCs w:val="20"/>
                <w:color w:val="auto"/>
              </w:rPr>
            </w:pPr>
            <w:r>
              <w:rPr>
                <w:rFonts w:ascii="Arial" w:cs="Arial" w:eastAsia="Arial" w:hAnsi="Arial"/>
                <w:sz w:val="18"/>
                <w:szCs w:val="18"/>
                <w:color w:val="auto"/>
                <w:w w:val="92"/>
              </w:rPr>
              <w:t>FRT-C</w:t>
            </w:r>
          </w:p>
        </w:tc>
        <w:tc>
          <w:tcPr>
            <w:tcW w:w="322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bl>
    <w:p>
      <w:pPr>
        <w:spacing w:after="0" w:line="44" w:lineRule="exact"/>
        <w:rPr>
          <w:sz w:val="24"/>
          <w:szCs w:val="24"/>
          <w:color w:val="auto"/>
        </w:rPr>
      </w:pPr>
    </w:p>
    <w:p>
      <w:pPr>
        <w:jc w:val="center"/>
        <w:ind w:right="6360"/>
        <w:spacing w:after="0"/>
        <w:rPr>
          <w:sz w:val="20"/>
          <w:szCs w:val="20"/>
          <w:color w:val="auto"/>
        </w:rPr>
      </w:pPr>
      <w:r>
        <w:rPr>
          <w:rFonts w:ascii="Arial" w:cs="Arial" w:eastAsia="Arial" w:hAnsi="Arial"/>
          <w:sz w:val="15"/>
          <w:szCs w:val="15"/>
          <w:color w:val="auto"/>
        </w:rPr>
        <w:t>of 5.00% Series C Cumulative Redeemable Preferred Stock, $.01 par</w:t>
      </w:r>
    </w:p>
    <w:p>
      <w:pPr>
        <w:spacing w:after="0" w:line="34" w:lineRule="exact"/>
        <w:rPr>
          <w:sz w:val="24"/>
          <w:szCs w:val="24"/>
          <w:color w:val="auto"/>
        </w:rPr>
      </w:pPr>
    </w:p>
    <w:p>
      <w:pPr>
        <w:jc w:val="center"/>
        <w:ind w:right="6360"/>
        <w:spacing w:after="0"/>
        <w:rPr>
          <w:sz w:val="20"/>
          <w:szCs w:val="20"/>
          <w:color w:val="auto"/>
        </w:rPr>
      </w:pPr>
      <w:r>
        <w:rPr>
          <w:rFonts w:ascii="Arial" w:cs="Arial" w:eastAsia="Arial" w:hAnsi="Arial"/>
          <w:sz w:val="16"/>
          <w:szCs w:val="16"/>
          <w:color w:val="auto"/>
        </w:rPr>
        <w:t>value per share</w:t>
      </w:r>
    </w:p>
    <w:p>
      <w:pPr>
        <w:spacing w:after="0" w:line="200" w:lineRule="exact"/>
        <w:rPr>
          <w:sz w:val="24"/>
          <w:szCs w:val="24"/>
          <w:color w:val="auto"/>
        </w:rPr>
      </w:pPr>
    </w:p>
    <w:p>
      <w:pPr>
        <w:spacing w:after="0" w:line="229" w:lineRule="exact"/>
        <w:rPr>
          <w:sz w:val="24"/>
          <w:szCs w:val="24"/>
          <w:color w:val="auto"/>
        </w:rPr>
      </w:pPr>
    </w:p>
    <w:p>
      <w:pPr>
        <w:jc w:val="both"/>
        <w:ind w:right="4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198" w:lineRule="exact"/>
        <w:rPr>
          <w:rFonts w:ascii="MS PGothic" w:cs="MS PGothic" w:eastAsia="MS PGothic" w:hAnsi="MS PGothic"/>
          <w:sz w:val="18"/>
          <w:szCs w:val="18"/>
          <w:color w:val="auto"/>
        </w:rPr>
      </w:pPr>
    </w:p>
    <w:p>
      <w:pPr>
        <w:ind w:left="500" w:hanging="465"/>
        <w:spacing w:after="0" w:line="277" w:lineRule="auto"/>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ectPr>
          <w:pgSz w:w="11900" w:h="16838" w:orient="portrait"/>
          <w:cols w:equalWidth="0" w:num="1">
            <w:col w:w="10980"/>
          </w:cols>
          <w:pgMar w:left="320" w:top="652" w:right="59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26" w:lineRule="exact"/>
        <w:rPr>
          <w:sz w:val="20"/>
          <w:szCs w:val="20"/>
          <w:color w:val="auto"/>
        </w:rPr>
      </w:pPr>
    </w:p>
    <w:p>
      <w:pPr>
        <w:ind w:right="220" w:firstLine="648"/>
        <w:spacing w:after="0" w:line="247" w:lineRule="auto"/>
        <w:rPr>
          <w:sz w:val="20"/>
          <w:szCs w:val="20"/>
          <w:color w:val="auto"/>
        </w:rPr>
      </w:pPr>
      <w:r>
        <w:rPr>
          <w:rFonts w:ascii="Arial" w:cs="Arial" w:eastAsia="Arial" w:hAnsi="Arial"/>
          <w:sz w:val="22"/>
          <w:szCs w:val="22"/>
          <w:color w:val="auto"/>
        </w:rPr>
        <w:t>The following information is being furnished under Item 2.02-Results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93"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On May 6, 2020, Federal Realty Investment Trust issued supplemental data pertaining to its operations, as well as a press release, to report its financial results for the quarter ended March 31, 2020. The supplemental data and press release are furnished as Exhibit 99.1 hereto.</w:t>
      </w:r>
    </w:p>
    <w:p>
      <w:pPr>
        <w:spacing w:after="0" w:line="179"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Exhibits</w:t>
      </w:r>
    </w:p>
    <w:p>
      <w:pPr>
        <w:spacing w:after="0" w:line="233" w:lineRule="exact"/>
        <w:rPr>
          <w:sz w:val="20"/>
          <w:szCs w:val="20"/>
          <w:color w:val="auto"/>
        </w:rPr>
      </w:pPr>
    </w:p>
    <w:p>
      <w:pPr>
        <w:ind w:left="1960"/>
        <w:spacing w:after="0"/>
        <w:tabs>
          <w:tab w:leader="none" w:pos="254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March 31, 2020 (including press release dated May 6, 2020)</w:t>
      </w:r>
    </w:p>
    <w:p>
      <w:pPr>
        <w:spacing w:after="0" w:line="274" w:lineRule="exact"/>
        <w:rPr>
          <w:sz w:val="20"/>
          <w:szCs w:val="20"/>
          <w:color w:val="auto"/>
        </w:rPr>
      </w:pPr>
    </w:p>
    <w:p>
      <w:pPr>
        <w:ind w:left="1300" w:firstLine="652"/>
        <w:spacing w:after="0" w:line="263" w:lineRule="auto"/>
        <w:tabs>
          <w:tab w:leader="none" w:pos="2488" w:val="left"/>
        </w:tabs>
        <w:numPr>
          <w:ilvl w:val="0"/>
          <w:numId w:val="2"/>
        </w:numPr>
        <w:rPr>
          <w:rFonts w:ascii="Arial" w:cs="Arial" w:eastAsia="Arial" w:hAnsi="Arial"/>
          <w:sz w:val="22"/>
          <w:szCs w:val="22"/>
          <w:color w:val="auto"/>
        </w:rPr>
      </w:pPr>
      <w:r>
        <w:rPr>
          <w:rFonts w:ascii="Arial" w:cs="Arial" w:eastAsia="Arial" w:hAnsi="Arial"/>
          <w:sz w:val="22"/>
          <w:szCs w:val="22"/>
          <w:color w:val="auto"/>
        </w:rPr>
        <w:t>Cover Page Interactive Data File (the Cover Page Interactive Data File is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42" w:lineRule="exact"/>
        <w:rPr>
          <w:sz w:val="20"/>
          <w:szCs w:val="20"/>
          <w:color w:val="auto"/>
        </w:rPr>
      </w:pPr>
    </w:p>
    <w:p>
      <w:pPr>
        <w:ind w:right="560"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840"/>
        <w:spacing w:after="0"/>
        <w:rPr>
          <w:sz w:val="20"/>
          <w:szCs w:val="20"/>
          <w:color w:val="auto"/>
        </w:rPr>
      </w:pPr>
      <w:r>
        <w:rPr>
          <w:rFonts w:ascii="Arial" w:cs="Arial" w:eastAsia="Arial" w:hAnsi="Arial"/>
          <w:sz w:val="22"/>
          <w:szCs w:val="22"/>
          <w:b w:val="1"/>
          <w:bCs w:val="1"/>
          <w:color w:val="auto"/>
        </w:rPr>
        <w:t>FEDERAL REALTY INVESTMENT TRUST</w:t>
      </w:r>
    </w:p>
    <w:p>
      <w:pPr>
        <w:spacing w:after="0" w:line="374" w:lineRule="exact"/>
        <w:rPr>
          <w:sz w:val="20"/>
          <w:szCs w:val="20"/>
          <w:color w:val="auto"/>
        </w:rPr>
      </w:pPr>
    </w:p>
    <w:p>
      <w:pPr>
        <w:ind w:left="1040"/>
        <w:spacing w:after="0"/>
        <w:tabs>
          <w:tab w:leader="none" w:pos="1700" w:val="left"/>
          <w:tab w:leader="none" w:pos="4860" w:val="left"/>
        </w:tabs>
        <w:rPr>
          <w:sz w:val="20"/>
          <w:szCs w:val="20"/>
          <w:color w:val="auto"/>
        </w:rPr>
      </w:pPr>
      <w:r>
        <w:rPr>
          <w:rFonts w:ascii="Arial" w:cs="Arial" w:eastAsia="Arial" w:hAnsi="Arial"/>
          <w:sz w:val="22"/>
          <w:szCs w:val="22"/>
          <w:color w:val="auto"/>
        </w:rPr>
        <w:t>Date:</w:t>
        <w:tab/>
        <w:t>May 6, 2020</w:t>
      </w:r>
      <w:r>
        <w:rPr>
          <w:sz w:val="20"/>
          <w:szCs w:val="20"/>
          <w:color w:val="auto"/>
        </w:rPr>
        <w:tab/>
      </w:r>
      <w:r>
        <w:rPr>
          <w:rFonts w:ascii="Arial" w:cs="Arial" w:eastAsia="Arial" w:hAnsi="Arial"/>
          <w:sz w:val="19"/>
          <w:szCs w:val="19"/>
          <w:u w:val="single" w:color="auto"/>
          <w:color w:val="auto"/>
        </w:rPr>
        <w:t>/s/ Daniel Guglielmone</w:t>
      </w:r>
    </w:p>
    <w:p>
      <w:pPr>
        <w:spacing w:after="0" w:line="368"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Daniel Guglielmone</w:t>
      </w:r>
    </w:p>
    <w:p>
      <w:pPr>
        <w:spacing w:after="0" w:line="44"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Executive Vice President-</w:t>
      </w:r>
    </w:p>
    <w:p>
      <w:pPr>
        <w:spacing w:after="0" w:line="44"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Chief Financial Officer and Treasurer</w:t>
      </w:r>
    </w:p>
    <w:p>
      <w:pPr>
        <w:sectPr>
          <w:pgSz w:w="11900" w:h="16838" w:orient="portrait"/>
          <w:cols w:equalWidth="0" w:num="1">
            <w:col w:w="11220"/>
          </w:cols>
          <w:pgMar w:left="320" w:top="558"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4"/>
        </w:trPr>
        <w:tc>
          <w:tcPr>
            <w:tcW w:w="1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320" w:type="dxa"/>
            <w:vAlign w:val="bottom"/>
          </w:tcPr>
          <w:p>
            <w:pPr>
              <w:ind w:left="2900"/>
              <w:spacing w:after="0"/>
              <w:rPr>
                <w:sz w:val="20"/>
                <w:szCs w:val="20"/>
                <w:color w:val="auto"/>
              </w:rPr>
            </w:pPr>
            <w:r>
              <w:rPr>
                <w:rFonts w:ascii="Arial" w:cs="Arial" w:eastAsia="Arial" w:hAnsi="Arial"/>
                <w:sz w:val="22"/>
                <w:szCs w:val="22"/>
                <w:color w:val="auto"/>
              </w:rPr>
              <w:t>EXHIBIT INDEX</w:t>
            </w:r>
          </w:p>
        </w:tc>
      </w:tr>
      <w:tr>
        <w:trPr>
          <w:trHeight w:val="800"/>
        </w:trPr>
        <w:tc>
          <w:tcPr>
            <w:tcW w:w="1920" w:type="dxa"/>
            <w:vAlign w:val="bottom"/>
            <w:gridSpan w:val="2"/>
          </w:tcPr>
          <w:p>
            <w:pPr>
              <w:ind w:left="280"/>
              <w:spacing w:after="0"/>
              <w:rPr>
                <w:sz w:val="20"/>
                <w:szCs w:val="20"/>
                <w:color w:val="auto"/>
              </w:rPr>
            </w:pPr>
            <w:r>
              <w:rPr>
                <w:rFonts w:ascii="Arial" w:cs="Arial" w:eastAsia="Arial" w:hAnsi="Arial"/>
                <w:sz w:val="18"/>
                <w:szCs w:val="18"/>
                <w:b w:val="1"/>
                <w:bCs w:val="1"/>
                <w:color w:val="auto"/>
              </w:rPr>
              <w:t>Exhibit Number</w:t>
            </w:r>
          </w:p>
        </w:tc>
        <w:tc>
          <w:tcPr>
            <w:tcW w:w="9320" w:type="dxa"/>
            <w:vAlign w:val="bottom"/>
          </w:tcPr>
          <w:p>
            <w:pPr>
              <w:ind w:left="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320" w:type="dxa"/>
            <w:vAlign w:val="bottom"/>
            <w:tcBorders>
              <w:bottom w:val="single" w:sz="8" w:color="auto"/>
            </w:tcBorders>
          </w:tcPr>
          <w:p>
            <w:pPr>
              <w:spacing w:after="0"/>
              <w:rPr>
                <w:sz w:val="2"/>
                <w:szCs w:val="2"/>
                <w:color w:val="auto"/>
              </w:rPr>
            </w:pPr>
          </w:p>
        </w:tc>
      </w:tr>
      <w:tr>
        <w:trPr>
          <w:trHeight w:val="237"/>
        </w:trPr>
        <w:tc>
          <w:tcPr>
            <w:tcW w:w="1820" w:type="dxa"/>
            <w:vAlign w:val="bottom"/>
          </w:tcPr>
          <w:p>
            <w:pPr>
              <w:ind w:left="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99.1</w:t>
              </w:r>
            </w:hyperlink>
          </w:p>
        </w:tc>
        <w:tc>
          <w:tcPr>
            <w:tcW w:w="100" w:type="dxa"/>
            <w:vAlign w:val="bottom"/>
          </w:tcPr>
          <w:p>
            <w:pPr>
              <w:spacing w:after="0"/>
              <w:rPr>
                <w:sz w:val="20"/>
                <w:szCs w:val="20"/>
                <w:color w:val="auto"/>
              </w:rPr>
            </w:pPr>
          </w:p>
        </w:tc>
        <w:tc>
          <w:tcPr>
            <w:tcW w:w="9320" w:type="dxa"/>
            <w:vAlign w:val="bottom"/>
          </w:tcPr>
          <w:p>
            <w:pPr>
              <w:ind w:left="40"/>
              <w:spacing w:after="0"/>
              <w:rPr>
                <w:sz w:val="20"/>
                <w:szCs w:val="20"/>
                <w:color w:val="auto"/>
              </w:rPr>
            </w:pPr>
            <w:r>
              <w:rPr>
                <w:rFonts w:ascii="Arial" w:cs="Arial" w:eastAsia="Arial" w:hAnsi="Arial"/>
                <w:sz w:val="18"/>
                <w:szCs w:val="18"/>
                <w:color w:val="auto"/>
              </w:rPr>
              <w:t>Supplemental Information at March 31, 2020</w:t>
            </w:r>
          </w:p>
        </w:tc>
      </w:tr>
      <w:tr>
        <w:trPr>
          <w:trHeight w:val="392"/>
        </w:trPr>
        <w:tc>
          <w:tcPr>
            <w:tcW w:w="1820" w:type="dxa"/>
            <w:vAlign w:val="bottom"/>
          </w:tcPr>
          <w:p>
            <w:pPr>
              <w:ind w:left="4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9320" w:type="dxa"/>
            <w:vAlign w:val="bottom"/>
          </w:tcPr>
          <w:p>
            <w:pPr>
              <w:ind w:left="40"/>
              <w:spacing w:after="0"/>
              <w:rPr>
                <w:sz w:val="20"/>
                <w:szCs w:val="20"/>
                <w:color w:val="auto"/>
              </w:rPr>
            </w:pPr>
            <w:r>
              <w:rPr>
                <w:rFonts w:ascii="Arial" w:cs="Arial" w:eastAsia="Arial" w:hAnsi="Arial"/>
                <w:sz w:val="18"/>
                <w:szCs w:val="18"/>
                <w:color w:val="auto"/>
                <w:w w:val="98"/>
              </w:rPr>
              <w:t>Cover Page Interactive Data File (the Cover Page Interactive Data File is embedded within the Inline XBRL Document</w:t>
            </w:r>
          </w:p>
        </w:tc>
      </w:tr>
    </w:tbl>
    <w:p>
      <w:pPr>
        <w:sectPr>
          <w:pgSz w:w="11900" w:h="16838" w:orient="portrait"/>
          <w:cols w:equalWidth="0" w:num="1">
            <w:col w:w="11240"/>
          </w:cols>
          <w:pgMar w:left="320" w:top="56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INFORMATION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2020</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1</w:t>
            </w:r>
          </w:p>
        </w:tc>
        <w:tc>
          <w:tcPr>
            <w:tcW w:w="6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First Quarter 2020 Earnings Press Release</w:t>
            </w:r>
          </w:p>
        </w:tc>
        <w:tc>
          <w:tcPr>
            <w:tcW w:w="1860" w:type="dxa"/>
            <w:vAlign w:val="bottom"/>
            <w:shd w:val="clear" w:color="auto" w:fill="CCEEFF"/>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3</w:t>
              </w:r>
            </w:hyperlink>
          </w:p>
        </w:tc>
      </w:tr>
      <w:tr>
        <w:trPr>
          <w:trHeight w:val="270"/>
        </w:trPr>
        <w:tc>
          <w:tcPr>
            <w:tcW w:w="500" w:type="dxa"/>
            <w:vAlign w:val="bottom"/>
          </w:tcPr>
          <w:p>
            <w:pPr>
              <w:spacing w:after="0"/>
              <w:rPr>
                <w:sz w:val="23"/>
                <w:szCs w:val="23"/>
                <w:color w:val="auto"/>
              </w:rPr>
            </w:pPr>
          </w:p>
        </w:tc>
        <w:tc>
          <w:tcPr>
            <w:tcW w:w="696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50"/>
        </w:trPr>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2</w:t>
            </w:r>
          </w:p>
        </w:tc>
        <w:tc>
          <w:tcPr>
            <w:tcW w:w="6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Financial Highlights</w:t>
            </w: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6960" w:type="dxa"/>
            <w:vAlign w:val="bottom"/>
          </w:tcPr>
          <w:p>
            <w:pPr>
              <w:ind w:left="1120"/>
              <w:spacing w:after="0"/>
              <w:rPr>
                <w:sz w:val="20"/>
                <w:szCs w:val="20"/>
                <w:color w:val="auto"/>
              </w:rPr>
            </w:pPr>
            <w:r>
              <w:rPr>
                <w:rFonts w:ascii="Arial" w:cs="Arial" w:eastAsia="Arial" w:hAnsi="Arial"/>
                <w:sz w:val="18"/>
                <w:szCs w:val="18"/>
                <w:color w:val="auto"/>
              </w:rPr>
              <w:t>Consolidated Income Statements</w:t>
            </w:r>
          </w:p>
        </w:tc>
        <w:tc>
          <w:tcPr>
            <w:tcW w:w="1860" w:type="dxa"/>
            <w:vAlign w:val="bottom"/>
          </w:tcPr>
          <w:p>
            <w:pPr>
              <w:jc w:val="right"/>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7</w:t>
              </w:r>
            </w:hyperlink>
          </w:p>
        </w:tc>
      </w:tr>
      <w:tr>
        <w:trPr>
          <w:trHeight w:val="27"/>
        </w:trPr>
        <w:tc>
          <w:tcPr>
            <w:tcW w:w="50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0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Consolidated Balance Sheets</w:t>
            </w:r>
          </w:p>
        </w:tc>
        <w:tc>
          <w:tcPr>
            <w:tcW w:w="186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8</w:t>
              </w:r>
            </w:hyperlink>
          </w:p>
        </w:tc>
      </w:tr>
      <w:tr>
        <w:trPr>
          <w:trHeight w:val="243"/>
        </w:trPr>
        <w:tc>
          <w:tcPr>
            <w:tcW w:w="500" w:type="dxa"/>
            <w:vAlign w:val="bottom"/>
          </w:tcPr>
          <w:p>
            <w:pPr>
              <w:spacing w:after="0"/>
              <w:rPr>
                <w:sz w:val="21"/>
                <w:szCs w:val="21"/>
                <w:color w:val="auto"/>
              </w:rPr>
            </w:pPr>
          </w:p>
        </w:tc>
        <w:tc>
          <w:tcPr>
            <w:tcW w:w="6960" w:type="dxa"/>
            <w:vAlign w:val="bottom"/>
          </w:tcPr>
          <w:p>
            <w:pPr>
              <w:ind w:left="1120"/>
              <w:spacing w:after="0"/>
              <w:rPr>
                <w:sz w:val="20"/>
                <w:szCs w:val="20"/>
                <w:color w:val="auto"/>
              </w:rPr>
            </w:pPr>
            <w:r>
              <w:rPr>
                <w:rFonts w:ascii="Arial" w:cs="Arial" w:eastAsia="Arial" w:hAnsi="Arial"/>
                <w:sz w:val="18"/>
                <w:szCs w:val="18"/>
                <w:color w:val="auto"/>
              </w:rPr>
              <w:t>Funds From Operations / Other Supplemental Information</w:t>
            </w:r>
          </w:p>
        </w:tc>
        <w:tc>
          <w:tcPr>
            <w:tcW w:w="1860" w:type="dxa"/>
            <w:vAlign w:val="bottom"/>
          </w:tcPr>
          <w:p>
            <w:pPr>
              <w:jc w:val="right"/>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9</w:t>
              </w:r>
            </w:hyperlink>
          </w:p>
        </w:tc>
      </w:tr>
      <w:tr>
        <w:trPr>
          <w:trHeight w:val="27"/>
        </w:trPr>
        <w:tc>
          <w:tcPr>
            <w:tcW w:w="50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0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Market Data</w:t>
            </w:r>
          </w:p>
        </w:tc>
        <w:tc>
          <w:tcPr>
            <w:tcW w:w="186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10</w:t>
              </w:r>
            </w:hyperlink>
          </w:p>
        </w:tc>
      </w:tr>
      <w:tr>
        <w:trPr>
          <w:trHeight w:val="243"/>
        </w:trPr>
        <w:tc>
          <w:tcPr>
            <w:tcW w:w="500" w:type="dxa"/>
            <w:vAlign w:val="bottom"/>
          </w:tcPr>
          <w:p>
            <w:pPr>
              <w:spacing w:after="0"/>
              <w:rPr>
                <w:sz w:val="21"/>
                <w:szCs w:val="21"/>
                <w:color w:val="auto"/>
              </w:rPr>
            </w:pPr>
          </w:p>
        </w:tc>
        <w:tc>
          <w:tcPr>
            <w:tcW w:w="6960" w:type="dxa"/>
            <w:vAlign w:val="bottom"/>
          </w:tcPr>
          <w:p>
            <w:pPr>
              <w:ind w:left="1120"/>
              <w:spacing w:after="0"/>
              <w:rPr>
                <w:sz w:val="20"/>
                <w:szCs w:val="20"/>
                <w:color w:val="auto"/>
              </w:rPr>
            </w:pPr>
            <w:r>
              <w:rPr>
                <w:rFonts w:ascii="Arial" w:cs="Arial" w:eastAsia="Arial" w:hAnsi="Arial"/>
                <w:sz w:val="18"/>
                <w:szCs w:val="18"/>
                <w:color w:val="auto"/>
              </w:rPr>
              <w:t>Components of Rental Income</w:t>
            </w:r>
          </w:p>
        </w:tc>
        <w:tc>
          <w:tcPr>
            <w:tcW w:w="1860" w:type="dxa"/>
            <w:vAlign w:val="bottom"/>
          </w:tcPr>
          <w:p>
            <w:pPr>
              <w:jc w:val="right"/>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11</w:t>
              </w:r>
            </w:hyperlink>
          </w:p>
        </w:tc>
      </w:tr>
      <w:tr>
        <w:trPr>
          <w:trHeight w:val="27"/>
        </w:trPr>
        <w:tc>
          <w:tcPr>
            <w:tcW w:w="50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43"/>
        </w:trPr>
        <w:tc>
          <w:tcPr>
            <w:tcW w:w="500" w:type="dxa"/>
            <w:vAlign w:val="bottom"/>
            <w:shd w:val="clear" w:color="auto" w:fill="CCEEFF"/>
          </w:tcPr>
          <w:p>
            <w:pPr>
              <w:spacing w:after="0"/>
              <w:rPr>
                <w:sz w:val="21"/>
                <w:szCs w:val="21"/>
                <w:color w:val="auto"/>
              </w:rPr>
            </w:pPr>
          </w:p>
        </w:tc>
        <w:tc>
          <w:tcPr>
            <w:tcW w:w="69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Comparable Property Information</w:t>
            </w:r>
          </w:p>
        </w:tc>
        <w:tc>
          <w:tcPr>
            <w:tcW w:w="1860" w:type="dxa"/>
            <w:vAlign w:val="bottom"/>
            <w:shd w:val="clear" w:color="auto" w:fill="CCEEFF"/>
          </w:tcPr>
          <w:p>
            <w:pPr>
              <w:jc w:val="right"/>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12</w:t>
              </w:r>
            </w:hyperlink>
          </w:p>
        </w:tc>
      </w:tr>
      <w:tr>
        <w:trPr>
          <w:trHeight w:val="27"/>
        </w:trPr>
        <w:tc>
          <w:tcPr>
            <w:tcW w:w="500" w:type="dxa"/>
            <w:vAlign w:val="bottom"/>
            <w:shd w:val="clear" w:color="auto" w:fill="CCEEFF"/>
          </w:tcPr>
          <w:p>
            <w:pPr>
              <w:spacing w:after="0"/>
              <w:rPr>
                <w:sz w:val="2"/>
                <w:szCs w:val="2"/>
                <w:color w:val="auto"/>
              </w:rPr>
            </w:pPr>
          </w:p>
        </w:tc>
        <w:tc>
          <w:tcPr>
            <w:tcW w:w="696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180340</wp:posOffset>
            </wp:positionV>
            <wp:extent cx="591502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15025" cy="171450"/>
                    </a:xfrm>
                    <a:prstGeom prst="rect">
                      <a:avLst/>
                    </a:prstGeom>
                    <a:noFill/>
                  </pic:spPr>
                </pic:pic>
              </a:graphicData>
            </a:graphic>
          </wp:anchor>
        </w:drawing>
      </w:r>
    </w:p>
    <w:p>
      <w:pPr>
        <w:spacing w:after="0" w:line="276" w:lineRule="exact"/>
        <w:rPr>
          <w:sz w:val="20"/>
          <w:szCs w:val="20"/>
          <w:color w:val="auto"/>
        </w:rPr>
      </w:pPr>
    </w:p>
    <w:p>
      <w:pPr>
        <w:ind w:left="880" w:hanging="847"/>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7020" w:type="dxa"/>
            <w:vAlign w:val="bottom"/>
          </w:tcPr>
          <w:p>
            <w:pPr>
              <w:ind w:left="1080"/>
              <w:spacing w:after="0"/>
              <w:rPr>
                <w:sz w:val="20"/>
                <w:szCs w:val="20"/>
                <w:color w:val="auto"/>
              </w:rPr>
            </w:pPr>
            <w:r>
              <w:rPr>
                <w:rFonts w:ascii="Arial" w:cs="Arial" w:eastAsia="Arial" w:hAnsi="Arial"/>
                <w:sz w:val="18"/>
                <w:szCs w:val="18"/>
                <w:color w:val="auto"/>
              </w:rPr>
              <w:t>Summary of Outstanding Debt and Finance Lease Liabilities</w:t>
            </w:r>
          </w:p>
        </w:tc>
        <w:tc>
          <w:tcPr>
            <w:tcW w:w="1760" w:type="dxa"/>
            <w:vAlign w:val="bottom"/>
          </w:tcPr>
          <w:p>
            <w:pPr>
              <w:jc w:val="right"/>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13</w:t>
              </w:r>
            </w:hyperlink>
          </w:p>
        </w:tc>
      </w:tr>
      <w:tr>
        <w:trPr>
          <w:trHeight w:val="27"/>
        </w:trPr>
        <w:tc>
          <w:tcPr>
            <w:tcW w:w="5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40" w:type="dxa"/>
            <w:vAlign w:val="bottom"/>
            <w:tcBorders>
              <w:bottom w:val="single" w:sz="8" w:color="CCEEFF"/>
            </w:tcBorders>
            <w:shd w:val="clear" w:color="auto" w:fill="CCEEFF"/>
          </w:tcPr>
          <w:p>
            <w:pPr>
              <w:spacing w:after="0"/>
              <w:rPr>
                <w:sz w:val="21"/>
                <w:szCs w:val="21"/>
                <w:color w:val="auto"/>
              </w:rPr>
            </w:pPr>
          </w:p>
        </w:tc>
        <w:tc>
          <w:tcPr>
            <w:tcW w:w="702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Summary of Debt Maturities</w:t>
            </w:r>
          </w:p>
        </w:tc>
        <w:tc>
          <w:tcPr>
            <w:tcW w:w="176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15</w:t>
              </w:r>
            </w:hyperlink>
          </w:p>
        </w:tc>
      </w:tr>
      <w:tr>
        <w:trPr>
          <w:trHeight w:val="284"/>
        </w:trPr>
        <w:tc>
          <w:tcPr>
            <w:tcW w:w="54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50"/>
        </w:trPr>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w:t>
            </w:r>
          </w:p>
        </w:tc>
        <w:tc>
          <w:tcPr>
            <w:tcW w:w="7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Summary of Redevelopment Opportunities</w:t>
            </w:r>
          </w:p>
        </w:tc>
        <w:tc>
          <w:tcPr>
            <w:tcW w:w="176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16</w:t>
              </w:r>
            </w:hyperlink>
          </w:p>
        </w:tc>
      </w:tr>
      <w:tr>
        <w:trPr>
          <w:trHeight w:val="283"/>
        </w:trPr>
        <w:tc>
          <w:tcPr>
            <w:tcW w:w="54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50"/>
        </w:trPr>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7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Assembly Row, Pike &amp; Rose, and Santana Row</w:t>
            </w:r>
          </w:p>
        </w:tc>
        <w:tc>
          <w:tcPr>
            <w:tcW w:w="176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17</w:t>
              </w:r>
            </w:hyperlink>
          </w:p>
        </w:tc>
      </w:tr>
      <w:tr>
        <w:trPr>
          <w:trHeight w:val="324"/>
        </w:trPr>
        <w:tc>
          <w:tcPr>
            <w:tcW w:w="54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50"/>
        </w:trPr>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w:t>
            </w:r>
          </w:p>
        </w:tc>
        <w:tc>
          <w:tcPr>
            <w:tcW w:w="7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Future Redevelopment Opportunities</w:t>
            </w:r>
          </w:p>
        </w:tc>
        <w:tc>
          <w:tcPr>
            <w:tcW w:w="176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18</w:t>
              </w:r>
            </w:hyperlink>
          </w:p>
        </w:tc>
      </w:tr>
      <w:tr>
        <w:trPr>
          <w:trHeight w:val="283"/>
        </w:trPr>
        <w:tc>
          <w:tcPr>
            <w:tcW w:w="54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50"/>
        </w:trPr>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7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Significant Property Acquisitions and Disposition</w:t>
            </w:r>
          </w:p>
        </w:tc>
        <w:tc>
          <w:tcPr>
            <w:tcW w:w="176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19</w:t>
              </w:r>
            </w:hyperlink>
          </w:p>
        </w:tc>
      </w:tr>
      <w:tr>
        <w:trPr>
          <w:trHeight w:val="284"/>
        </w:trPr>
        <w:tc>
          <w:tcPr>
            <w:tcW w:w="54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50"/>
        </w:trPr>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8</w:t>
            </w:r>
          </w:p>
        </w:tc>
        <w:tc>
          <w:tcPr>
            <w:tcW w:w="7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Real Estate Status Report</w:t>
            </w:r>
          </w:p>
        </w:tc>
        <w:tc>
          <w:tcPr>
            <w:tcW w:w="176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20</w:t>
              </w:r>
            </w:hyperlink>
          </w:p>
        </w:tc>
      </w:tr>
      <w:tr>
        <w:trPr>
          <w:trHeight w:val="283"/>
        </w:trPr>
        <w:tc>
          <w:tcPr>
            <w:tcW w:w="54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50"/>
        </w:trPr>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w:t>
            </w:r>
          </w:p>
        </w:tc>
        <w:tc>
          <w:tcPr>
            <w:tcW w:w="7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Retail Leasing Summary</w:t>
            </w:r>
          </w:p>
        </w:tc>
        <w:tc>
          <w:tcPr>
            <w:tcW w:w="176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24</w:t>
              </w:r>
            </w:hyperlink>
          </w:p>
        </w:tc>
      </w:tr>
      <w:tr>
        <w:trPr>
          <w:trHeight w:val="283"/>
        </w:trPr>
        <w:tc>
          <w:tcPr>
            <w:tcW w:w="54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50"/>
        </w:trPr>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w:t>
            </w:r>
          </w:p>
        </w:tc>
        <w:tc>
          <w:tcPr>
            <w:tcW w:w="7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Lease Expirations</w:t>
            </w:r>
          </w:p>
        </w:tc>
        <w:tc>
          <w:tcPr>
            <w:tcW w:w="176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25</w:t>
              </w:r>
            </w:hyperlink>
          </w:p>
        </w:tc>
      </w:tr>
      <w:tr>
        <w:trPr>
          <w:trHeight w:val="284"/>
        </w:trPr>
        <w:tc>
          <w:tcPr>
            <w:tcW w:w="54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50"/>
        </w:trPr>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11</w:t>
            </w:r>
          </w:p>
        </w:tc>
        <w:tc>
          <w:tcPr>
            <w:tcW w:w="7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Portfolio Leased Statistics</w:t>
            </w:r>
          </w:p>
        </w:tc>
        <w:tc>
          <w:tcPr>
            <w:tcW w:w="176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26</w:t>
              </w:r>
            </w:hyperlink>
          </w:p>
        </w:tc>
      </w:tr>
      <w:tr>
        <w:trPr>
          <w:trHeight w:val="284"/>
        </w:trPr>
        <w:tc>
          <w:tcPr>
            <w:tcW w:w="54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50"/>
        </w:trPr>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12</w:t>
            </w:r>
          </w:p>
        </w:tc>
        <w:tc>
          <w:tcPr>
            <w:tcW w:w="7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Summary of Top 25 Tenants</w:t>
            </w:r>
          </w:p>
        </w:tc>
        <w:tc>
          <w:tcPr>
            <w:tcW w:w="176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27</w:t>
              </w:r>
            </w:hyperlink>
          </w:p>
        </w:tc>
      </w:tr>
      <w:tr>
        <w:trPr>
          <w:trHeight w:val="283"/>
        </w:trPr>
        <w:tc>
          <w:tcPr>
            <w:tcW w:w="54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50"/>
        </w:trPr>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13</w:t>
            </w:r>
          </w:p>
        </w:tc>
        <w:tc>
          <w:tcPr>
            <w:tcW w:w="7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Tenant Diversification by Category</w:t>
            </w:r>
          </w:p>
        </w:tc>
        <w:tc>
          <w:tcPr>
            <w:tcW w:w="176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28</w:t>
              </w:r>
            </w:hyperlink>
          </w:p>
        </w:tc>
      </w:tr>
      <w:tr>
        <w:trPr>
          <w:trHeight w:val="324"/>
        </w:trPr>
        <w:tc>
          <w:tcPr>
            <w:tcW w:w="54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50"/>
        </w:trPr>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14</w:t>
            </w:r>
          </w:p>
        </w:tc>
        <w:tc>
          <w:tcPr>
            <w:tcW w:w="7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Glossary of Terms</w:t>
            </w:r>
          </w:p>
        </w:tc>
        <w:tc>
          <w:tcPr>
            <w:tcW w:w="176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29</w:t>
              </w:r>
            </w:hyperlink>
          </w:p>
        </w:tc>
      </w:tr>
      <w:tr>
        <w:trPr>
          <w:trHeight w:val="284"/>
        </w:trPr>
        <w:tc>
          <w:tcPr>
            <w:tcW w:w="54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70"/>
        </w:trPr>
        <w:tc>
          <w:tcPr>
            <w:tcW w:w="540" w:type="dxa"/>
            <w:vAlign w:val="bottom"/>
            <w:shd w:val="clear" w:color="auto" w:fill="CCEEFF"/>
          </w:tcPr>
          <w:p>
            <w:pPr>
              <w:spacing w:after="0"/>
              <w:rPr>
                <w:sz w:val="23"/>
                <w:szCs w:val="23"/>
                <w:color w:val="auto"/>
              </w:rPr>
            </w:pPr>
          </w:p>
        </w:tc>
        <w:tc>
          <w:tcPr>
            <w:tcW w:w="70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1626 East Jefferson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591502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15025" cy="17145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Rockville, Maryland 20852-4041</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301/998-8100</w:t>
      </w:r>
    </w:p>
    <w:p>
      <w:pPr>
        <w:sectPr>
          <w:pgSz w:w="11900" w:h="16838" w:orient="portrait"/>
          <w:cols w:equalWidth="0" w:num="1">
            <w:col w:w="9320"/>
          </w:cols>
          <w:pgMar w:left="1280" w:top="715" w:right="129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320"/>
          </w:cols>
          <w:pgMar w:left="1280" w:top="715" w:right="129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2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10, 2020 and subsequent quarterly reports on Form 10-Q, and include the following:</w:t>
      </w:r>
    </w:p>
    <w:p>
      <w:pPr>
        <w:spacing w:after="0" w:line="176" w:lineRule="exact"/>
        <w:rPr>
          <w:sz w:val="20"/>
          <w:szCs w:val="20"/>
          <w:color w:val="auto"/>
        </w:rPr>
      </w:pPr>
    </w:p>
    <w:p>
      <w:pPr>
        <w:ind w:left="980" w:right="320" w:hanging="324"/>
        <w:spacing w:after="0" w:line="258"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natural disasters, climate change and public health crises, including the COVID-19 pandemic, could have an adverse impact on our cash flow and operating results;</w:t>
      </w:r>
    </w:p>
    <w:p>
      <w:pPr>
        <w:spacing w:after="0" w:line="1" w:lineRule="exact"/>
        <w:rPr>
          <w:rFonts w:ascii="Arial" w:cs="Arial" w:eastAsia="Arial" w:hAnsi="Arial"/>
          <w:sz w:val="18"/>
          <w:szCs w:val="18"/>
          <w:color w:val="auto"/>
        </w:rPr>
      </w:pPr>
    </w:p>
    <w:p>
      <w:pPr>
        <w:ind w:left="980" w:right="140" w:hanging="324"/>
        <w:spacing w:after="0" w:line="250" w:lineRule="auto"/>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our tenants will not pay rent, may vacate early or may file for bankruptcy or that we may be unable to renew leases or re-let space at favorable rents as leases expire;</w:t>
      </w:r>
    </w:p>
    <w:p>
      <w:pPr>
        <w:ind w:left="980" w:hanging="324"/>
        <w:spacing w:after="0" w:line="250"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 w:lineRule="exact"/>
        <w:rPr>
          <w:rFonts w:ascii="Arial" w:cs="Arial" w:eastAsia="Arial" w:hAnsi="Arial"/>
          <w:sz w:val="18"/>
          <w:szCs w:val="18"/>
          <w:color w:val="auto"/>
        </w:rPr>
      </w:pPr>
    </w:p>
    <w:p>
      <w:pPr>
        <w:ind w:left="980" w:right="40" w:hanging="324"/>
        <w:spacing w:after="0" w:line="250" w:lineRule="auto"/>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 w:lineRule="exact"/>
        <w:rPr>
          <w:rFonts w:ascii="Arial" w:cs="Arial" w:eastAsia="Arial" w:hAnsi="Arial"/>
          <w:sz w:val="18"/>
          <w:szCs w:val="18"/>
          <w:i w:val="1"/>
          <w:iCs w:val="1"/>
          <w:color w:val="auto"/>
        </w:rPr>
      </w:pPr>
    </w:p>
    <w:p>
      <w:pPr>
        <w:ind w:left="980" w:right="80" w:hanging="324"/>
        <w:spacing w:after="0" w:line="265"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risks that our growth will be limited if we cannot obtain additional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risks associated with general economic conditions, including local economic conditions in our geographic markets;</w:t>
      </w:r>
    </w:p>
    <w:p>
      <w:pPr>
        <w:spacing w:after="0" w:line="9" w:lineRule="exact"/>
        <w:rPr>
          <w:rFonts w:ascii="Arial" w:cs="Arial" w:eastAsia="Arial" w:hAnsi="Arial"/>
          <w:sz w:val="18"/>
          <w:szCs w:val="18"/>
          <w:color w:val="auto"/>
        </w:rPr>
      </w:pPr>
    </w:p>
    <w:p>
      <w:pPr>
        <w:ind w:left="980" w:right="60" w:hanging="324"/>
        <w:spacing w:after="0" w:line="250"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 w:lineRule="exact"/>
        <w:rPr>
          <w:rFonts w:ascii="Arial" w:cs="Arial" w:eastAsia="Arial" w:hAnsi="Arial"/>
          <w:sz w:val="18"/>
          <w:szCs w:val="18"/>
          <w:color w:val="auto"/>
        </w:rPr>
      </w:pPr>
    </w:p>
    <w:p>
      <w:pPr>
        <w:jc w:val="both"/>
        <w:ind w:left="980" w:right="400" w:hanging="324"/>
        <w:spacing w:after="0" w:line="255"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10, 2020 and subsequent quarterly reports on Form 10-Q.</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553" w:right="3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6534785</wp:posOffset>
            </wp:positionH>
            <wp:positionV relativeFrom="page">
              <wp:posOffset>88900</wp:posOffset>
            </wp:positionV>
            <wp:extent cx="805815" cy="3168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drawing>
          <wp:anchor simplePos="0" relativeHeight="251657728" behindDoc="1" locked="0" layoutInCell="0" allowOverlap="1">
            <wp:simplePos x="0" y="0"/>
            <wp:positionH relativeFrom="page">
              <wp:posOffset>2548255</wp:posOffset>
            </wp:positionH>
            <wp:positionV relativeFrom="page">
              <wp:posOffset>542925</wp:posOffset>
            </wp:positionV>
            <wp:extent cx="2451735" cy="9601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45173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2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NEWS RELEASE</w:t>
            </w:r>
          </w:p>
        </w:tc>
        <w:tc>
          <w:tcPr>
            <w:tcW w:w="5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www.federalrealty.com</w:t>
            </w:r>
          </w:p>
        </w:tc>
      </w:tr>
      <w:tr>
        <w:trPr>
          <w:trHeight w:val="419"/>
        </w:trPr>
        <w:tc>
          <w:tcPr>
            <w:tcW w:w="5220" w:type="dxa"/>
            <w:vAlign w:val="bottom"/>
          </w:tcPr>
          <w:p>
            <w:pPr>
              <w:ind w:left="40"/>
              <w:spacing w:after="0"/>
              <w:rPr>
                <w:sz w:val="20"/>
                <w:szCs w:val="20"/>
                <w:color w:val="auto"/>
              </w:rPr>
            </w:pPr>
            <w:r>
              <w:rPr>
                <w:rFonts w:ascii="Arial" w:cs="Arial" w:eastAsia="Arial" w:hAnsi="Arial"/>
                <w:sz w:val="18"/>
                <w:szCs w:val="18"/>
                <w:b w:val="1"/>
                <w:bCs w:val="1"/>
                <w:color w:val="auto"/>
              </w:rPr>
              <w:t>FOR IMMEDIATE RELEASE</w:t>
            </w:r>
          </w:p>
        </w:tc>
        <w:tc>
          <w:tcPr>
            <w:tcW w:w="5380" w:type="dxa"/>
            <w:vAlign w:val="bottom"/>
          </w:tcPr>
          <w:p>
            <w:pPr>
              <w:spacing w:after="0"/>
              <w:rPr>
                <w:sz w:val="24"/>
                <w:szCs w:val="24"/>
                <w:color w:val="auto"/>
              </w:rPr>
            </w:pPr>
          </w:p>
        </w:tc>
      </w:tr>
      <w:tr>
        <w:trPr>
          <w:trHeight w:val="486"/>
        </w:trPr>
        <w:tc>
          <w:tcPr>
            <w:tcW w:w="5220" w:type="dxa"/>
            <w:vAlign w:val="bottom"/>
          </w:tcPr>
          <w:p>
            <w:pPr>
              <w:ind w:left="40"/>
              <w:spacing w:after="0"/>
              <w:rPr>
                <w:sz w:val="20"/>
                <w:szCs w:val="20"/>
                <w:color w:val="auto"/>
              </w:rPr>
            </w:pPr>
            <w:r>
              <w:rPr>
                <w:rFonts w:ascii="Arial" w:cs="Arial" w:eastAsia="Arial" w:hAnsi="Arial"/>
                <w:sz w:val="18"/>
                <w:szCs w:val="18"/>
                <w:i w:val="1"/>
                <w:iCs w:val="1"/>
                <w:color w:val="auto"/>
              </w:rPr>
              <w:t>Investor Inquiries:</w:t>
            </w:r>
          </w:p>
        </w:tc>
        <w:tc>
          <w:tcPr>
            <w:tcW w:w="5380" w:type="dxa"/>
            <w:vAlign w:val="bottom"/>
          </w:tcPr>
          <w:p>
            <w:pPr>
              <w:jc w:val="right"/>
              <w:spacing w:after="0"/>
              <w:rPr>
                <w:sz w:val="20"/>
                <w:szCs w:val="20"/>
                <w:color w:val="auto"/>
              </w:rPr>
            </w:pPr>
            <w:r>
              <w:rPr>
                <w:rFonts w:ascii="Arial" w:cs="Arial" w:eastAsia="Arial" w:hAnsi="Arial"/>
                <w:sz w:val="18"/>
                <w:szCs w:val="18"/>
                <w:i w:val="1"/>
                <w:iCs w:val="1"/>
                <w:color w:val="auto"/>
              </w:rPr>
              <w:t>Media Inquiries:</w:t>
            </w:r>
          </w:p>
        </w:tc>
      </w:tr>
      <w:tr>
        <w:trPr>
          <w:trHeight w:val="257"/>
        </w:trPr>
        <w:tc>
          <w:tcPr>
            <w:tcW w:w="5220" w:type="dxa"/>
            <w:vAlign w:val="bottom"/>
          </w:tcPr>
          <w:p>
            <w:pPr>
              <w:ind w:left="40"/>
              <w:spacing w:after="0"/>
              <w:rPr>
                <w:sz w:val="20"/>
                <w:szCs w:val="20"/>
                <w:color w:val="auto"/>
              </w:rPr>
            </w:pPr>
            <w:r>
              <w:rPr>
                <w:rFonts w:ascii="Arial" w:cs="Arial" w:eastAsia="Arial" w:hAnsi="Arial"/>
                <w:sz w:val="18"/>
                <w:szCs w:val="18"/>
                <w:color w:val="auto"/>
              </w:rPr>
              <w:t>Leah Andress Brady</w:t>
            </w:r>
          </w:p>
        </w:tc>
        <w:tc>
          <w:tcPr>
            <w:tcW w:w="5380" w:type="dxa"/>
            <w:vAlign w:val="bottom"/>
          </w:tcPr>
          <w:p>
            <w:pPr>
              <w:jc w:val="right"/>
              <w:spacing w:after="0"/>
              <w:rPr>
                <w:sz w:val="20"/>
                <w:szCs w:val="20"/>
                <w:color w:val="auto"/>
              </w:rPr>
            </w:pPr>
            <w:r>
              <w:rPr>
                <w:rFonts w:ascii="Arial" w:cs="Arial" w:eastAsia="Arial" w:hAnsi="Arial"/>
                <w:sz w:val="18"/>
                <w:szCs w:val="18"/>
                <w:color w:val="auto"/>
              </w:rPr>
              <w:t>Brenda Pomar</w:t>
            </w:r>
          </w:p>
        </w:tc>
      </w:tr>
      <w:tr>
        <w:trPr>
          <w:trHeight w:val="256"/>
        </w:trPr>
        <w:tc>
          <w:tcPr>
            <w:tcW w:w="5220" w:type="dxa"/>
            <w:vAlign w:val="bottom"/>
          </w:tcPr>
          <w:p>
            <w:pPr>
              <w:ind w:left="40"/>
              <w:spacing w:after="0"/>
              <w:rPr>
                <w:sz w:val="20"/>
                <w:szCs w:val="20"/>
                <w:color w:val="auto"/>
              </w:rPr>
            </w:pPr>
            <w:r>
              <w:rPr>
                <w:rFonts w:ascii="Arial" w:cs="Arial" w:eastAsia="Arial" w:hAnsi="Arial"/>
                <w:sz w:val="18"/>
                <w:szCs w:val="18"/>
                <w:color w:val="auto"/>
              </w:rPr>
              <w:t>Investor Relations Senior Manager</w:t>
            </w:r>
          </w:p>
        </w:tc>
        <w:tc>
          <w:tcPr>
            <w:tcW w:w="5380" w:type="dxa"/>
            <w:vAlign w:val="bottom"/>
          </w:tcPr>
          <w:p>
            <w:pPr>
              <w:jc w:val="right"/>
              <w:spacing w:after="0"/>
              <w:rPr>
                <w:sz w:val="20"/>
                <w:szCs w:val="20"/>
                <w:color w:val="auto"/>
              </w:rPr>
            </w:pPr>
            <w:r>
              <w:rPr>
                <w:rFonts w:ascii="Arial" w:cs="Arial" w:eastAsia="Arial" w:hAnsi="Arial"/>
                <w:sz w:val="18"/>
                <w:szCs w:val="18"/>
                <w:color w:val="auto"/>
              </w:rPr>
              <w:t>Corporate Communications Manager</w:t>
            </w:r>
          </w:p>
        </w:tc>
      </w:tr>
      <w:tr>
        <w:trPr>
          <w:trHeight w:val="257"/>
        </w:trPr>
        <w:tc>
          <w:tcPr>
            <w:tcW w:w="5220" w:type="dxa"/>
            <w:vAlign w:val="bottom"/>
          </w:tcPr>
          <w:p>
            <w:pPr>
              <w:ind w:left="40"/>
              <w:spacing w:after="0"/>
              <w:rPr>
                <w:sz w:val="20"/>
                <w:szCs w:val="20"/>
                <w:color w:val="auto"/>
              </w:rPr>
            </w:pPr>
            <w:r>
              <w:rPr>
                <w:rFonts w:ascii="Arial" w:cs="Arial" w:eastAsia="Arial" w:hAnsi="Arial"/>
                <w:sz w:val="18"/>
                <w:szCs w:val="18"/>
                <w:color w:val="auto"/>
              </w:rPr>
              <w:t>301.998.8265</w:t>
            </w:r>
          </w:p>
        </w:tc>
        <w:tc>
          <w:tcPr>
            <w:tcW w:w="5380" w:type="dxa"/>
            <w:vAlign w:val="bottom"/>
          </w:tcPr>
          <w:p>
            <w:pPr>
              <w:jc w:val="right"/>
              <w:spacing w:after="0"/>
              <w:rPr>
                <w:sz w:val="20"/>
                <w:szCs w:val="20"/>
                <w:color w:val="auto"/>
              </w:rPr>
            </w:pPr>
            <w:r>
              <w:rPr>
                <w:rFonts w:ascii="Arial" w:cs="Arial" w:eastAsia="Arial" w:hAnsi="Arial"/>
                <w:sz w:val="18"/>
                <w:szCs w:val="18"/>
                <w:color w:val="auto"/>
              </w:rPr>
              <w:t>301.998.8316</w:t>
            </w:r>
          </w:p>
        </w:tc>
      </w:tr>
      <w:tr>
        <w:trPr>
          <w:trHeight w:val="257"/>
        </w:trPr>
        <w:tc>
          <w:tcPr>
            <w:tcW w:w="5220" w:type="dxa"/>
            <w:vAlign w:val="bottom"/>
          </w:tcPr>
          <w:p>
            <w:pPr>
              <w:ind w:left="40"/>
              <w:spacing w:after="0"/>
              <w:rPr>
                <w:sz w:val="20"/>
                <w:szCs w:val="20"/>
                <w:color w:val="auto"/>
              </w:rPr>
            </w:pPr>
            <w:r>
              <w:rPr>
                <w:rFonts w:ascii="Arial" w:cs="Arial" w:eastAsia="Arial" w:hAnsi="Arial"/>
                <w:sz w:val="18"/>
                <w:szCs w:val="18"/>
                <w:i w:val="1"/>
                <w:iCs w:val="1"/>
                <w:color w:val="auto"/>
              </w:rPr>
              <w:t>lbrady@federalrealty.com</w:t>
            </w:r>
          </w:p>
        </w:tc>
        <w:tc>
          <w:tcPr>
            <w:tcW w:w="5380" w:type="dxa"/>
            <w:vAlign w:val="bottom"/>
          </w:tcPr>
          <w:p>
            <w:pPr>
              <w:jc w:val="right"/>
              <w:spacing w:after="0"/>
              <w:rPr>
                <w:sz w:val="20"/>
                <w:szCs w:val="20"/>
                <w:color w:val="auto"/>
              </w:rPr>
            </w:pPr>
            <w:r>
              <w:rPr>
                <w:rFonts w:ascii="Arial" w:cs="Arial" w:eastAsia="Arial" w:hAnsi="Arial"/>
                <w:sz w:val="18"/>
                <w:szCs w:val="18"/>
                <w:i w:val="1"/>
                <w:iCs w:val="1"/>
                <w:color w:val="auto"/>
              </w:rPr>
              <w:t>bpomar@federalrealty.com</w:t>
            </w:r>
          </w:p>
        </w:tc>
      </w:tr>
    </w:tbl>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 Announces First Quarter 2020 Operating Results</w:t>
      </w:r>
    </w:p>
    <w:p>
      <w:pPr>
        <w:spacing w:after="0" w:line="301" w:lineRule="exact"/>
        <w:rPr>
          <w:sz w:val="20"/>
          <w:szCs w:val="20"/>
          <w:color w:val="auto"/>
        </w:rPr>
      </w:pPr>
    </w:p>
    <w:p>
      <w:pPr>
        <w:ind w:right="280"/>
        <w:spacing w:after="0" w:line="365" w:lineRule="auto"/>
        <w:rPr>
          <w:sz w:val="20"/>
          <w:szCs w:val="20"/>
          <w:color w:val="auto"/>
        </w:rPr>
      </w:pPr>
      <w:r>
        <w:rPr>
          <w:rFonts w:ascii="Arial" w:cs="Arial" w:eastAsia="Arial" w:hAnsi="Arial"/>
          <w:sz w:val="18"/>
          <w:szCs w:val="18"/>
          <w:color w:val="auto"/>
        </w:rPr>
        <w:t xml:space="preserve">ROCKVILLE, Md. (May 6, 2020) - </w:t>
      </w:r>
      <w:r>
        <w:rPr>
          <w:rFonts w:ascii="Arial" w:cs="Arial" w:eastAsia="Arial" w:hAnsi="Arial"/>
          <w:sz w:val="18"/>
          <w:szCs w:val="18"/>
          <w:u w:val="single" w:color="auto"/>
          <w:color w:val="auto"/>
        </w:rPr>
        <w:t>Federal Realty Investment Trust</w:t>
      </w:r>
      <w:r>
        <w:rPr>
          <w:rFonts w:ascii="Arial" w:cs="Arial" w:eastAsia="Arial" w:hAnsi="Arial"/>
          <w:sz w:val="18"/>
          <w:szCs w:val="18"/>
          <w:color w:val="auto"/>
        </w:rPr>
        <w:t xml:space="preserve"> (NYSE:FRT) today reported operating results for its first quarter ended March 31, 2020. For the three months ended March 31, 2020 and 2019, net income available for common shareholders was $0.70 per diluted share and $0.78 per diluted share,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Highlights for the quarter and subsequent events include:</w:t>
      </w:r>
    </w:p>
    <w:p>
      <w:pPr>
        <w:spacing w:after="0" w:line="239" w:lineRule="exact"/>
        <w:rPr>
          <w:sz w:val="20"/>
          <w:szCs w:val="20"/>
          <w:color w:val="auto"/>
        </w:rPr>
      </w:pPr>
    </w:p>
    <w:p>
      <w:pPr>
        <w:ind w:left="660" w:right="220" w:hanging="328"/>
        <w:spacing w:after="0" w:line="3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Generated funds from operations available for common shareholders (FFO) per diluted share of $1.50 for the quarter compared to $1.56 in first quarter 2019.</w:t>
      </w:r>
    </w:p>
    <w:p>
      <w:pPr>
        <w:ind w:left="660" w:right="500" w:hanging="328"/>
        <w:spacing w:after="0" w:line="3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Signed leases for 466,453 sf of comparable space in the first quarter at an average rent of $26.78 psf and achieved cash basis rollover growth on those comparable spaces of 5%, 14% on a straight-line basis.</w:t>
      </w:r>
    </w:p>
    <w:p>
      <w:pPr>
        <w:ind w:left="660" w:right="240" w:hanging="328"/>
        <w:spacing w:after="0" w:line="3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Declared a regular quarterly cash dividend of $1.05 per common share, resulting in an indicated annual rate of $4.20 per common share payable on July 15, 2020 to common shareholders of record as of June 22, 2020.</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Sold 1 building on Colorado Boulevard in Pasadena, California subsequent to quarter end for $16.1 million.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Drew down $990 million of the $1 billion revolving credit facility in March 2020.</w:t>
      </w:r>
    </w:p>
    <w:p>
      <w:pPr>
        <w:spacing w:after="0" w:line="103" w:lineRule="exact"/>
        <w:rPr>
          <w:rFonts w:ascii="Arial" w:cs="Arial" w:eastAsia="Arial" w:hAnsi="Arial"/>
          <w:sz w:val="18"/>
          <w:szCs w:val="18"/>
          <w:color w:val="auto"/>
        </w:rPr>
      </w:pPr>
    </w:p>
    <w:p>
      <w:pPr>
        <w:ind w:left="660" w:right="120" w:hanging="328"/>
        <w:spacing w:after="0" w:line="37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Closed on a new $400 million unsecured term loan. Proceeds will be used to repay balances outstanding under Federal Realty’s $1 billion credit facility.</w:t>
      </w:r>
    </w:p>
    <w:p>
      <w:pPr>
        <w:spacing w:after="0" w:line="292" w:lineRule="exact"/>
        <w:rPr>
          <w:sz w:val="20"/>
          <w:szCs w:val="20"/>
          <w:color w:val="auto"/>
        </w:rPr>
      </w:pPr>
    </w:p>
    <w:p>
      <w:pPr>
        <w:spacing w:after="0" w:line="363" w:lineRule="auto"/>
        <w:rPr>
          <w:sz w:val="20"/>
          <w:szCs w:val="20"/>
          <w:color w:val="auto"/>
        </w:rPr>
      </w:pPr>
      <w:r>
        <w:rPr>
          <w:rFonts w:ascii="Arial" w:cs="Arial" w:eastAsia="Arial" w:hAnsi="Arial"/>
          <w:sz w:val="18"/>
          <w:szCs w:val="18"/>
          <w:color w:val="auto"/>
        </w:rPr>
        <w:t>“Our thoughts and prayers go out to all of those impacted by the virus itself along with great thanks and respect for those operating every day on the front lines,” said Donald C. Wood, President and Chief Executive Officer. “Our company went into this pandemic in a very strong position both from an operating and balance sheet perspective and fully expect to emerge retaining our market leadership position given our superior real estate and financial liquidity and flexibility.”</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440"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6534785</wp:posOffset>
            </wp:positionH>
            <wp:positionV relativeFrom="page">
              <wp:posOffset>88900</wp:posOffset>
            </wp:positionV>
            <wp:extent cx="805815" cy="316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t>Financial Results</w:t>
      </w:r>
    </w:p>
    <w:p>
      <w:pPr>
        <w:spacing w:after="0" w:line="220" w:lineRule="exact"/>
        <w:rPr>
          <w:sz w:val="20"/>
          <w:szCs w:val="20"/>
          <w:color w:val="auto"/>
        </w:rPr>
      </w:pPr>
    </w:p>
    <w:p>
      <w:pPr>
        <w:ind w:right="420"/>
        <w:spacing w:after="0" w:line="371" w:lineRule="auto"/>
        <w:rPr>
          <w:sz w:val="20"/>
          <w:szCs w:val="20"/>
          <w:color w:val="auto"/>
        </w:rPr>
      </w:pPr>
      <w:r>
        <w:rPr>
          <w:rFonts w:ascii="Arial" w:cs="Arial" w:eastAsia="Arial" w:hAnsi="Arial"/>
          <w:sz w:val="18"/>
          <w:szCs w:val="18"/>
          <w:color w:val="auto"/>
        </w:rPr>
        <w:t>Net income available for common shareholders was $52.8 million and earnings per diluted share was $0.70 for first quarter 2020 versus $58.1 million and $0.78, respectively, for first quarter 2019.</w:t>
      </w:r>
    </w:p>
    <w:p>
      <w:pPr>
        <w:spacing w:after="0" w:line="116" w:lineRule="exact"/>
        <w:rPr>
          <w:sz w:val="20"/>
          <w:szCs w:val="20"/>
          <w:color w:val="auto"/>
        </w:rPr>
      </w:pPr>
    </w:p>
    <w:p>
      <w:pPr>
        <w:spacing w:after="0" w:line="371" w:lineRule="auto"/>
        <w:rPr>
          <w:sz w:val="20"/>
          <w:szCs w:val="20"/>
          <w:color w:val="auto"/>
        </w:rPr>
      </w:pPr>
      <w:r>
        <w:rPr>
          <w:rFonts w:ascii="Arial" w:cs="Arial" w:eastAsia="Arial" w:hAnsi="Arial"/>
          <w:sz w:val="18"/>
          <w:szCs w:val="18"/>
          <w:color w:val="auto"/>
        </w:rPr>
        <w:t>In the first quarter 2020, Federal Realty generated FFO of $114.3 million, or $1.50 per diluted share. This compares to FFO of $116.9 million, or $1.56 per diluted share, in first quarter 2019.</w:t>
      </w:r>
    </w:p>
    <w:p>
      <w:pPr>
        <w:spacing w:after="0" w:line="116" w:lineRule="exact"/>
        <w:rPr>
          <w:sz w:val="20"/>
          <w:szCs w:val="20"/>
          <w:color w:val="auto"/>
        </w:rPr>
      </w:pPr>
    </w:p>
    <w:p>
      <w:pPr>
        <w:ind w:right="600"/>
        <w:spacing w:after="0" w:line="371"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to net income is attached to this press release.</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Results</w:t>
      </w:r>
    </w:p>
    <w:p>
      <w:pPr>
        <w:spacing w:after="0" w:line="220" w:lineRule="exact"/>
        <w:rPr>
          <w:sz w:val="20"/>
          <w:szCs w:val="20"/>
          <w:color w:val="auto"/>
        </w:rPr>
      </w:pPr>
    </w:p>
    <w:p>
      <w:pPr>
        <w:ind w:right="40"/>
        <w:spacing w:after="0" w:line="387" w:lineRule="auto"/>
        <w:rPr>
          <w:sz w:val="20"/>
          <w:szCs w:val="20"/>
          <w:color w:val="auto"/>
        </w:rPr>
      </w:pPr>
      <w:r>
        <w:rPr>
          <w:rFonts w:ascii="Arial" w:cs="Arial" w:eastAsia="Arial" w:hAnsi="Arial"/>
          <w:sz w:val="17"/>
          <w:szCs w:val="17"/>
          <w:color w:val="auto"/>
        </w:rPr>
        <w:t>The portfolio was 93.6% leased as of March 31, 2020, and the comparable portfolio was 94.2% leased. In first quarter 2020, comparable property POI decreased -2.5%. This metric was negatively impacted by COVID-19 related impacts of -1.7% and a negative lease termination fee impact compared to first quarter 2019 of -1.8%. Comparable property POI represents our consolidated property portfolio other than those properties that distort comparability between periods in two primary categories (1) assets that were not owned for the full quarter in both periods presented and (2) assets currently under development or being repositioned for significant redevelopment and investment.</w:t>
      </w:r>
    </w:p>
    <w:p>
      <w:pPr>
        <w:spacing w:after="0" w:line="111" w:lineRule="exact"/>
        <w:rPr>
          <w:sz w:val="20"/>
          <w:szCs w:val="20"/>
          <w:color w:val="auto"/>
        </w:rPr>
      </w:pPr>
    </w:p>
    <w:p>
      <w:pPr>
        <w:ind w:right="300"/>
        <w:spacing w:after="0" w:line="363" w:lineRule="auto"/>
        <w:rPr>
          <w:sz w:val="20"/>
          <w:szCs w:val="20"/>
          <w:color w:val="auto"/>
        </w:rPr>
      </w:pPr>
      <w:r>
        <w:rPr>
          <w:rFonts w:ascii="Arial" w:cs="Arial" w:eastAsia="Arial" w:hAnsi="Arial"/>
          <w:sz w:val="18"/>
          <w:szCs w:val="18"/>
          <w:color w:val="auto"/>
        </w:rPr>
        <w:t>During the first quarter 2020, Federal Realty signed 82 leases for 491,003 square feet of retail space. On a comparable space basis (i.e., spaces for which there was a former tenant), Federal Realty leased 466,453 square feet at an average rent of $26.78 per square foot compared to the average contractual rent of $25.58 per square foot for the last year of the prior leases, representing a cash basis rollover growth on those comparable spaces of 5%, 14% on a straight-line basis.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Regular Quarterly Dividends</w:t>
      </w:r>
    </w:p>
    <w:p>
      <w:pPr>
        <w:spacing w:after="0" w:line="261" w:lineRule="exact"/>
        <w:rPr>
          <w:sz w:val="20"/>
          <w:szCs w:val="20"/>
          <w:color w:val="auto"/>
        </w:rPr>
      </w:pPr>
    </w:p>
    <w:p>
      <w:pPr>
        <w:ind w:right="100"/>
        <w:spacing w:after="0" w:line="365" w:lineRule="auto"/>
        <w:rPr>
          <w:sz w:val="20"/>
          <w:szCs w:val="20"/>
          <w:color w:val="auto"/>
        </w:rPr>
      </w:pPr>
      <w:r>
        <w:rPr>
          <w:rFonts w:ascii="Arial" w:cs="Arial" w:eastAsia="Arial" w:hAnsi="Arial"/>
          <w:sz w:val="18"/>
          <w:szCs w:val="18"/>
          <w:color w:val="auto"/>
        </w:rPr>
        <w:t>Federal Realty also announced today that its Board of Trustees declared a regular quarterly cash dividend of $1.05 per common share, resulting in an indicated annual rate of $4.20 per common share. The regular common dividend will be payable on July 15, 2020 to common shareholders of record as of June 22, 2020.</w:t>
      </w:r>
    </w:p>
    <w:p>
      <w:pPr>
        <w:spacing w:after="0" w:line="122" w:lineRule="exact"/>
        <w:rPr>
          <w:sz w:val="20"/>
          <w:szCs w:val="20"/>
          <w:color w:val="auto"/>
        </w:rPr>
      </w:pPr>
    </w:p>
    <w:p>
      <w:pPr>
        <w:jc w:val="both"/>
        <w:ind w:right="140"/>
        <w:spacing w:after="0" w:line="365" w:lineRule="auto"/>
        <w:rPr>
          <w:sz w:val="20"/>
          <w:szCs w:val="20"/>
          <w:color w:val="auto"/>
        </w:rPr>
      </w:pPr>
      <w:r>
        <w:rPr>
          <w:rFonts w:ascii="Arial" w:cs="Arial" w:eastAsia="Arial" w:hAnsi="Arial"/>
          <w:sz w:val="18"/>
          <w:szCs w:val="18"/>
          <w:color w:val="auto"/>
        </w:rPr>
        <w:t>Federal Realty’s Board of Trustees also declared a quarterly cash dividend on its Class C depositary shares, each representing 1/1000 of a 5.000% Series C Cumulative Preferred Share of Beneficial Interest, of $0.3125 per depositary share. All dividends on the depositary shares will be payable on July 15, 2020 to common shareholders of record as of July 1, 2020.</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183"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6534785</wp:posOffset>
            </wp:positionH>
            <wp:positionV relativeFrom="page">
              <wp:posOffset>88900</wp:posOffset>
            </wp:positionV>
            <wp:extent cx="805815" cy="316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t>Summary of Other Quarterly Activities and Recent Developments</w:t>
      </w:r>
    </w:p>
    <w:p>
      <w:pPr>
        <w:spacing w:after="0" w:line="261" w:lineRule="exact"/>
        <w:rPr>
          <w:sz w:val="20"/>
          <w:szCs w:val="20"/>
          <w:color w:val="auto"/>
        </w:rPr>
      </w:pPr>
    </w:p>
    <w:p>
      <w:pPr>
        <w:ind w:right="80"/>
        <w:spacing w:after="0" w:line="365" w:lineRule="auto"/>
        <w:rPr>
          <w:sz w:val="20"/>
          <w:szCs w:val="20"/>
          <w:color w:val="auto"/>
        </w:rPr>
      </w:pPr>
      <w:r>
        <w:rPr>
          <w:rFonts w:ascii="Arial" w:cs="Arial" w:eastAsia="Arial" w:hAnsi="Arial"/>
          <w:sz w:val="18"/>
          <w:szCs w:val="18"/>
          <w:color w:val="auto"/>
        </w:rPr>
        <w:t>April 21, 2020 - Federal Realty sold the historic Pottery Barn building at the intersection of Colorado Boulevard and Fair Oaks Avenue in Old Pasadena, California, one of the most high-profile retail streets in Southern California. The building was part of the Colorado Boulevard property and was sold for $16.1 million.</w:t>
      </w:r>
    </w:p>
    <w:p>
      <w:pPr>
        <w:spacing w:after="0" w:line="122" w:lineRule="exact"/>
        <w:rPr>
          <w:sz w:val="20"/>
          <w:szCs w:val="20"/>
          <w:color w:val="auto"/>
        </w:rPr>
      </w:pPr>
    </w:p>
    <w:p>
      <w:pPr>
        <w:ind w:right="20"/>
        <w:spacing w:after="0" w:line="365" w:lineRule="auto"/>
        <w:rPr>
          <w:sz w:val="20"/>
          <w:szCs w:val="20"/>
          <w:color w:val="auto"/>
        </w:rPr>
      </w:pPr>
      <w:r>
        <w:rPr>
          <w:rFonts w:ascii="Arial" w:cs="Arial" w:eastAsia="Arial" w:hAnsi="Arial"/>
          <w:sz w:val="18"/>
          <w:szCs w:val="18"/>
          <w:color w:val="auto"/>
        </w:rPr>
        <w:t>May 6, 2020 - Federal Realty closed on a new $400 million unsecured term loan. Proceeds will be used to repay balances outstanding under the Company’s $1 billion unsecured credit facility. The term loan bears interest at LIBOR plus 135 basis points and will mature in May 2021, with an option to extend the loan until May 2022.</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 (as of May 1, 2020):</w:t>
      </w:r>
    </w:p>
    <w:p>
      <w:pPr>
        <w:spacing w:after="0" w:line="26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104 properties are open and operating.</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Approximately 53% of total April 2020 billed recurring rents have been collected to date.</w:t>
      </w:r>
    </w:p>
    <w:p>
      <w:pPr>
        <w:spacing w:after="0" w:line="103" w:lineRule="exact"/>
        <w:rPr>
          <w:rFonts w:ascii="Arial" w:cs="Arial" w:eastAsia="Arial" w:hAnsi="Arial"/>
          <w:sz w:val="18"/>
          <w:szCs w:val="18"/>
          <w:color w:val="auto"/>
        </w:rPr>
      </w:pPr>
    </w:p>
    <w:p>
      <w:pPr>
        <w:ind w:left="660" w:right="60" w:hanging="328"/>
        <w:spacing w:after="0" w:line="36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Approximately 47% of our commercial tenants are open and operating based on annualized base rent. Annualized base rent reflects the aggregate, annualized in-place contractual (defined as cash-basis excluding rent abatements) minimum rent for all occupied spaces as of March 31, 2020.</w:t>
      </w:r>
    </w:p>
    <w:p>
      <w:pPr>
        <w:jc w:val="both"/>
        <w:ind w:left="660" w:right="360" w:hanging="328"/>
        <w:spacing w:after="0" w:line="36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Construction activity has paused at Assembly Row, Santana West, and other redevelopments and smaller projects. Construction activities continue at Pike &amp; Rose and other redevelopments and smaller projects although at a slower pace as COVID-19 safety protocols are observed at all sites.</w:t>
      </w:r>
    </w:p>
    <w:p>
      <w:pPr>
        <w:ind w:left="660" w:hanging="328"/>
        <w:spacing w:after="0" w:line="381"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$995 million of cash and cash equivalents as of March 31, 2020. Pro forma for the recent unsecured term loan financing, as of March 31, 2020, Federal Realty had approximately $1.4 billion of liquidity in cash and undrawn availability under its revolving credit facility.</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Previously withdrew 2020 guidance given the complex and rapidly evolving circumstances around the COVID-19 pandemic.</w:t>
      </w:r>
    </w:p>
    <w:p>
      <w:pPr>
        <w:spacing w:after="0" w:line="200" w:lineRule="exact"/>
        <w:rPr>
          <w:sz w:val="20"/>
          <w:szCs w:val="20"/>
          <w:color w:val="auto"/>
        </w:rPr>
      </w:pPr>
    </w:p>
    <w:p>
      <w:pPr>
        <w:spacing w:after="0" w:line="214" w:lineRule="exact"/>
        <w:rPr>
          <w:sz w:val="20"/>
          <w:szCs w:val="20"/>
          <w:color w:val="auto"/>
        </w:rPr>
      </w:pPr>
    </w:p>
    <w:p>
      <w:pPr>
        <w:ind w:right="120"/>
        <w:spacing w:after="0" w:line="371" w:lineRule="auto"/>
        <w:rPr>
          <w:sz w:val="20"/>
          <w:szCs w:val="20"/>
          <w:color w:val="auto"/>
        </w:rPr>
      </w:pPr>
      <w:r>
        <w:rPr>
          <w:rFonts w:ascii="Arial" w:cs="Arial" w:eastAsia="Arial" w:hAnsi="Arial"/>
          <w:sz w:val="18"/>
          <w:szCs w:val="18"/>
          <w:color w:val="auto"/>
        </w:rPr>
        <w:t>Additional information on the impact of the COVID-19 pandemic on the Company's business to date is available in a presentation posted on the Investor section of Federal Realty's website.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61" w:lineRule="exact"/>
        <w:rPr>
          <w:sz w:val="20"/>
          <w:szCs w:val="20"/>
          <w:color w:val="auto"/>
        </w:rPr>
      </w:pPr>
    </w:p>
    <w:p>
      <w:pPr>
        <w:ind w:right="100"/>
        <w:spacing w:after="0" w:line="362" w:lineRule="auto"/>
        <w:rPr>
          <w:sz w:val="20"/>
          <w:szCs w:val="20"/>
          <w:color w:val="auto"/>
        </w:rPr>
      </w:pPr>
      <w:r>
        <w:rPr>
          <w:rFonts w:ascii="Arial" w:cs="Arial" w:eastAsia="Arial" w:hAnsi="Arial"/>
          <w:sz w:val="18"/>
          <w:szCs w:val="18"/>
          <w:color w:val="auto"/>
        </w:rPr>
        <w:t>Federal Realty’s management team will present an in-depth discussion of Federal Realty's operating performance on its first quarter 2020 earnings conference call, which is scheduled for Thursday, May 7, 2020 at 8:00AM ET. To participate, please call 877.445.3230 five to ten minutes prior to the call start time and use the passcode 3585364 (required). The teleconference can also be accessed via a live webcast at www.federalrealty.com in the Investors section. A replay of the webcast will be available on Federal Realty’s website at www.federalrealty.com. A telephonic replay of the conference call will also be available through May 21, 2020 by dialing 855.859.2056; Passcode: 3585364.</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886"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6534785</wp:posOffset>
            </wp:positionH>
            <wp:positionV relativeFrom="page">
              <wp:posOffset>88900</wp:posOffset>
            </wp:positionV>
            <wp:extent cx="805815" cy="316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t>About Federal Realty</w:t>
      </w:r>
    </w:p>
    <w:p>
      <w:pPr>
        <w:spacing w:after="0" w:line="261" w:lineRule="exact"/>
        <w:rPr>
          <w:sz w:val="20"/>
          <w:szCs w:val="20"/>
          <w:color w:val="auto"/>
        </w:rPr>
      </w:pPr>
    </w:p>
    <w:p>
      <w:pPr>
        <w:jc w:val="both"/>
        <w:spacing w:after="0" w:line="361" w:lineRule="auto"/>
        <w:rPr>
          <w:sz w:val="20"/>
          <w:szCs w:val="20"/>
          <w:color w:val="auto"/>
        </w:rPr>
      </w:pPr>
      <w:r>
        <w:rPr>
          <w:rFonts w:ascii="Arial" w:cs="Arial" w:eastAsia="Arial" w:hAnsi="Arial"/>
          <w:sz w:val="18"/>
          <w:szCs w:val="18"/>
          <w:color w:val="auto"/>
        </w:rPr>
        <w:t>Federal Realty is a recognized leader in the ownership, operation and redevelopment of high-quality retail based properties located primarily in major coastal markets from Washington, D.C. to Boston as well as San Francisco and Los Angeles. Founded in 1962, Federal Realty’s mission is to deliver long term, sustainable growth through investing in densely populated, affluent communities where retail demand exceeds supply. Its expertise includes creating urban, mixed-use neighborhoods like Santana Row in San Jose, California, Pike &amp; Rose in North Bethesda, Maryland and Assembly Row in Somerville, Massachusetts. These unique and vibrant environments that combine shopping, dining, living and working provide a destination experience valued by their respective communities. Federal Realty's 104 properties include approximately 3,000 tenants, in 24 million square feet, and over 2,700 residential units.</w:t>
      </w:r>
    </w:p>
    <w:p>
      <w:pPr>
        <w:spacing w:after="0" w:line="129" w:lineRule="exact"/>
        <w:rPr>
          <w:sz w:val="20"/>
          <w:szCs w:val="20"/>
          <w:color w:val="auto"/>
        </w:rPr>
      </w:pPr>
    </w:p>
    <w:p>
      <w:pPr>
        <w:ind w:right="120"/>
        <w:spacing w:after="0" w:line="365" w:lineRule="auto"/>
        <w:rPr>
          <w:sz w:val="20"/>
          <w:szCs w:val="20"/>
          <w:color w:val="auto"/>
        </w:rPr>
      </w:pPr>
      <w:r>
        <w:rPr>
          <w:rFonts w:ascii="Arial" w:cs="Arial" w:eastAsia="Arial" w:hAnsi="Arial"/>
          <w:sz w:val="18"/>
          <w:szCs w:val="18"/>
          <w:color w:val="auto"/>
        </w:rPr>
        <w:t>Federal Realty has increased its quarterly dividends to its shareholders for 52 consecutive years, the longest record in the REIT industry. Federal Realty is an S&amp;P 500 index member and its shares are traded on the NYSE under the symbol FRT. For additional information about Federal Realty and its properties, visit www.federalrealty.com.</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Language</w:t>
      </w:r>
    </w:p>
    <w:p>
      <w:pPr>
        <w:spacing w:after="0" w:line="198" w:lineRule="exact"/>
        <w:rPr>
          <w:sz w:val="20"/>
          <w:szCs w:val="20"/>
          <w:color w:val="auto"/>
        </w:rPr>
      </w:pPr>
    </w:p>
    <w:p>
      <w:pPr>
        <w:ind w:right="80"/>
        <w:spacing w:after="0" w:line="245" w:lineRule="auto"/>
        <w:rPr>
          <w:sz w:val="20"/>
          <w:szCs w:val="20"/>
          <w:color w:val="auto"/>
        </w:rPr>
      </w:pPr>
      <w:r>
        <w:rPr>
          <w:rFonts w:ascii="Arial" w:cs="Arial" w:eastAsia="Arial" w:hAnsi="Arial"/>
          <w:sz w:val="14"/>
          <w:szCs w:val="14"/>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10, 2020 and subsequent quarterly reports on Form 10-Q, and include the following:</w:t>
      </w:r>
    </w:p>
    <w:p>
      <w:pPr>
        <w:ind w:left="660" w:hanging="328"/>
        <w:spacing w:after="0" w:line="23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4"/>
          <w:szCs w:val="14"/>
          <w:i w:val="1"/>
          <w:iCs w:val="1"/>
          <w:color w:val="auto"/>
        </w:rPr>
        <w:t>natural disasters, climate change and public health crises, including the COVID-19 pandemic, could have an adverse impact on our cash flow and operating results;</w:t>
      </w:r>
    </w:p>
    <w:p>
      <w:pPr>
        <w:spacing w:after="0" w:line="12" w:lineRule="exact"/>
        <w:rPr>
          <w:rFonts w:ascii="Arial" w:cs="Arial" w:eastAsia="Arial" w:hAnsi="Arial"/>
          <w:sz w:val="18"/>
          <w:szCs w:val="18"/>
          <w:color w:val="auto"/>
        </w:rPr>
      </w:pPr>
    </w:p>
    <w:p>
      <w:pPr>
        <w:ind w:left="660" w:hanging="328"/>
        <w:spacing w:after="0" w:line="252" w:lineRule="auto"/>
        <w:tabs>
          <w:tab w:leader="none" w:pos="66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risks that our tenants will not pay rent, may vacate early or may file for bankruptcy or that we may be unable to renew leases or re-let space at favorable rents as leases expire;</w:t>
      </w:r>
    </w:p>
    <w:p>
      <w:pPr>
        <w:spacing w:after="0" w:line="3" w:lineRule="exact"/>
        <w:rPr>
          <w:rFonts w:ascii="Arial" w:cs="Arial" w:eastAsia="Arial" w:hAnsi="Arial"/>
          <w:sz w:val="14"/>
          <w:szCs w:val="14"/>
          <w:i w:val="1"/>
          <w:iCs w:val="1"/>
          <w:color w:val="auto"/>
        </w:rPr>
      </w:pPr>
    </w:p>
    <w:p>
      <w:pPr>
        <w:ind w:left="660" w:right="20" w:hanging="328"/>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4"/>
          <w:szCs w:val="14"/>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30"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4"/>
          <w:szCs w:val="14"/>
          <w:i w:val="1"/>
          <w:iCs w:val="1"/>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30" w:lineRule="exact"/>
        <w:rPr>
          <w:rFonts w:ascii="Arial" w:cs="Arial" w:eastAsia="Arial" w:hAnsi="Arial"/>
          <w:sz w:val="18"/>
          <w:szCs w:val="18"/>
          <w:color w:val="auto"/>
        </w:rPr>
      </w:pPr>
    </w:p>
    <w:p>
      <w:pPr>
        <w:jc w:val="both"/>
        <w:ind w:left="660" w:hanging="328"/>
        <w:spacing w:after="0" w:line="29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4"/>
          <w:szCs w:val="14"/>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4"/>
          <w:szCs w:val="14"/>
          <w:i w:val="1"/>
          <w:iCs w:val="1"/>
          <w:color w:val="auto"/>
        </w:rPr>
        <w:t>risks that our growth will be limited if we cannot obtain additional capital;</w:t>
      </w:r>
    </w:p>
    <w:p>
      <w:pPr>
        <w:spacing w:after="0" w:line="12"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4"/>
          <w:szCs w:val="14"/>
          <w:i w:val="1"/>
          <w:iCs w:val="1"/>
          <w:color w:val="auto"/>
        </w:rPr>
        <w:t>risks associated with general economic conditions, including local economic conditions in our geographic markets;</w:t>
      </w:r>
    </w:p>
    <w:p>
      <w:pPr>
        <w:spacing w:after="0" w:line="30" w:lineRule="exact"/>
        <w:rPr>
          <w:rFonts w:ascii="Arial" w:cs="Arial" w:eastAsia="Arial" w:hAnsi="Arial"/>
          <w:sz w:val="18"/>
          <w:szCs w:val="18"/>
          <w:color w:val="auto"/>
        </w:rPr>
      </w:pPr>
    </w:p>
    <w:p>
      <w:pPr>
        <w:jc w:val="both"/>
        <w:ind w:left="660" w:right="20" w:hanging="328"/>
        <w:spacing w:after="0" w:line="28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4"/>
          <w:szCs w:val="14"/>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30" w:lineRule="exact"/>
        <w:rPr>
          <w:rFonts w:ascii="Arial" w:cs="Arial" w:eastAsia="Arial" w:hAnsi="Arial"/>
          <w:sz w:val="18"/>
          <w:szCs w:val="18"/>
          <w:color w:val="auto"/>
        </w:rPr>
      </w:pPr>
    </w:p>
    <w:p>
      <w:pPr>
        <w:jc w:val="both"/>
        <w:ind w:left="660" w:right="20" w:hanging="328"/>
        <w:spacing w:after="0" w:line="29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4"/>
          <w:szCs w:val="14"/>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9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Given these uncertainties, readers are cautioned not to place undue reliance on any forward-looking statements that we make, including those in this press release.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10, 2020 and subsequent quarterly reports on Form 10-Q.</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86" w:right="339" w:bottom="1440" w:gutter="0" w:footer="0" w:header="0"/>
        </w:sectPr>
      </w:pPr>
    </w:p>
    <w:bookmarkStart w:id="9" w:name="page10"/>
    <w:bookmarkEnd w:id="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Income Statements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2020</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4"/>
          </w:tcPr>
          <w:p>
            <w:pPr>
              <w:jc w:val="center"/>
              <w:ind w:right="151"/>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276"/>
        </w:trPr>
        <w:tc>
          <w:tcPr>
            <w:tcW w:w="52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center"/>
              <w:ind w:left="673"/>
              <w:spacing w:after="0"/>
              <w:rPr>
                <w:sz w:val="20"/>
                <w:szCs w:val="20"/>
                <w:color w:val="auto"/>
              </w:rPr>
            </w:pPr>
            <w:r>
              <w:rPr>
                <w:rFonts w:ascii="Arial" w:cs="Arial" w:eastAsia="Arial" w:hAnsi="Arial"/>
                <w:sz w:val="14"/>
                <w:szCs w:val="14"/>
                <w:b w:val="1"/>
                <w:bCs w:val="1"/>
                <w:color w:val="auto"/>
                <w:w w:val="99"/>
              </w:rPr>
              <w:t>March 31,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4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4"/>
        </w:trPr>
        <w:tc>
          <w:tcPr>
            <w:tcW w:w="524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60" w:type="dxa"/>
            <w:vAlign w:val="bottom"/>
            <w:gridSpan w:val="4"/>
          </w:tcPr>
          <w:p>
            <w:pPr>
              <w:jc w:val="center"/>
              <w:ind w:right="131"/>
              <w:spacing w:after="0"/>
              <w:rPr>
                <w:sz w:val="20"/>
                <w:szCs w:val="20"/>
                <w:color w:val="auto"/>
              </w:rPr>
            </w:pPr>
            <w:r>
              <w:rPr>
                <w:rFonts w:ascii="Arial" w:cs="Arial" w:eastAsia="Arial" w:hAnsi="Arial"/>
                <w:sz w:val="14"/>
                <w:szCs w:val="14"/>
                <w:b w:val="1"/>
                <w:bCs w:val="1"/>
                <w:color w:val="auto"/>
                <w:w w:val="91"/>
              </w:rPr>
              <w:t>(in thousands, except per share data)</w:t>
            </w:r>
          </w:p>
        </w:tc>
        <w:tc>
          <w:tcPr>
            <w:tcW w:w="0" w:type="dxa"/>
            <w:vAlign w:val="bottom"/>
          </w:tcPr>
          <w:p>
            <w:pPr>
              <w:spacing w:after="0"/>
              <w:rPr>
                <w:sz w:val="1"/>
                <w:szCs w:val="1"/>
                <w:color w:val="auto"/>
              </w:rPr>
            </w:pPr>
          </w:p>
        </w:tc>
      </w:tr>
      <w:tr>
        <w:trPr>
          <w:trHeight w:val="270"/>
        </w:trPr>
        <w:tc>
          <w:tcPr>
            <w:tcW w:w="524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60" w:type="dxa"/>
            <w:vAlign w:val="bottom"/>
            <w:gridSpan w:val="3"/>
          </w:tcPr>
          <w:p>
            <w:pPr>
              <w:jc w:val="center"/>
              <w:ind w:left="673"/>
              <w:spacing w:after="0"/>
              <w:rPr>
                <w:sz w:val="20"/>
                <w:szCs w:val="20"/>
                <w:color w:val="auto"/>
              </w:rPr>
            </w:pPr>
            <w:r>
              <w:rPr>
                <w:rFonts w:ascii="Arial" w:cs="Arial" w:eastAsia="Arial" w:hAnsi="Arial"/>
                <w:sz w:val="14"/>
                <w:szCs w:val="14"/>
                <w:b w:val="1"/>
                <w:bCs w:val="1"/>
                <w:color w:val="auto"/>
                <w:w w:val="94"/>
              </w:rPr>
              <w:t>(unaudited)</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5240" w:type="dxa"/>
            <w:vAlign w:val="bottom"/>
          </w:tcPr>
          <w:p>
            <w:pPr>
              <w:ind w:left="40"/>
              <w:spacing w:after="0"/>
              <w:rPr>
                <w:sz w:val="20"/>
                <w:szCs w:val="20"/>
                <w:color w:val="auto"/>
              </w:rPr>
            </w:pPr>
            <w:r>
              <w:rPr>
                <w:rFonts w:ascii="Arial" w:cs="Arial" w:eastAsia="Arial" w:hAnsi="Arial"/>
                <w:sz w:val="18"/>
                <w:szCs w:val="18"/>
                <w:color w:val="auto"/>
              </w:rPr>
              <w:t>REVENUE</w:t>
            </w:r>
          </w:p>
        </w:tc>
        <w:tc>
          <w:tcPr>
            <w:tcW w:w="2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 income</w:t>
            </w:r>
          </w:p>
        </w:tc>
        <w:tc>
          <w:tcPr>
            <w:tcW w:w="3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230,798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231,492</w:t>
            </w:r>
          </w:p>
        </w:tc>
        <w:tc>
          <w:tcPr>
            <w:tcW w:w="0" w:type="dxa"/>
            <w:vAlign w:val="bottom"/>
          </w:tcPr>
          <w:p>
            <w:pPr>
              <w:spacing w:after="0"/>
              <w:rPr>
                <w:sz w:val="1"/>
                <w:szCs w:val="1"/>
                <w:color w:val="auto"/>
              </w:rPr>
            </w:pPr>
          </w:p>
        </w:tc>
      </w:tr>
      <w:tr>
        <w:trPr>
          <w:trHeight w:val="243"/>
        </w:trPr>
        <w:tc>
          <w:tcPr>
            <w:tcW w:w="5240" w:type="dxa"/>
            <w:vAlign w:val="bottom"/>
          </w:tcPr>
          <w:p>
            <w:pPr>
              <w:ind w:left="280"/>
              <w:spacing w:after="0"/>
              <w:rPr>
                <w:sz w:val="20"/>
                <w:szCs w:val="20"/>
                <w:color w:val="auto"/>
              </w:rPr>
            </w:pPr>
            <w:r>
              <w:rPr>
                <w:rFonts w:ascii="Arial" w:cs="Arial" w:eastAsia="Arial" w:hAnsi="Arial"/>
                <w:sz w:val="18"/>
                <w:szCs w:val="18"/>
                <w:color w:val="auto"/>
              </w:rPr>
              <w:t>Mortgage interest income</w:t>
            </w:r>
          </w:p>
        </w:tc>
        <w:tc>
          <w:tcPr>
            <w:tcW w:w="2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29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231,557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232,227</w:t>
            </w:r>
          </w:p>
        </w:tc>
        <w:tc>
          <w:tcPr>
            <w:tcW w:w="0" w:type="dxa"/>
            <w:vAlign w:val="bottom"/>
          </w:tcPr>
          <w:p>
            <w:pPr>
              <w:spacing w:after="0"/>
              <w:rPr>
                <w:sz w:val="1"/>
                <w:szCs w:val="1"/>
                <w:color w:val="auto"/>
              </w:rPr>
            </w:pP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color w:val="auto"/>
              </w:rPr>
              <w:t>EXPENSES</w:t>
            </w:r>
          </w:p>
        </w:tc>
        <w:tc>
          <w:tcPr>
            <w:tcW w:w="29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 expenses</w:t>
            </w:r>
          </w:p>
        </w:tc>
        <w:tc>
          <w:tcPr>
            <w:tcW w:w="2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44,312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44,260</w:t>
            </w:r>
          </w:p>
        </w:tc>
        <w:tc>
          <w:tcPr>
            <w:tcW w:w="0" w:type="dxa"/>
            <w:vAlign w:val="bottom"/>
          </w:tcPr>
          <w:p>
            <w:pPr>
              <w:spacing w:after="0"/>
              <w:rPr>
                <w:sz w:val="1"/>
                <w:szCs w:val="1"/>
                <w:color w:val="auto"/>
              </w:rPr>
            </w:pPr>
          </w:p>
        </w:tc>
      </w:tr>
      <w:tr>
        <w:trPr>
          <w:trHeight w:val="243"/>
        </w:trPr>
        <w:tc>
          <w:tcPr>
            <w:tcW w:w="5240" w:type="dxa"/>
            <w:vAlign w:val="bottom"/>
          </w:tcPr>
          <w:p>
            <w:pPr>
              <w:ind w:left="280"/>
              <w:spacing w:after="0"/>
              <w:rPr>
                <w:sz w:val="20"/>
                <w:szCs w:val="20"/>
                <w:color w:val="auto"/>
              </w:rPr>
            </w:pPr>
            <w:r>
              <w:rPr>
                <w:rFonts w:ascii="Arial" w:cs="Arial" w:eastAsia="Arial" w:hAnsi="Arial"/>
                <w:sz w:val="18"/>
                <w:szCs w:val="18"/>
                <w:color w:val="auto"/>
              </w:rPr>
              <w:t>Real estate taxes</w:t>
            </w:r>
          </w:p>
        </w:tc>
        <w:tc>
          <w:tcPr>
            <w:tcW w:w="2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29,064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27,687</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9,565</w:t>
            </w:r>
          </w:p>
        </w:tc>
        <w:tc>
          <w:tcPr>
            <w:tcW w:w="0" w:type="dxa"/>
            <w:vAlign w:val="bottom"/>
          </w:tcPr>
          <w:p>
            <w:pPr>
              <w:spacing w:after="0"/>
              <w:rPr>
                <w:sz w:val="1"/>
                <w:szCs w:val="1"/>
                <w:color w:val="auto"/>
              </w:rPr>
            </w:pPr>
          </w:p>
        </w:tc>
      </w:tr>
      <w:tr>
        <w:trPr>
          <w:trHeight w:val="243"/>
        </w:trPr>
        <w:tc>
          <w:tcPr>
            <w:tcW w:w="52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62,188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59,622</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29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145,815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141,134</w:t>
            </w:r>
          </w:p>
        </w:tc>
        <w:tc>
          <w:tcPr>
            <w:tcW w:w="0" w:type="dxa"/>
            <w:vAlign w:val="bottom"/>
          </w:tcPr>
          <w:p>
            <w:pPr>
              <w:spacing w:after="0"/>
              <w:rPr>
                <w:sz w:val="1"/>
                <w:szCs w:val="1"/>
                <w:color w:val="auto"/>
              </w:rPr>
            </w:pPr>
          </w:p>
        </w:tc>
      </w:tr>
      <w:tr>
        <w:trPr>
          <w:trHeight w:val="318"/>
        </w:trPr>
        <w:tc>
          <w:tcPr>
            <w:tcW w:w="52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85,742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91,093</w:t>
            </w:r>
          </w:p>
        </w:tc>
        <w:tc>
          <w:tcPr>
            <w:tcW w:w="0" w:type="dxa"/>
            <w:vAlign w:val="bottom"/>
          </w:tcPr>
          <w:p>
            <w:pPr>
              <w:spacing w:after="0"/>
              <w:rPr>
                <w:sz w:val="1"/>
                <w:szCs w:val="1"/>
                <w:color w:val="auto"/>
              </w:rPr>
            </w:pPr>
          </w:p>
        </w:tc>
      </w:tr>
      <w:tr>
        <w:trPr>
          <w:trHeight w:val="324"/>
        </w:trPr>
        <w:tc>
          <w:tcPr>
            <w:tcW w:w="52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INCOME/(EXPENSE)</w:t>
            </w:r>
          </w:p>
        </w:tc>
        <w:tc>
          <w:tcPr>
            <w:tcW w:w="2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280"/>
              <w:spacing w:after="0"/>
              <w:rPr>
                <w:sz w:val="20"/>
                <w:szCs w:val="20"/>
                <w:color w:val="auto"/>
              </w:rPr>
            </w:pPr>
            <w:r>
              <w:rPr>
                <w:rFonts w:ascii="Arial" w:cs="Arial" w:eastAsia="Arial" w:hAnsi="Arial"/>
                <w:sz w:val="18"/>
                <w:szCs w:val="18"/>
                <w:color w:val="auto"/>
              </w:rPr>
              <w:t>Other interest income</w:t>
            </w:r>
          </w:p>
        </w:tc>
        <w:tc>
          <w:tcPr>
            <w:tcW w:w="2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(28,445)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(28,033)</w:t>
            </w:r>
          </w:p>
        </w:tc>
        <w:tc>
          <w:tcPr>
            <w:tcW w:w="0" w:type="dxa"/>
            <w:vAlign w:val="bottom"/>
          </w:tcPr>
          <w:p>
            <w:pPr>
              <w:spacing w:after="0"/>
              <w:rPr>
                <w:sz w:val="1"/>
                <w:szCs w:val="1"/>
                <w:color w:val="auto"/>
              </w:rPr>
            </w:pPr>
          </w:p>
        </w:tc>
      </w:tr>
      <w:tr>
        <w:trPr>
          <w:trHeight w:val="243"/>
        </w:trPr>
        <w:tc>
          <w:tcPr>
            <w:tcW w:w="5240" w:type="dxa"/>
            <w:vAlign w:val="bottom"/>
          </w:tcPr>
          <w:p>
            <w:pPr>
              <w:ind w:left="280"/>
              <w:spacing w:after="0"/>
              <w:rPr>
                <w:sz w:val="20"/>
                <w:szCs w:val="20"/>
                <w:color w:val="auto"/>
              </w:rPr>
            </w:pPr>
            <w:r>
              <w:rPr>
                <w:rFonts w:ascii="Arial" w:cs="Arial" w:eastAsia="Arial" w:hAnsi="Arial"/>
                <w:sz w:val="18"/>
                <w:szCs w:val="18"/>
                <w:color w:val="auto"/>
              </w:rPr>
              <w:t>Loss from partnerships</w:t>
            </w:r>
          </w:p>
        </w:tc>
        <w:tc>
          <w:tcPr>
            <w:tcW w:w="2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56,441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61,803</w:t>
            </w:r>
          </w:p>
        </w:tc>
        <w:tc>
          <w:tcPr>
            <w:tcW w:w="0" w:type="dxa"/>
            <w:vAlign w:val="bottom"/>
          </w:tcPr>
          <w:p>
            <w:pPr>
              <w:spacing w:after="0"/>
              <w:rPr>
                <w:sz w:val="1"/>
                <w:szCs w:val="1"/>
                <w:color w:val="auto"/>
              </w:rPr>
            </w:pPr>
          </w:p>
        </w:tc>
      </w:tr>
      <w:tr>
        <w:trPr>
          <w:trHeight w:val="243"/>
        </w:trPr>
        <w:tc>
          <w:tcPr>
            <w:tcW w:w="5240" w:type="dxa"/>
            <w:vAlign w:val="bottom"/>
          </w:tcPr>
          <w:p>
            <w:pPr>
              <w:ind w:left="300"/>
              <w:spacing w:after="0"/>
              <w:rPr>
                <w:sz w:val="20"/>
                <w:szCs w:val="20"/>
                <w:color w:val="auto"/>
              </w:rPr>
            </w:pPr>
            <w:r>
              <w:rPr>
                <w:rFonts w:ascii="Arial" w:cs="Arial" w:eastAsia="Arial" w:hAnsi="Arial"/>
                <w:sz w:val="18"/>
                <w:szCs w:val="18"/>
                <w:color w:val="auto"/>
              </w:rPr>
              <w:t>Net income attributable to noncontrolling interests</w:t>
            </w:r>
          </w:p>
        </w:tc>
        <w:tc>
          <w:tcPr>
            <w:tcW w:w="2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(1,678)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2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54,763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60,144</w:t>
            </w:r>
          </w:p>
        </w:tc>
        <w:tc>
          <w:tcPr>
            <w:tcW w:w="0" w:type="dxa"/>
            <w:vAlign w:val="bottom"/>
          </w:tcPr>
          <w:p>
            <w:pPr>
              <w:spacing w:after="0"/>
              <w:rPr>
                <w:sz w:val="1"/>
                <w:szCs w:val="1"/>
                <w:color w:val="auto"/>
              </w:rPr>
            </w:pPr>
          </w:p>
        </w:tc>
      </w:tr>
      <w:tr>
        <w:trPr>
          <w:trHeight w:val="243"/>
        </w:trPr>
        <w:tc>
          <w:tcPr>
            <w:tcW w:w="5240" w:type="dxa"/>
            <w:vAlign w:val="bottom"/>
          </w:tcPr>
          <w:p>
            <w:pPr>
              <w:ind w:left="280"/>
              <w:spacing w:after="0"/>
              <w:rPr>
                <w:sz w:val="20"/>
                <w:szCs w:val="20"/>
                <w:color w:val="auto"/>
              </w:rPr>
            </w:pPr>
            <w:r>
              <w:rPr>
                <w:rFonts w:ascii="Arial" w:cs="Arial" w:eastAsia="Arial" w:hAnsi="Arial"/>
                <w:sz w:val="18"/>
                <w:szCs w:val="18"/>
                <w:color w:val="auto"/>
              </w:rPr>
              <w:t>Dividends on preferred shares</w:t>
            </w:r>
          </w:p>
        </w:tc>
        <w:tc>
          <w:tcPr>
            <w:tcW w:w="2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3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52,753</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58,134</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BASIC:</w:t>
            </w:r>
          </w:p>
        </w:tc>
        <w:tc>
          <w:tcPr>
            <w:tcW w:w="2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40" w:type="dxa"/>
            <w:vAlign w:val="bottom"/>
            <w:vMerge w:val="continue"/>
          </w:tcPr>
          <w:p>
            <w:pPr>
              <w:spacing w:after="0"/>
              <w:rPr>
                <w:sz w:val="20"/>
                <w:szCs w:val="20"/>
                <w:color w:val="auto"/>
              </w:rPr>
            </w:pPr>
          </w:p>
        </w:tc>
        <w:tc>
          <w:tcPr>
            <w:tcW w:w="2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 available for common shareholders</w:t>
            </w:r>
          </w:p>
        </w:tc>
        <w:tc>
          <w:tcPr>
            <w:tcW w:w="3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0.70</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2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Weighted average number of common shares</w:t>
            </w:r>
          </w:p>
        </w:tc>
        <w:tc>
          <w:tcPr>
            <w:tcW w:w="29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75,360</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74,200</w:t>
            </w:r>
          </w:p>
        </w:tc>
        <w:tc>
          <w:tcPr>
            <w:tcW w:w="0" w:type="dxa"/>
            <w:vAlign w:val="bottom"/>
          </w:tcPr>
          <w:p>
            <w:pPr>
              <w:spacing w:after="0"/>
              <w:rPr>
                <w:sz w:val="1"/>
                <w:szCs w:val="1"/>
                <w:color w:val="auto"/>
              </w:rPr>
            </w:pPr>
          </w:p>
        </w:tc>
      </w:tr>
      <w:tr>
        <w:trPr>
          <w:trHeight w:val="237"/>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 DILUTED:</w:t>
            </w:r>
          </w:p>
        </w:tc>
        <w:tc>
          <w:tcPr>
            <w:tcW w:w="29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5240" w:type="dxa"/>
            <w:vAlign w:val="bottom"/>
          </w:tcPr>
          <w:p>
            <w:pPr>
              <w:ind w:left="280"/>
              <w:spacing w:after="0"/>
              <w:rPr>
                <w:sz w:val="20"/>
                <w:szCs w:val="20"/>
                <w:color w:val="auto"/>
              </w:rPr>
            </w:pPr>
            <w:r>
              <w:rPr>
                <w:rFonts w:ascii="Arial" w:cs="Arial" w:eastAsia="Arial" w:hAnsi="Arial"/>
                <w:sz w:val="18"/>
                <w:szCs w:val="18"/>
                <w:color w:val="auto"/>
              </w:rPr>
              <w:t>Net income available for common shareholders</w:t>
            </w:r>
          </w:p>
        </w:tc>
        <w:tc>
          <w:tcPr>
            <w:tcW w:w="3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50"/>
        </w:trPr>
        <w:tc>
          <w:tcPr>
            <w:tcW w:w="52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number of common shares</w:t>
            </w:r>
          </w:p>
        </w:tc>
        <w:tc>
          <w:tcPr>
            <w:tcW w:w="29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75,360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74,200</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980" w:type="dxa"/>
            <w:vAlign w:val="bottom"/>
            <w:vMerge w:val="restart"/>
          </w:tcPr>
          <w:p>
            <w:pPr>
              <w:jc w:val="right"/>
              <w:ind w:right="2470"/>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24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15" w:right="339"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2020</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March 31,</w:t>
            </w:r>
          </w:p>
        </w:tc>
        <w:tc>
          <w:tcPr>
            <w:tcW w:w="140" w:type="dxa"/>
            <w:vAlign w:val="bottom"/>
          </w:tcPr>
          <w:p>
            <w:pPr>
              <w:spacing w:after="0"/>
              <w:rPr>
                <w:sz w:val="16"/>
                <w:szCs w:val="16"/>
                <w:color w:val="auto"/>
              </w:rPr>
            </w:pPr>
          </w:p>
        </w:tc>
        <w:tc>
          <w:tcPr>
            <w:tcW w:w="1080" w:type="dxa"/>
            <w:vAlign w:val="bottom"/>
          </w:tcPr>
          <w:p>
            <w:pPr>
              <w:jc w:val="right"/>
              <w:ind w:right="111"/>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276"/>
        </w:trPr>
        <w:tc>
          <w:tcPr>
            <w:tcW w:w="86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52"/>
        </w:trPr>
        <w:tc>
          <w:tcPr>
            <w:tcW w:w="8660" w:type="dxa"/>
            <w:vAlign w:val="bottom"/>
          </w:tcPr>
          <w:p>
            <w:pPr>
              <w:spacing w:after="0"/>
              <w:rPr>
                <w:sz w:val="13"/>
                <w:szCs w:val="13"/>
                <w:color w:val="auto"/>
              </w:rPr>
            </w:pPr>
          </w:p>
        </w:tc>
        <w:tc>
          <w:tcPr>
            <w:tcW w:w="2580" w:type="dxa"/>
            <w:vAlign w:val="bottom"/>
            <w:gridSpan w:val="5"/>
          </w:tcPr>
          <w:p>
            <w:pPr>
              <w:ind w:left="40"/>
              <w:spacing w:after="0" w:line="153" w:lineRule="exact"/>
              <w:rPr>
                <w:sz w:val="20"/>
                <w:szCs w:val="20"/>
                <w:color w:val="auto"/>
              </w:rPr>
            </w:pPr>
            <w:r>
              <w:rPr>
                <w:rFonts w:ascii="Arial" w:cs="Arial" w:eastAsia="Arial" w:hAnsi="Arial"/>
                <w:sz w:val="14"/>
                <w:szCs w:val="14"/>
                <w:b w:val="1"/>
                <w:bCs w:val="1"/>
                <w:color w:val="auto"/>
                <w:w w:val="89"/>
              </w:rPr>
              <w:t>(in thousands, except share and per share</w:t>
            </w:r>
          </w:p>
        </w:tc>
        <w:tc>
          <w:tcPr>
            <w:tcW w:w="0" w:type="dxa"/>
            <w:vAlign w:val="bottom"/>
          </w:tcPr>
          <w:p>
            <w:pPr>
              <w:spacing w:after="0"/>
              <w:rPr>
                <w:sz w:val="1"/>
                <w:szCs w:val="1"/>
                <w:color w:val="auto"/>
              </w:rPr>
            </w:pPr>
          </w:p>
        </w:tc>
      </w:tr>
      <w:tr>
        <w:trPr>
          <w:trHeight w:val="186"/>
        </w:trPr>
        <w:tc>
          <w:tcPr>
            <w:tcW w:w="8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data)</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8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8660" w:type="dxa"/>
            <w:vAlign w:val="bottom"/>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at cost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60" w:type="dxa"/>
            <w:vAlign w:val="bottom"/>
          </w:tcPr>
          <w:p>
            <w:pPr>
              <w:ind w:left="720"/>
              <w:spacing w:after="0"/>
              <w:rPr>
                <w:sz w:val="20"/>
                <w:szCs w:val="20"/>
                <w:color w:val="auto"/>
              </w:rPr>
            </w:pPr>
            <w:r>
              <w:rPr>
                <w:rFonts w:ascii="Arial" w:cs="Arial" w:eastAsia="Arial" w:hAnsi="Arial"/>
                <w:sz w:val="18"/>
                <w:szCs w:val="18"/>
                <w:color w:val="auto"/>
                <w:w w:val="96"/>
              </w:rPr>
              <w:t>Operating (including $1,751,718 and $1,676,866 of consolidated variable interest entities, respectively)</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7,774,485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7,535,983</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Construction-in-progress (including $84,034 and $102,583 of consolidated variable interest entities,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671,486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760,420</w:t>
            </w:r>
          </w:p>
        </w:tc>
        <w:tc>
          <w:tcPr>
            <w:tcW w:w="0" w:type="dxa"/>
            <w:vAlign w:val="bottom"/>
          </w:tcPr>
          <w:p>
            <w:pPr>
              <w:spacing w:after="0"/>
              <w:rPr>
                <w:sz w:val="1"/>
                <w:szCs w:val="1"/>
                <w:color w:val="auto"/>
              </w:rPr>
            </w:pPr>
          </w:p>
        </w:tc>
      </w:tr>
      <w:tr>
        <w:trPr>
          <w:trHeight w:val="243"/>
        </w:trPr>
        <w:tc>
          <w:tcPr>
            <w:tcW w:w="8660" w:type="dxa"/>
            <w:vAlign w:val="bottom"/>
          </w:tcPr>
          <w:p>
            <w:pPr>
              <w:ind w:left="720"/>
              <w:spacing w:after="0"/>
              <w:rPr>
                <w:sz w:val="20"/>
                <w:szCs w:val="20"/>
                <w:color w:val="auto"/>
              </w:rPr>
            </w:pPr>
            <w:r>
              <w:rPr>
                <w:rFonts w:ascii="Arial" w:cs="Arial" w:eastAsia="Arial" w:hAnsi="Arial"/>
                <w:sz w:val="18"/>
                <w:szCs w:val="18"/>
                <w:color w:val="auto"/>
              </w:rPr>
              <w:t>Assets held for sale</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5,796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7"/>
        </w:trPr>
        <w:tc>
          <w:tcPr>
            <w:tcW w:w="8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8,451,767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8,298,132</w:t>
            </w:r>
          </w:p>
        </w:tc>
        <w:tc>
          <w:tcPr>
            <w:tcW w:w="0" w:type="dxa"/>
            <w:vAlign w:val="bottom"/>
          </w:tcPr>
          <w:p>
            <w:pPr>
              <w:spacing w:after="0"/>
              <w:rPr>
                <w:sz w:val="1"/>
                <w:szCs w:val="1"/>
                <w:color w:val="auto"/>
              </w:rPr>
            </w:pPr>
          </w:p>
        </w:tc>
      </w:tr>
      <w:tr>
        <w:trPr>
          <w:trHeight w:val="229"/>
        </w:trPr>
        <w:tc>
          <w:tcPr>
            <w:tcW w:w="8660" w:type="dxa"/>
            <w:vAlign w:val="bottom"/>
          </w:tcPr>
          <w:p>
            <w:pPr>
              <w:ind w:left="720"/>
              <w:spacing w:after="0"/>
              <w:rPr>
                <w:sz w:val="20"/>
                <w:szCs w:val="20"/>
                <w:color w:val="auto"/>
              </w:rPr>
            </w:pPr>
            <w:r>
              <w:rPr>
                <w:rFonts w:ascii="Arial" w:cs="Arial" w:eastAsia="Arial" w:hAnsi="Arial"/>
                <w:sz w:val="18"/>
                <w:szCs w:val="18"/>
                <w:color w:val="auto"/>
                <w:w w:val="92"/>
              </w:rPr>
              <w:t>Less accumulated depreciation and amortization (including $306,861 and $296,165 of consolidated variable</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60" w:type="dxa"/>
            <w:vAlign w:val="bottom"/>
          </w:tcPr>
          <w:p>
            <w:pPr>
              <w:ind w:left="720"/>
              <w:spacing w:after="0"/>
              <w:rPr>
                <w:sz w:val="20"/>
                <w:szCs w:val="20"/>
                <w:color w:val="auto"/>
              </w:rPr>
            </w:pPr>
            <w:r>
              <w:rPr>
                <w:rFonts w:ascii="Arial" w:cs="Arial" w:eastAsia="Arial" w:hAnsi="Arial"/>
                <w:sz w:val="18"/>
                <w:szCs w:val="18"/>
                <w:color w:val="auto"/>
              </w:rPr>
              <w:t>interest entities, respectively)</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(2,258,994)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(2,215,413)</w:t>
            </w:r>
          </w:p>
        </w:tc>
        <w:tc>
          <w:tcPr>
            <w:tcW w:w="0" w:type="dxa"/>
            <w:vAlign w:val="bottom"/>
          </w:tcPr>
          <w:p>
            <w:pPr>
              <w:spacing w:after="0"/>
              <w:rPr>
                <w:sz w:val="1"/>
                <w:szCs w:val="1"/>
                <w:color w:val="auto"/>
              </w:rPr>
            </w:pPr>
          </w:p>
        </w:tc>
      </w:tr>
      <w:tr>
        <w:trPr>
          <w:trHeight w:val="27"/>
        </w:trPr>
        <w:tc>
          <w:tcPr>
            <w:tcW w:w="8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real estate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6,192,773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6,082,719</w:t>
            </w:r>
          </w:p>
        </w:tc>
        <w:tc>
          <w:tcPr>
            <w:tcW w:w="0" w:type="dxa"/>
            <w:vAlign w:val="bottom"/>
          </w:tcPr>
          <w:p>
            <w:pPr>
              <w:spacing w:after="0"/>
              <w:rPr>
                <w:sz w:val="1"/>
                <w:szCs w:val="1"/>
                <w:color w:val="auto"/>
              </w:rPr>
            </w:pP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994,688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127,432</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and notes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153,243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152,572</w:t>
            </w:r>
          </w:p>
        </w:tc>
        <w:tc>
          <w:tcPr>
            <w:tcW w:w="0" w:type="dxa"/>
            <w:vAlign w:val="bottom"/>
          </w:tcPr>
          <w:p>
            <w:pPr>
              <w:spacing w:after="0"/>
              <w:rPr>
                <w:sz w:val="1"/>
                <w:szCs w:val="1"/>
                <w:color w:val="auto"/>
              </w:rPr>
            </w:pP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Mortgage notes receivable, net</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30,332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30,429</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partnerships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28,604</w:t>
            </w:r>
          </w:p>
        </w:tc>
        <w:tc>
          <w:tcPr>
            <w:tcW w:w="0" w:type="dxa"/>
            <w:vAlign w:val="bottom"/>
          </w:tcPr>
          <w:p>
            <w:pPr>
              <w:spacing w:after="0"/>
              <w:rPr>
                <w:sz w:val="1"/>
                <w:szCs w:val="1"/>
                <w:color w:val="auto"/>
              </w:rPr>
            </w:pP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Operating lease right of use assets</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94,147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93,774</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Finance lease right of use assets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52,402</w:t>
            </w:r>
          </w:p>
        </w:tc>
        <w:tc>
          <w:tcPr>
            <w:tcW w:w="0" w:type="dxa"/>
            <w:vAlign w:val="bottom"/>
          </w:tcPr>
          <w:p>
            <w:pPr>
              <w:spacing w:after="0"/>
              <w:rPr>
                <w:sz w:val="1"/>
                <w:szCs w:val="1"/>
                <w:color w:val="auto"/>
              </w:rPr>
            </w:pP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216,692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227,060</w:t>
            </w:r>
          </w:p>
        </w:tc>
        <w:tc>
          <w:tcPr>
            <w:tcW w:w="0" w:type="dxa"/>
            <w:vAlign w:val="bottom"/>
          </w:tcPr>
          <w:p>
            <w:pPr>
              <w:spacing w:after="0"/>
              <w:rPr>
                <w:sz w:val="1"/>
                <w:szCs w:val="1"/>
                <w:color w:val="auto"/>
              </w:rPr>
            </w:pPr>
          </w:p>
        </w:tc>
      </w:tr>
      <w:tr>
        <w:trPr>
          <w:trHeight w:val="27"/>
        </w:trPr>
        <w:tc>
          <w:tcPr>
            <w:tcW w:w="8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7,759,914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6,794,992</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LIABILITIES AND SHAREHOLDERS’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6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660" w:type="dxa"/>
            <w:vAlign w:val="bottom"/>
          </w:tcPr>
          <w:p>
            <w:pPr>
              <w:ind w:left="720"/>
              <w:spacing w:after="0"/>
              <w:rPr>
                <w:sz w:val="20"/>
                <w:szCs w:val="20"/>
                <w:color w:val="auto"/>
              </w:rPr>
            </w:pPr>
            <w:r>
              <w:rPr>
                <w:rFonts w:ascii="Arial" w:cs="Arial" w:eastAsia="Arial" w:hAnsi="Arial"/>
                <w:sz w:val="18"/>
                <w:szCs w:val="18"/>
                <w:color w:val="auto"/>
              </w:rPr>
              <w:t>Mortgages payable, net (including $476,944 and $469,184 of consolidated variable interest entities,</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60" w:type="dxa"/>
            <w:vAlign w:val="bottom"/>
          </w:tcPr>
          <w:p>
            <w:pPr>
              <w:ind w:left="720"/>
              <w:spacing w:after="0"/>
              <w:rPr>
                <w:sz w:val="20"/>
                <w:szCs w:val="20"/>
                <w:color w:val="auto"/>
              </w:rPr>
            </w:pPr>
            <w:r>
              <w:rPr>
                <w:rFonts w:ascii="Arial" w:cs="Arial" w:eastAsia="Arial" w:hAnsi="Arial"/>
                <w:sz w:val="18"/>
                <w:szCs w:val="18"/>
                <w:color w:val="auto"/>
              </w:rPr>
              <w:t>respectively)</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552,813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545,679</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Notes payable, net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993,752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3,781</w:t>
            </w:r>
          </w:p>
        </w:tc>
        <w:tc>
          <w:tcPr>
            <w:tcW w:w="0" w:type="dxa"/>
            <w:vAlign w:val="bottom"/>
          </w:tcPr>
          <w:p>
            <w:pPr>
              <w:spacing w:after="0"/>
              <w:rPr>
                <w:sz w:val="1"/>
                <w:szCs w:val="1"/>
                <w:color w:val="auto"/>
              </w:rPr>
            </w:pPr>
          </w:p>
        </w:tc>
      </w:tr>
      <w:tr>
        <w:trPr>
          <w:trHeight w:val="243"/>
        </w:trPr>
        <w:tc>
          <w:tcPr>
            <w:tcW w:w="8660" w:type="dxa"/>
            <w:vAlign w:val="bottom"/>
          </w:tcPr>
          <w:p>
            <w:pPr>
              <w:ind w:left="720"/>
              <w:spacing w:after="0"/>
              <w:rPr>
                <w:sz w:val="20"/>
                <w:szCs w:val="20"/>
                <w:color w:val="auto"/>
              </w:rPr>
            </w:pPr>
            <w:r>
              <w:rPr>
                <w:rFonts w:ascii="Arial" w:cs="Arial" w:eastAsia="Arial" w:hAnsi="Arial"/>
                <w:sz w:val="18"/>
                <w:szCs w:val="18"/>
                <w:color w:val="auto"/>
              </w:rPr>
              <w:t>Senior notes and debentures, net</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2,807,848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2,807,134</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245,968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255,503</w:t>
            </w:r>
          </w:p>
        </w:tc>
        <w:tc>
          <w:tcPr>
            <w:tcW w:w="0" w:type="dxa"/>
            <w:vAlign w:val="bottom"/>
          </w:tcPr>
          <w:p>
            <w:pPr>
              <w:spacing w:after="0"/>
              <w:rPr>
                <w:sz w:val="1"/>
                <w:szCs w:val="1"/>
                <w:color w:val="auto"/>
              </w:rPr>
            </w:pPr>
          </w:p>
        </w:tc>
      </w:tr>
      <w:tr>
        <w:trPr>
          <w:trHeight w:val="243"/>
        </w:trPr>
        <w:tc>
          <w:tcPr>
            <w:tcW w:w="8660" w:type="dxa"/>
            <w:vAlign w:val="bottom"/>
          </w:tcPr>
          <w:p>
            <w:pPr>
              <w:ind w:left="720"/>
              <w:spacing w:after="0"/>
              <w:rPr>
                <w:sz w:val="20"/>
                <w:szCs w:val="20"/>
                <w:color w:val="auto"/>
              </w:rPr>
            </w:pPr>
            <w:r>
              <w:rPr>
                <w:rFonts w:ascii="Arial" w:cs="Arial" w:eastAsia="Arial" w:hAnsi="Arial"/>
                <w:sz w:val="18"/>
                <w:szCs w:val="18"/>
                <w:color w:val="auto"/>
              </w:rPr>
              <w:t>Dividends payable</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81,899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81,676</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Security deposits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21,701</w:t>
            </w:r>
          </w:p>
        </w:tc>
        <w:tc>
          <w:tcPr>
            <w:tcW w:w="0" w:type="dxa"/>
            <w:vAlign w:val="bottom"/>
          </w:tcPr>
          <w:p>
            <w:pPr>
              <w:spacing w:after="0"/>
              <w:rPr>
                <w:sz w:val="1"/>
                <w:szCs w:val="1"/>
                <w:color w:val="auto"/>
              </w:rPr>
            </w:pPr>
          </w:p>
        </w:tc>
      </w:tr>
      <w:tr>
        <w:trPr>
          <w:trHeight w:val="243"/>
        </w:trPr>
        <w:tc>
          <w:tcPr>
            <w:tcW w:w="8660" w:type="dxa"/>
            <w:vAlign w:val="bottom"/>
          </w:tcPr>
          <w:p>
            <w:pPr>
              <w:ind w:left="720"/>
              <w:spacing w:after="0"/>
              <w:rPr>
                <w:sz w:val="20"/>
                <w:szCs w:val="20"/>
                <w:color w:val="auto"/>
              </w:rPr>
            </w:pPr>
            <w:r>
              <w:rPr>
                <w:rFonts w:ascii="Arial" w:cs="Arial" w:eastAsia="Arial" w:hAnsi="Arial"/>
                <w:sz w:val="18"/>
                <w:szCs w:val="18"/>
                <w:color w:val="auto"/>
              </w:rPr>
              <w:t>Operating lease liabilities</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74,082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73,628</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Finance 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72,059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72,062</w:t>
            </w:r>
          </w:p>
        </w:tc>
        <w:tc>
          <w:tcPr>
            <w:tcW w:w="0" w:type="dxa"/>
            <w:vAlign w:val="bottom"/>
          </w:tcPr>
          <w:p>
            <w:pPr>
              <w:spacing w:after="0"/>
              <w:rPr>
                <w:sz w:val="1"/>
                <w:szCs w:val="1"/>
                <w:color w:val="auto"/>
              </w:rPr>
            </w:pPr>
          </w:p>
        </w:tc>
      </w:tr>
      <w:tr>
        <w:trPr>
          <w:trHeight w:val="243"/>
        </w:trPr>
        <w:tc>
          <w:tcPr>
            <w:tcW w:w="8660" w:type="dxa"/>
            <w:vAlign w:val="bottom"/>
          </w:tcPr>
          <w:p>
            <w:pPr>
              <w:ind w:left="720"/>
              <w:spacing w:after="0"/>
              <w:rPr>
                <w:sz w:val="20"/>
                <w:szCs w:val="20"/>
                <w:color w:val="auto"/>
              </w:rPr>
            </w:pPr>
            <w:r>
              <w:rPr>
                <w:rFonts w:ascii="Arial" w:cs="Arial" w:eastAsia="Arial" w:hAnsi="Arial"/>
                <w:sz w:val="18"/>
                <w:szCs w:val="18"/>
                <w:color w:val="auto"/>
              </w:rPr>
              <w:t>Other liabilities and deferred credits</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150,410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157,938</w:t>
            </w:r>
          </w:p>
        </w:tc>
        <w:tc>
          <w:tcPr>
            <w:tcW w:w="0" w:type="dxa"/>
            <w:vAlign w:val="bottom"/>
          </w:tcPr>
          <w:p>
            <w:pPr>
              <w:spacing w:after="0"/>
              <w:rPr>
                <w:sz w:val="1"/>
                <w:szCs w:val="1"/>
                <w:color w:val="auto"/>
              </w:rPr>
            </w:pPr>
          </w:p>
        </w:tc>
      </w:tr>
      <w:tr>
        <w:trPr>
          <w:trHeight w:val="27"/>
        </w:trPr>
        <w:tc>
          <w:tcPr>
            <w:tcW w:w="8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5,000,772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4,019,102</w:t>
            </w:r>
          </w:p>
        </w:tc>
        <w:tc>
          <w:tcPr>
            <w:tcW w:w="0" w:type="dxa"/>
            <w:vAlign w:val="bottom"/>
          </w:tcPr>
          <w:p>
            <w:pPr>
              <w:spacing w:after="0"/>
              <w:rPr>
                <w:sz w:val="1"/>
                <w:szCs w:val="1"/>
                <w:color w:val="auto"/>
              </w:rPr>
            </w:pP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Redeemable noncontrolling interests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159,534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139,758</w:t>
            </w:r>
          </w:p>
        </w:tc>
        <w:tc>
          <w:tcPr>
            <w:tcW w:w="0" w:type="dxa"/>
            <w:vAlign w:val="bottom"/>
          </w:tcPr>
          <w:p>
            <w:pPr>
              <w:spacing w:after="0"/>
              <w:rPr>
                <w:sz w:val="1"/>
                <w:szCs w:val="1"/>
                <w:color w:val="auto"/>
              </w:rPr>
            </w:pP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Preferred shares, authorized 15,000,000 shares, $.01 par:</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660" w:type="dxa"/>
            <w:vAlign w:val="bottom"/>
          </w:tcPr>
          <w:p>
            <w:pPr>
              <w:ind w:left="820"/>
              <w:spacing w:after="0"/>
              <w:rPr>
                <w:sz w:val="20"/>
                <w:szCs w:val="20"/>
                <w:color w:val="auto"/>
              </w:rPr>
            </w:pPr>
            <w:r>
              <w:rPr>
                <w:rFonts w:ascii="Arial" w:cs="Arial" w:eastAsia="Arial" w:hAnsi="Arial"/>
                <w:sz w:val="18"/>
                <w:szCs w:val="18"/>
                <w:color w:val="auto"/>
                <w:w w:val="95"/>
              </w:rPr>
              <w:t>5.0% Series C Cumulative Redeemable Preferred Shares, (stated at liquidation preference $25,000 per</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60" w:type="dxa"/>
            <w:vAlign w:val="bottom"/>
          </w:tcPr>
          <w:p>
            <w:pPr>
              <w:ind w:left="820"/>
              <w:spacing w:after="0"/>
              <w:rPr>
                <w:sz w:val="20"/>
                <w:szCs w:val="20"/>
                <w:color w:val="auto"/>
              </w:rPr>
            </w:pPr>
            <w:r>
              <w:rPr>
                <w:rFonts w:ascii="Arial" w:cs="Arial" w:eastAsia="Arial" w:hAnsi="Arial"/>
                <w:sz w:val="18"/>
                <w:szCs w:val="18"/>
                <w:color w:val="auto"/>
              </w:rPr>
              <w:t>share), 6,000 shares issued and outstanding</w:t>
            </w: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66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1"/>
              </w:rPr>
              <w:t>5.417% Series 1 Cumulative Convertible Preferred Shares, (stated at liquidation preference $25 per share),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6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399,896 shares issued and outstanding</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9,997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29"/>
        </w:trPr>
        <w:tc>
          <w:tcPr>
            <w:tcW w:w="8660" w:type="dxa"/>
            <w:vAlign w:val="bottom"/>
          </w:tcPr>
          <w:p>
            <w:pPr>
              <w:ind w:left="720"/>
              <w:spacing w:after="0"/>
              <w:rPr>
                <w:sz w:val="20"/>
                <w:szCs w:val="20"/>
                <w:color w:val="auto"/>
              </w:rPr>
            </w:pPr>
            <w:r>
              <w:rPr>
                <w:rFonts w:ascii="Arial" w:cs="Arial" w:eastAsia="Arial" w:hAnsi="Arial"/>
                <w:sz w:val="18"/>
                <w:szCs w:val="18"/>
                <w:color w:val="auto"/>
                <w:w w:val="91"/>
              </w:rPr>
              <w:t>Common shares of beneficial interest, $.01 par, 100,000,000 shares authorized, 75,622,504 and 75,540,804</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60" w:type="dxa"/>
            <w:vAlign w:val="bottom"/>
          </w:tcPr>
          <w:p>
            <w:pPr>
              <w:ind w:left="720"/>
              <w:spacing w:after="0"/>
              <w:rPr>
                <w:sz w:val="20"/>
                <w:szCs w:val="20"/>
                <w:color w:val="auto"/>
              </w:rPr>
            </w:pPr>
            <w:r>
              <w:rPr>
                <w:rFonts w:ascii="Arial" w:cs="Arial" w:eastAsia="Arial" w:hAnsi="Arial"/>
                <w:sz w:val="18"/>
                <w:szCs w:val="18"/>
                <w:color w:val="auto"/>
              </w:rPr>
              <w:t>shares issued and outstanding, respectively</w:t>
            </w: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3,166,899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3,166,522</w:t>
            </w:r>
          </w:p>
        </w:tc>
        <w:tc>
          <w:tcPr>
            <w:tcW w:w="0" w:type="dxa"/>
            <w:vAlign w:val="bottom"/>
          </w:tcPr>
          <w:p>
            <w:pPr>
              <w:spacing w:after="0"/>
              <w:rPr>
                <w:sz w:val="1"/>
                <w:szCs w:val="1"/>
                <w:color w:val="auto"/>
              </w:rPr>
            </w:pPr>
          </w:p>
        </w:tc>
      </w:tr>
      <w:tr>
        <w:trPr>
          <w:trHeight w:val="243"/>
        </w:trPr>
        <w:tc>
          <w:tcPr>
            <w:tcW w:w="8660" w:type="dxa"/>
            <w:vAlign w:val="bottom"/>
          </w:tcPr>
          <w:p>
            <w:pPr>
              <w:ind w:left="720"/>
              <w:spacing w:after="0"/>
              <w:rPr>
                <w:sz w:val="20"/>
                <w:szCs w:val="20"/>
                <w:color w:val="auto"/>
              </w:rPr>
            </w:pPr>
            <w:r>
              <w:rPr>
                <w:rFonts w:ascii="Arial" w:cs="Arial" w:eastAsia="Arial" w:hAnsi="Arial"/>
                <w:sz w:val="18"/>
                <w:szCs w:val="18"/>
                <w:color w:val="auto"/>
              </w:rPr>
              <w:t>Accumulated dividends in excess of net income</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(818,284)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(791,124)</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36"/>
        </w:trPr>
        <w:tc>
          <w:tcPr>
            <w:tcW w:w="8660" w:type="dxa"/>
            <w:vAlign w:val="bottom"/>
          </w:tcPr>
          <w:p>
            <w:pPr>
              <w:ind w:left="380"/>
              <w:spacing w:after="0"/>
              <w:rPr>
                <w:sz w:val="20"/>
                <w:szCs w:val="20"/>
                <w:color w:val="auto"/>
              </w:rPr>
            </w:pPr>
            <w:r>
              <w:rPr>
                <w:rFonts w:ascii="Arial" w:cs="Arial" w:eastAsia="Arial" w:hAnsi="Arial"/>
                <w:sz w:val="18"/>
                <w:szCs w:val="18"/>
                <w:color w:val="auto"/>
              </w:rPr>
              <w:t>Total shareholders’ equity of the Trust</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2,502,107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2,535,341</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97,501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100,791</w:t>
            </w:r>
          </w:p>
        </w:tc>
        <w:tc>
          <w:tcPr>
            <w:tcW w:w="0" w:type="dxa"/>
            <w:vAlign w:val="bottom"/>
          </w:tcPr>
          <w:p>
            <w:pPr>
              <w:spacing w:after="0"/>
              <w:rPr>
                <w:sz w:val="1"/>
                <w:szCs w:val="1"/>
                <w:color w:val="auto"/>
              </w:rPr>
            </w:pPr>
          </w:p>
        </w:tc>
      </w:tr>
      <w:tr>
        <w:trPr>
          <w:trHeight w:val="236"/>
        </w:trPr>
        <w:tc>
          <w:tcPr>
            <w:tcW w:w="8660" w:type="dxa"/>
            <w:vAlign w:val="bottom"/>
          </w:tcPr>
          <w:p>
            <w:pPr>
              <w:ind w:left="38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2,599,608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2,636,132</w:t>
            </w:r>
          </w:p>
        </w:tc>
        <w:tc>
          <w:tcPr>
            <w:tcW w:w="0" w:type="dxa"/>
            <w:vAlign w:val="bottom"/>
          </w:tcPr>
          <w:p>
            <w:pPr>
              <w:spacing w:after="0"/>
              <w:rPr>
                <w:sz w:val="1"/>
                <w:szCs w:val="1"/>
                <w:color w:val="auto"/>
              </w:rPr>
            </w:pPr>
          </w:p>
        </w:tc>
      </w:tr>
      <w:tr>
        <w:trPr>
          <w:trHeight w:val="27"/>
        </w:trPr>
        <w:tc>
          <w:tcPr>
            <w:tcW w:w="8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7,759,914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6,794,992</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15" w:right="339" w:bottom="42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40"/>
          </w:cols>
          <w:pgMar w:left="320" w:top="715" w:right="339" w:bottom="420" w:gutter="0" w:footer="0" w:header="0"/>
          <w:type w:val="continuous"/>
        </w:sectPr>
      </w:pPr>
    </w:p>
    <w:bookmarkStart w:id="11" w:name="page12"/>
    <w:bookmarkEnd w:id="1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Funds From Operations / Other Supplemental Information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2020</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jc w:val="center"/>
              <w:ind w:right="131"/>
              <w:spacing w:after="0"/>
              <w:rPr>
                <w:sz w:val="20"/>
                <w:szCs w:val="20"/>
                <w:color w:val="auto"/>
              </w:rPr>
            </w:pPr>
            <w:r>
              <w:rPr>
                <w:rFonts w:ascii="Arial" w:cs="Arial" w:eastAsia="Arial" w:hAnsi="Arial"/>
                <w:sz w:val="14"/>
                <w:szCs w:val="14"/>
                <w:b w:val="1"/>
                <w:bCs w:val="1"/>
                <w:color w:val="auto"/>
                <w:w w:val="93"/>
              </w:rPr>
              <w:t>Three Months Ended</w:t>
            </w:r>
          </w:p>
        </w:tc>
      </w:tr>
      <w:tr>
        <w:trPr>
          <w:trHeight w:val="276"/>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center"/>
              <w:ind w:left="693"/>
              <w:spacing w:after="0"/>
              <w:rPr>
                <w:sz w:val="20"/>
                <w:szCs w:val="20"/>
                <w:color w:val="auto"/>
              </w:rPr>
            </w:pPr>
            <w:r>
              <w:rPr>
                <w:rFonts w:ascii="Arial" w:cs="Arial" w:eastAsia="Arial" w:hAnsi="Arial"/>
                <w:sz w:val="14"/>
                <w:szCs w:val="14"/>
                <w:b w:val="1"/>
                <w:bCs w:val="1"/>
                <w:color w:val="auto"/>
                <w:w w:val="95"/>
              </w:rPr>
              <w:t>March 31,</w:t>
            </w:r>
          </w:p>
        </w:tc>
        <w:tc>
          <w:tcPr>
            <w:tcW w:w="1000" w:type="dxa"/>
            <w:vAlign w:val="bottom"/>
            <w:tcBorders>
              <w:bottom w:val="single" w:sz="8" w:color="auto"/>
            </w:tcBorders>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50"/>
        </w:trPr>
        <w:tc>
          <w:tcPr>
            <w:tcW w:w="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20" w:type="dxa"/>
            <w:vAlign w:val="bottom"/>
            <w:gridSpan w:val="4"/>
          </w:tcPr>
          <w:p>
            <w:pPr>
              <w:jc w:val="center"/>
              <w:ind w:right="131"/>
              <w:spacing w:after="0"/>
              <w:rPr>
                <w:sz w:val="20"/>
                <w:szCs w:val="20"/>
                <w:color w:val="auto"/>
              </w:rPr>
            </w:pPr>
            <w:r>
              <w:rPr>
                <w:rFonts w:ascii="Arial" w:cs="Arial" w:eastAsia="Arial" w:hAnsi="Arial"/>
                <w:sz w:val="14"/>
                <w:szCs w:val="14"/>
                <w:b w:val="1"/>
                <w:bCs w:val="1"/>
                <w:color w:val="auto"/>
                <w:w w:val="91"/>
              </w:rPr>
              <w:t>(in thousands, except per share data)</w:t>
            </w:r>
          </w:p>
        </w:tc>
      </w:tr>
      <w:tr>
        <w:trPr>
          <w:trHeight w:val="256"/>
        </w:trPr>
        <w:tc>
          <w:tcPr>
            <w:tcW w:w="40" w:type="dxa"/>
            <w:vAlign w:val="bottom"/>
            <w:shd w:val="clear" w:color="auto" w:fill="CCEEFF"/>
          </w:tcPr>
          <w:p>
            <w:pPr>
              <w:spacing w:after="0"/>
              <w:rPr>
                <w:sz w:val="22"/>
                <w:szCs w:val="22"/>
                <w:color w:val="auto"/>
              </w:rPr>
            </w:pPr>
          </w:p>
        </w:tc>
        <w:tc>
          <w:tcPr>
            <w:tcW w:w="82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Funds from Operations available for common shareholders (FFO) (1) (2)</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52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Net income</w:t>
            </w:r>
          </w:p>
        </w:tc>
        <w:tc>
          <w:tcPr>
            <w:tcW w:w="298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CCEEFF"/>
            </w:tcBorders>
          </w:tcPr>
          <w:p>
            <w:pPr>
              <w:jc w:val="right"/>
              <w:ind w:right="93"/>
              <w:spacing w:after="0"/>
              <w:rPr>
                <w:sz w:val="20"/>
                <w:szCs w:val="20"/>
                <w:color w:val="auto"/>
              </w:rPr>
            </w:pPr>
            <w:r>
              <w:rPr>
                <w:rFonts w:ascii="Arial" w:cs="Arial" w:eastAsia="Arial" w:hAnsi="Arial"/>
                <w:sz w:val="18"/>
                <w:szCs w:val="18"/>
                <w:color w:val="auto"/>
              </w:rPr>
              <w:t>56,441</w:t>
            </w:r>
          </w:p>
        </w:tc>
        <w:tc>
          <w:tcPr>
            <w:tcW w:w="10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CCEEFF"/>
            </w:tcBorders>
          </w:tcPr>
          <w:p>
            <w:pPr>
              <w:jc w:val="right"/>
              <w:ind w:right="91"/>
              <w:spacing w:after="0"/>
              <w:rPr>
                <w:sz w:val="20"/>
                <w:szCs w:val="20"/>
                <w:color w:val="auto"/>
              </w:rPr>
            </w:pPr>
            <w:r>
              <w:rPr>
                <w:rFonts w:ascii="Arial" w:cs="Arial" w:eastAsia="Arial" w:hAnsi="Arial"/>
                <w:sz w:val="18"/>
                <w:szCs w:val="18"/>
                <w:color w:val="auto"/>
              </w:rPr>
              <w:t>61,803</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(1,678)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(1,659)</w:t>
            </w:r>
          </w:p>
        </w:tc>
      </w:tr>
      <w:tr>
        <w:trPr>
          <w:trHeight w:val="243"/>
        </w:trPr>
        <w:tc>
          <w:tcPr>
            <w:tcW w:w="40" w:type="dxa"/>
            <w:vAlign w:val="bottom"/>
          </w:tcPr>
          <w:p>
            <w:pPr>
              <w:spacing w:after="0"/>
              <w:rPr>
                <w:sz w:val="21"/>
                <w:szCs w:val="21"/>
                <w:color w:val="auto"/>
              </w:rPr>
            </w:pPr>
          </w:p>
        </w:tc>
        <w:tc>
          <w:tcPr>
            <w:tcW w:w="8220" w:type="dxa"/>
            <w:vAlign w:val="bottom"/>
            <w:gridSpan w:val="5"/>
          </w:tcPr>
          <w:p>
            <w:pPr>
              <w:spacing w:after="0"/>
              <w:rPr>
                <w:sz w:val="20"/>
                <w:szCs w:val="20"/>
                <w:color w:val="auto"/>
              </w:rPr>
            </w:pPr>
            <w:r>
              <w:rPr>
                <w:rFonts w:ascii="Arial" w:cs="Arial" w:eastAsia="Arial" w:hAnsi="Arial"/>
                <w:sz w:val="18"/>
                <w:szCs w:val="18"/>
                <w:color w:val="auto"/>
              </w:rPr>
              <w:t>Depreciation and amortization of real estate assets</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56,046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53,489</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2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Amortization of initial direct costs of leases</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4,900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4,750</w:t>
            </w:r>
          </w:p>
        </w:tc>
      </w:tr>
      <w:tr>
        <w:trPr>
          <w:trHeight w:val="237"/>
        </w:trPr>
        <w:tc>
          <w:tcPr>
            <w:tcW w:w="40" w:type="dxa"/>
            <w:vAlign w:val="bottom"/>
          </w:tcPr>
          <w:p>
            <w:pPr>
              <w:spacing w:after="0"/>
              <w:rPr>
                <w:sz w:val="20"/>
                <w:szCs w:val="20"/>
                <w:color w:val="auto"/>
              </w:rPr>
            </w:pPr>
          </w:p>
        </w:tc>
        <w:tc>
          <w:tcPr>
            <w:tcW w:w="8220" w:type="dxa"/>
            <w:vAlign w:val="bottom"/>
            <w:gridSpan w:val="5"/>
          </w:tcPr>
          <w:p>
            <w:pPr>
              <w:ind w:left="340"/>
              <w:spacing w:after="0"/>
              <w:rPr>
                <w:sz w:val="20"/>
                <w:szCs w:val="20"/>
                <w:color w:val="auto"/>
              </w:rPr>
            </w:pPr>
            <w:r>
              <w:rPr>
                <w:rFonts w:ascii="Arial" w:cs="Arial" w:eastAsia="Arial" w:hAnsi="Arial"/>
                <w:sz w:val="18"/>
                <w:szCs w:val="18"/>
                <w:color w:val="auto"/>
              </w:rPr>
              <w:t>Funds from operations</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115,709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118,383</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Dividends on preferred shares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(1,875)</w:t>
            </w:r>
          </w:p>
        </w:tc>
      </w:tr>
      <w:tr>
        <w:trPr>
          <w:trHeight w:val="243"/>
        </w:trPr>
        <w:tc>
          <w:tcPr>
            <w:tcW w:w="40" w:type="dxa"/>
            <w:vAlign w:val="bottom"/>
          </w:tcPr>
          <w:p>
            <w:pPr>
              <w:spacing w:after="0"/>
              <w:rPr>
                <w:sz w:val="21"/>
                <w:szCs w:val="21"/>
                <w:color w:val="auto"/>
              </w:rPr>
            </w:pPr>
          </w:p>
        </w:tc>
        <w:tc>
          <w:tcPr>
            <w:tcW w:w="8220" w:type="dxa"/>
            <w:vAlign w:val="bottom"/>
            <w:gridSpan w:val="5"/>
          </w:tcPr>
          <w:p>
            <w:pPr>
              <w:spacing w:after="0"/>
              <w:rPr>
                <w:sz w:val="20"/>
                <w:szCs w:val="20"/>
                <w:color w:val="auto"/>
              </w:rPr>
            </w:pPr>
            <w:r>
              <w:rPr>
                <w:rFonts w:ascii="Arial" w:cs="Arial" w:eastAsia="Arial" w:hAnsi="Arial"/>
                <w:sz w:val="18"/>
                <w:szCs w:val="18"/>
                <w:color w:val="auto"/>
              </w:rPr>
              <w:t>Income attributable to operating partnership units</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729</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2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Income attributable to unvested shares</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(344)</w:t>
            </w:r>
          </w:p>
        </w:tc>
      </w:tr>
      <w:tr>
        <w:trPr>
          <w:trHeight w:val="297"/>
        </w:trPr>
        <w:tc>
          <w:tcPr>
            <w:tcW w:w="40" w:type="dxa"/>
            <w:vAlign w:val="bottom"/>
            <w:tcBorders>
              <w:bottom w:val="single" w:sz="8" w:color="CCEEFF"/>
            </w:tcBorders>
          </w:tcPr>
          <w:p>
            <w:pPr>
              <w:spacing w:after="0"/>
              <w:rPr>
                <w:sz w:val="24"/>
                <w:szCs w:val="24"/>
                <w:color w:val="auto"/>
              </w:rPr>
            </w:pPr>
          </w:p>
        </w:tc>
        <w:tc>
          <w:tcPr>
            <w:tcW w:w="8220" w:type="dxa"/>
            <w:vAlign w:val="bottom"/>
            <w:tcBorders>
              <w:bottom w:val="single" w:sz="8" w:color="CCEEFF"/>
            </w:tcBorders>
            <w:gridSpan w:val="5"/>
          </w:tcPr>
          <w:p>
            <w:pPr>
              <w:ind w:left="340"/>
              <w:spacing w:after="0"/>
              <w:rPr>
                <w:sz w:val="20"/>
                <w:szCs w:val="20"/>
                <w:color w:val="auto"/>
              </w:rPr>
            </w:pPr>
            <w:r>
              <w:rPr>
                <w:rFonts w:ascii="Arial" w:cs="Arial" w:eastAsia="Arial" w:hAnsi="Arial"/>
                <w:sz w:val="18"/>
                <w:szCs w:val="18"/>
                <w:color w:val="auto"/>
              </w:rPr>
              <w:t>FFO</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114,268</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116,893</w:t>
            </w:r>
          </w:p>
        </w:tc>
      </w:tr>
      <w:tr>
        <w:trPr>
          <w:trHeight w:val="251"/>
        </w:trPr>
        <w:tc>
          <w:tcPr>
            <w:tcW w:w="40" w:type="dxa"/>
            <w:vAlign w:val="bottom"/>
            <w:tcBorders>
              <w:bottom w:val="single" w:sz="8" w:color="CCEEFF"/>
            </w:tcBorders>
            <w:shd w:val="clear" w:color="auto" w:fill="CCEEFF"/>
          </w:tcPr>
          <w:p>
            <w:pPr>
              <w:spacing w:after="0"/>
              <w:rPr>
                <w:sz w:val="21"/>
                <w:szCs w:val="21"/>
                <w:color w:val="auto"/>
              </w:rPr>
            </w:pPr>
          </w:p>
        </w:tc>
        <w:tc>
          <w:tcPr>
            <w:tcW w:w="82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Weighted average number of common shares, diluted</w:t>
            </w: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76,208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75,010</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90"/>
        </w:trPr>
        <w:tc>
          <w:tcPr>
            <w:tcW w:w="40" w:type="dxa"/>
            <w:vAlign w:val="bottom"/>
            <w:tcBorders>
              <w:bottom w:val="single" w:sz="8" w:color="CCEEFF"/>
            </w:tcBorders>
          </w:tcPr>
          <w:p>
            <w:pPr>
              <w:spacing w:after="0"/>
              <w:rPr>
                <w:sz w:val="24"/>
                <w:szCs w:val="24"/>
                <w:color w:val="auto"/>
              </w:rPr>
            </w:pPr>
          </w:p>
        </w:tc>
        <w:tc>
          <w:tcPr>
            <w:tcW w:w="822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FFO per diluted share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1.56</w:t>
            </w:r>
          </w:p>
        </w:tc>
      </w:tr>
      <w:tr>
        <w:trPr>
          <w:trHeight w:val="271"/>
        </w:trPr>
        <w:tc>
          <w:tcPr>
            <w:tcW w:w="4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9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8220" w:type="dxa"/>
            <w:vAlign w:val="bottom"/>
            <w:gridSpan w:val="5"/>
          </w:tcPr>
          <w:p>
            <w:pPr>
              <w:spacing w:after="0" w:line="202" w:lineRule="exact"/>
              <w:rPr>
                <w:sz w:val="20"/>
                <w:szCs w:val="20"/>
                <w:color w:val="auto"/>
              </w:rPr>
            </w:pPr>
            <w:r>
              <w:rPr>
                <w:rFonts w:ascii="Arial" w:cs="Arial" w:eastAsia="Arial" w:hAnsi="Arial"/>
                <w:sz w:val="18"/>
                <w:szCs w:val="18"/>
                <w:color w:val="auto"/>
              </w:rPr>
              <w:t>Summary of Capital Expenditures</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08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5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Non-maintenance capital expenditures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220" w:type="dxa"/>
            <w:vAlign w:val="bottom"/>
            <w:gridSpan w:val="5"/>
          </w:tcPr>
          <w:p>
            <w:pPr>
              <w:ind w:left="340"/>
              <w:spacing w:after="0"/>
              <w:rPr>
                <w:sz w:val="20"/>
                <w:szCs w:val="20"/>
                <w:color w:val="auto"/>
              </w:rPr>
            </w:pPr>
            <w:r>
              <w:rPr>
                <w:rFonts w:ascii="Arial" w:cs="Arial" w:eastAsia="Arial" w:hAnsi="Arial"/>
                <w:sz w:val="18"/>
                <w:szCs w:val="18"/>
                <w:color w:val="auto"/>
              </w:rPr>
              <w:t>Development, redevelopment and expansions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116,765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60,411</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22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color w:val="auto"/>
              </w:rPr>
              <w:t>Tenant improvements and incentives</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10,661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5,792</w:t>
            </w:r>
          </w:p>
        </w:tc>
      </w:tr>
      <w:tr>
        <w:trPr>
          <w:trHeight w:val="237"/>
        </w:trPr>
        <w:tc>
          <w:tcPr>
            <w:tcW w:w="40" w:type="dxa"/>
            <w:vAlign w:val="bottom"/>
          </w:tcPr>
          <w:p>
            <w:pPr>
              <w:spacing w:after="0"/>
              <w:rPr>
                <w:sz w:val="20"/>
                <w:szCs w:val="20"/>
                <w:color w:val="auto"/>
              </w:rPr>
            </w:pPr>
          </w:p>
        </w:tc>
        <w:tc>
          <w:tcPr>
            <w:tcW w:w="8220" w:type="dxa"/>
            <w:vAlign w:val="bottom"/>
            <w:gridSpan w:val="5"/>
          </w:tcPr>
          <w:p>
            <w:pPr>
              <w:spacing w:after="0"/>
              <w:rPr>
                <w:sz w:val="20"/>
                <w:szCs w:val="20"/>
                <w:color w:val="auto"/>
              </w:rPr>
            </w:pPr>
            <w:r>
              <w:rPr>
                <w:rFonts w:ascii="Arial" w:cs="Arial" w:eastAsia="Arial" w:hAnsi="Arial"/>
                <w:sz w:val="18"/>
                <w:szCs w:val="18"/>
                <w:color w:val="auto"/>
              </w:rPr>
              <w:t>Total non-maintenance capital expenditures</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127,426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66,203</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22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color w:val="auto"/>
              </w:rPr>
              <w:t>Maintenance capital expenditures</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2,762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1,468</w:t>
            </w:r>
          </w:p>
        </w:tc>
      </w:tr>
      <w:tr>
        <w:trPr>
          <w:trHeight w:val="297"/>
        </w:trPr>
        <w:tc>
          <w:tcPr>
            <w:tcW w:w="40" w:type="dxa"/>
            <w:vAlign w:val="bottom"/>
            <w:tcBorders>
              <w:bottom w:val="single" w:sz="8" w:color="CCEEFF"/>
            </w:tcBorders>
          </w:tcPr>
          <w:p>
            <w:pPr>
              <w:spacing w:after="0"/>
              <w:rPr>
                <w:sz w:val="24"/>
                <w:szCs w:val="24"/>
                <w:color w:val="auto"/>
              </w:rPr>
            </w:pPr>
          </w:p>
        </w:tc>
        <w:tc>
          <w:tcPr>
            <w:tcW w:w="822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Total capital expenditures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130,188</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67,671</w:t>
            </w:r>
          </w:p>
        </w:tc>
      </w:tr>
      <w:tr>
        <w:trPr>
          <w:trHeight w:val="270"/>
        </w:trPr>
        <w:tc>
          <w:tcPr>
            <w:tcW w:w="4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9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8220" w:type="dxa"/>
            <w:vAlign w:val="bottom"/>
            <w:gridSpan w:val="5"/>
          </w:tcPr>
          <w:p>
            <w:pPr>
              <w:spacing w:after="0" w:line="202" w:lineRule="exact"/>
              <w:rPr>
                <w:sz w:val="20"/>
                <w:szCs w:val="20"/>
                <w:color w:val="auto"/>
              </w:rPr>
            </w:pPr>
            <w:r>
              <w:rPr>
                <w:rFonts w:ascii="Arial" w:cs="Arial" w:eastAsia="Arial" w:hAnsi="Arial"/>
                <w:sz w:val="18"/>
                <w:szCs w:val="18"/>
                <w:color w:val="auto"/>
              </w:rPr>
              <w:t>Dividends and Payout Ratios</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08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Regular common dividends declared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79,403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76,106</w:t>
            </w:r>
          </w:p>
        </w:tc>
      </w:tr>
      <w:tr>
        <w:trPr>
          <w:trHeight w:val="243"/>
        </w:trPr>
        <w:tc>
          <w:tcPr>
            <w:tcW w:w="40" w:type="dxa"/>
            <w:vAlign w:val="bottom"/>
          </w:tcPr>
          <w:p>
            <w:pPr>
              <w:spacing w:after="0"/>
              <w:rPr>
                <w:sz w:val="21"/>
                <w:szCs w:val="21"/>
                <w:color w:val="auto"/>
              </w:rPr>
            </w:pPr>
          </w:p>
        </w:tc>
        <w:tc>
          <w:tcPr>
            <w:tcW w:w="8220" w:type="dxa"/>
            <w:vAlign w:val="bottom"/>
            <w:gridSpan w:val="5"/>
          </w:tcPr>
          <w:p>
            <w:pPr>
              <w:spacing w:after="0"/>
              <w:rPr>
                <w:sz w:val="20"/>
                <w:szCs w:val="20"/>
                <w:color w:val="auto"/>
              </w:rPr>
            </w:pPr>
            <w:r>
              <w:rPr>
                <w:rFonts w:ascii="Arial" w:cs="Arial" w:eastAsia="Arial" w:hAnsi="Arial"/>
                <w:sz w:val="18"/>
                <w:szCs w:val="18"/>
                <w:color w:val="auto"/>
              </w:rPr>
              <w:t>Dividend payout ratio as a percentage of FFO</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83"/>
        </w:trPr>
        <w:tc>
          <w:tcPr>
            <w:tcW w:w="4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9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8220" w:type="dxa"/>
            <w:vAlign w:val="bottom"/>
            <w:gridSpan w:val="5"/>
          </w:tcPr>
          <w:p>
            <w:pPr>
              <w:spacing w:after="0" w:line="202" w:lineRule="exact"/>
              <w:rPr>
                <w:sz w:val="20"/>
                <w:szCs w:val="20"/>
                <w:color w:val="auto"/>
              </w:rPr>
            </w:pPr>
            <w:r>
              <w:rPr>
                <w:rFonts w:ascii="Arial" w:cs="Arial" w:eastAsia="Arial" w:hAnsi="Arial"/>
                <w:sz w:val="18"/>
                <w:szCs w:val="18"/>
                <w:color w:val="auto"/>
              </w:rPr>
              <w:t>Noncontrolling Interests Supplemental Information (2)</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08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500" w:type="dxa"/>
            <w:vAlign w:val="bottom"/>
            <w:tcBorders>
              <w:top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2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Property operating income (1)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2,927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3,056</w:t>
            </w:r>
          </w:p>
        </w:tc>
      </w:tr>
      <w:tr>
        <w:trPr>
          <w:trHeight w:val="243"/>
        </w:trPr>
        <w:tc>
          <w:tcPr>
            <w:tcW w:w="40" w:type="dxa"/>
            <w:vAlign w:val="bottom"/>
          </w:tcPr>
          <w:p>
            <w:pPr>
              <w:spacing w:after="0"/>
              <w:rPr>
                <w:sz w:val="21"/>
                <w:szCs w:val="21"/>
                <w:color w:val="auto"/>
              </w:rPr>
            </w:pPr>
          </w:p>
        </w:tc>
        <w:tc>
          <w:tcPr>
            <w:tcW w:w="8220" w:type="dxa"/>
            <w:vAlign w:val="bottom"/>
            <w:gridSpan w:val="5"/>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(1,530)</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2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(596)</w:t>
            </w:r>
          </w:p>
        </w:tc>
      </w:tr>
      <w:tr>
        <w:trPr>
          <w:trHeight w:val="257"/>
        </w:trPr>
        <w:tc>
          <w:tcPr>
            <w:tcW w:w="40" w:type="dxa"/>
            <w:vAlign w:val="bottom"/>
          </w:tcPr>
          <w:p>
            <w:pPr>
              <w:spacing w:after="0"/>
              <w:rPr>
                <w:sz w:val="22"/>
                <w:szCs w:val="22"/>
                <w:color w:val="auto"/>
              </w:rPr>
            </w:pPr>
          </w:p>
        </w:tc>
        <w:tc>
          <w:tcPr>
            <w:tcW w:w="8220" w:type="dxa"/>
            <w:vAlign w:val="bottom"/>
            <w:gridSpan w:val="5"/>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930</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19"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2)Amounts reflect the components of "net income attributable to noncontrolling interests," but excludes "income attributable to operating partnership units."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931" w:right="339" w:bottom="1440" w:gutter="0" w:footer="0" w:header="0"/>
        </w:sectPr>
      </w:pPr>
    </w:p>
    <w:bookmarkStart w:id="12" w:name="page13"/>
    <w:bookmarkEnd w:id="12"/>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Market Data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2020</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1140" w:type="dxa"/>
            <w:vAlign w:val="bottom"/>
            <w:tcBorders>
              <w:bottom w:val="single" w:sz="8" w:color="auto"/>
            </w:tcBorders>
          </w:tcPr>
          <w:p>
            <w:pPr>
              <w:spacing w:after="0"/>
              <w:rPr>
                <w:sz w:val="16"/>
                <w:szCs w:val="16"/>
                <w:color w:val="auto"/>
              </w:rPr>
            </w:pPr>
          </w:p>
        </w:tc>
      </w:tr>
      <w:tr>
        <w:trPr>
          <w:trHeight w:val="263"/>
        </w:trPr>
        <w:tc>
          <w:tcPr>
            <w:tcW w:w="8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r>
      <w:tr>
        <w:trPr>
          <w:trHeight w:val="250"/>
        </w:trPr>
        <w:tc>
          <w:tcPr>
            <w:tcW w:w="8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8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w w:val="97"/>
              </w:rPr>
              <w:t>(in thousands, except per share data)</w:t>
            </w:r>
          </w:p>
        </w:tc>
      </w:tr>
      <w:tr>
        <w:trPr>
          <w:trHeight w:val="256"/>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w:t>
            </w: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8060" w:type="dxa"/>
            <w:vAlign w:val="bottom"/>
          </w:tcPr>
          <w:p>
            <w:pPr>
              <w:ind w:left="140"/>
              <w:spacing w:after="0"/>
              <w:rPr>
                <w:sz w:val="20"/>
                <w:szCs w:val="20"/>
                <w:color w:val="auto"/>
              </w:rPr>
            </w:pPr>
            <w:r>
              <w:rPr>
                <w:rFonts w:ascii="Arial" w:cs="Arial" w:eastAsia="Arial" w:hAnsi="Arial"/>
                <w:sz w:val="18"/>
                <w:szCs w:val="18"/>
                <w:color w:val="auto"/>
              </w:rPr>
              <w:t>Common shares outstanding and operating partnership units (1)</w:t>
            </w:r>
          </w:p>
        </w:tc>
        <w:tc>
          <w:tcPr>
            <w:tcW w:w="300" w:type="dxa"/>
            <w:vAlign w:val="bottom"/>
          </w:tcPr>
          <w:p>
            <w:pPr>
              <w:spacing w:after="0"/>
              <w:rPr>
                <w:sz w:val="21"/>
                <w:szCs w:val="21"/>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76,367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75,506</w:t>
            </w:r>
          </w:p>
        </w:tc>
      </w:tr>
      <w:tr>
        <w:trPr>
          <w:trHeight w:val="27"/>
        </w:trPr>
        <w:tc>
          <w:tcPr>
            <w:tcW w:w="8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Market price per common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74.61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137.85</w:t>
            </w:r>
          </w:p>
        </w:tc>
      </w:tr>
      <w:tr>
        <w:trPr>
          <w:trHeight w:val="237"/>
        </w:trPr>
        <w:tc>
          <w:tcPr>
            <w:tcW w:w="8060" w:type="dxa"/>
            <w:vAlign w:val="bottom"/>
          </w:tcPr>
          <w:p>
            <w:pPr>
              <w:ind w:left="500"/>
              <w:spacing w:after="0"/>
              <w:rPr>
                <w:sz w:val="20"/>
                <w:szCs w:val="20"/>
                <w:color w:val="auto"/>
              </w:rPr>
            </w:pPr>
            <w:r>
              <w:rPr>
                <w:rFonts w:ascii="Arial" w:cs="Arial" w:eastAsia="Arial" w:hAnsi="Arial"/>
                <w:sz w:val="18"/>
                <w:szCs w:val="18"/>
                <w:color w:val="auto"/>
              </w:rPr>
              <w:t>Common equity market capitalization including operating partnership units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5,697,742</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10,408,502</w:t>
            </w:r>
          </w:p>
        </w:tc>
      </w:tr>
      <w:tr>
        <w:trPr>
          <w:trHeight w:val="27"/>
        </w:trPr>
        <w:tc>
          <w:tcPr>
            <w:tcW w:w="8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80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8060" w:type="dxa"/>
            <w:vAlign w:val="bottom"/>
          </w:tcPr>
          <w:p>
            <w:pPr>
              <w:ind w:left="140"/>
              <w:spacing w:after="0"/>
              <w:rPr>
                <w:sz w:val="20"/>
                <w:szCs w:val="20"/>
                <w:color w:val="auto"/>
              </w:rPr>
            </w:pPr>
            <w:r>
              <w:rPr>
                <w:rFonts w:ascii="Arial" w:cs="Arial" w:eastAsia="Arial" w:hAnsi="Arial"/>
                <w:sz w:val="18"/>
                <w:szCs w:val="18"/>
                <w:color w:val="auto"/>
              </w:rPr>
              <w:t>Series C preferred shares outstanding</w:t>
            </w:r>
          </w:p>
        </w:tc>
        <w:tc>
          <w:tcPr>
            <w:tcW w:w="300" w:type="dxa"/>
            <w:vAlign w:val="bottom"/>
          </w:tcPr>
          <w:p>
            <w:pPr>
              <w:spacing w:after="0"/>
              <w:rPr>
                <w:sz w:val="21"/>
                <w:szCs w:val="21"/>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6</w:t>
            </w:r>
          </w:p>
        </w:tc>
      </w:tr>
      <w:tr>
        <w:trPr>
          <w:trHeight w:val="27"/>
        </w:trPr>
        <w:tc>
          <w:tcPr>
            <w:tcW w:w="8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Liquidation price per Series C preferred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25,000</w:t>
            </w:r>
          </w:p>
        </w:tc>
      </w:tr>
      <w:tr>
        <w:trPr>
          <w:trHeight w:val="237"/>
        </w:trPr>
        <w:tc>
          <w:tcPr>
            <w:tcW w:w="8060" w:type="dxa"/>
            <w:vAlign w:val="bottom"/>
          </w:tcPr>
          <w:p>
            <w:pPr>
              <w:ind w:left="500"/>
              <w:spacing w:after="0"/>
              <w:rPr>
                <w:sz w:val="20"/>
                <w:szCs w:val="20"/>
                <w:color w:val="auto"/>
              </w:rPr>
            </w:pPr>
            <w:r>
              <w:rPr>
                <w:rFonts w:ascii="Arial" w:cs="Arial" w:eastAsia="Arial" w:hAnsi="Arial"/>
                <w:sz w:val="18"/>
                <w:szCs w:val="18"/>
                <w:color w:val="auto"/>
              </w:rPr>
              <w:t>Series C preferred equity market capitalization</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150,000</w:t>
            </w:r>
          </w:p>
        </w:tc>
      </w:tr>
      <w:tr>
        <w:trPr>
          <w:trHeight w:val="27"/>
        </w:trPr>
        <w:tc>
          <w:tcPr>
            <w:tcW w:w="8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80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8060" w:type="dxa"/>
            <w:vAlign w:val="bottom"/>
          </w:tcPr>
          <w:p>
            <w:pPr>
              <w:ind w:left="140"/>
              <w:spacing w:after="0"/>
              <w:rPr>
                <w:sz w:val="20"/>
                <w:szCs w:val="20"/>
                <w:color w:val="auto"/>
              </w:rPr>
            </w:pPr>
            <w:r>
              <w:rPr>
                <w:rFonts w:ascii="Arial" w:cs="Arial" w:eastAsia="Arial" w:hAnsi="Arial"/>
                <w:sz w:val="18"/>
                <w:szCs w:val="18"/>
                <w:color w:val="auto"/>
              </w:rPr>
              <w:t>Series 1 preferred shares outstanding (2)</w:t>
            </w:r>
          </w:p>
        </w:tc>
        <w:tc>
          <w:tcPr>
            <w:tcW w:w="300" w:type="dxa"/>
            <w:vAlign w:val="bottom"/>
          </w:tcPr>
          <w:p>
            <w:pPr>
              <w:spacing w:after="0"/>
              <w:rPr>
                <w:sz w:val="21"/>
                <w:szCs w:val="21"/>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400</w:t>
            </w:r>
          </w:p>
        </w:tc>
      </w:tr>
      <w:tr>
        <w:trPr>
          <w:trHeight w:val="27"/>
        </w:trPr>
        <w:tc>
          <w:tcPr>
            <w:tcW w:w="8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Liquidation price per Series 1 preferred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25.00</w:t>
            </w:r>
          </w:p>
        </w:tc>
      </w:tr>
      <w:tr>
        <w:trPr>
          <w:trHeight w:val="237"/>
        </w:trPr>
        <w:tc>
          <w:tcPr>
            <w:tcW w:w="8060" w:type="dxa"/>
            <w:vAlign w:val="bottom"/>
          </w:tcPr>
          <w:p>
            <w:pPr>
              <w:ind w:left="500"/>
              <w:spacing w:after="0"/>
              <w:rPr>
                <w:sz w:val="20"/>
                <w:szCs w:val="20"/>
                <w:color w:val="auto"/>
              </w:rPr>
            </w:pPr>
            <w:r>
              <w:rPr>
                <w:rFonts w:ascii="Arial" w:cs="Arial" w:eastAsia="Arial" w:hAnsi="Arial"/>
                <w:sz w:val="18"/>
                <w:szCs w:val="18"/>
                <w:color w:val="auto"/>
              </w:rPr>
              <w:t>Series 1 preferred equity market capitalization</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10,000</w:t>
            </w:r>
          </w:p>
        </w:tc>
      </w:tr>
      <w:tr>
        <w:trPr>
          <w:trHeight w:val="27"/>
        </w:trPr>
        <w:tc>
          <w:tcPr>
            <w:tcW w:w="8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80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8060" w:type="dxa"/>
            <w:vAlign w:val="bottom"/>
          </w:tcPr>
          <w:p>
            <w:pPr>
              <w:ind w:left="140"/>
              <w:spacing w:after="0"/>
              <w:rPr>
                <w:sz w:val="20"/>
                <w:szCs w:val="20"/>
                <w:color w:val="auto"/>
              </w:rPr>
            </w:pPr>
            <w:r>
              <w:rPr>
                <w:rFonts w:ascii="Arial" w:cs="Arial" w:eastAsia="Arial" w:hAnsi="Arial"/>
                <w:sz w:val="18"/>
                <w:szCs w:val="18"/>
                <w:color w:val="auto"/>
              </w:rPr>
              <w:t>Equity market capitalization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5,857,742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10,568,502</w:t>
            </w:r>
          </w:p>
        </w:tc>
      </w:tr>
      <w:tr>
        <w:trPr>
          <w:trHeight w:val="27"/>
        </w:trPr>
        <w:tc>
          <w:tcPr>
            <w:tcW w:w="8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3"/>
        </w:trPr>
        <w:tc>
          <w:tcPr>
            <w:tcW w:w="80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8060" w:type="dxa"/>
            <w:vAlign w:val="bottom"/>
          </w:tcPr>
          <w:p>
            <w:pPr>
              <w:ind w:left="140"/>
              <w:spacing w:after="0"/>
              <w:rPr>
                <w:sz w:val="20"/>
                <w:szCs w:val="20"/>
                <w:color w:val="auto"/>
              </w:rPr>
            </w:pPr>
            <w:r>
              <w:rPr>
                <w:rFonts w:ascii="Arial" w:cs="Arial" w:eastAsia="Arial" w:hAnsi="Arial"/>
                <w:sz w:val="18"/>
                <w:szCs w:val="18"/>
                <w:color w:val="auto"/>
              </w:rPr>
              <w:t>Total debt (3)</w:t>
            </w:r>
          </w:p>
        </w:tc>
        <w:tc>
          <w:tcPr>
            <w:tcW w:w="300" w:type="dxa"/>
            <w:vAlign w:val="bottom"/>
          </w:tcPr>
          <w:p>
            <w:pPr>
              <w:spacing w:after="0"/>
              <w:rPr>
                <w:sz w:val="21"/>
                <w:szCs w:val="21"/>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4,354,413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3,156,559</w:t>
            </w:r>
          </w:p>
        </w:tc>
      </w:tr>
      <w:tr>
        <w:trPr>
          <w:trHeight w:val="27"/>
        </w:trPr>
        <w:tc>
          <w:tcPr>
            <w:tcW w:w="8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3"/>
        </w:trPr>
        <w:tc>
          <w:tcPr>
            <w:tcW w:w="806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r>
      <w:tr>
        <w:trPr>
          <w:trHeight w:val="297"/>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market capitalization</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10,212,155</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13,725,061</w:t>
            </w:r>
          </w:p>
        </w:tc>
      </w:tr>
      <w:tr>
        <w:trPr>
          <w:trHeight w:val="270"/>
        </w:trPr>
        <w:tc>
          <w:tcPr>
            <w:tcW w:w="80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43"/>
        </w:trPr>
        <w:tc>
          <w:tcPr>
            <w:tcW w:w="8060" w:type="dxa"/>
            <w:vAlign w:val="bottom"/>
          </w:tcPr>
          <w:p>
            <w:pPr>
              <w:ind w:left="140"/>
              <w:spacing w:after="0"/>
              <w:rPr>
                <w:sz w:val="20"/>
                <w:szCs w:val="20"/>
                <w:color w:val="auto"/>
              </w:rPr>
            </w:pPr>
            <w:r>
              <w:rPr>
                <w:rFonts w:ascii="Arial" w:cs="Arial" w:eastAsia="Arial" w:hAnsi="Arial"/>
                <w:sz w:val="18"/>
                <w:szCs w:val="18"/>
                <w:color w:val="auto"/>
              </w:rPr>
              <w:t>Total debt to market capitalization at market price per common share</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8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3"/>
        </w:trPr>
        <w:tc>
          <w:tcPr>
            <w:tcW w:w="80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8060" w:type="dxa"/>
            <w:vAlign w:val="bottom"/>
          </w:tcPr>
          <w:p>
            <w:pPr>
              <w:ind w:left="140"/>
              <w:spacing w:after="0"/>
              <w:rPr>
                <w:sz w:val="20"/>
                <w:szCs w:val="20"/>
                <w:color w:val="auto"/>
              </w:rPr>
            </w:pPr>
            <w:r>
              <w:rPr>
                <w:rFonts w:ascii="Arial" w:cs="Arial" w:eastAsia="Arial" w:hAnsi="Arial"/>
                <w:sz w:val="18"/>
                <w:szCs w:val="18"/>
                <w:color w:val="auto"/>
              </w:rPr>
              <w:t>Total debt to market capitalization excluding our revolving credit facility balance (4)</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N/A</w:t>
            </w: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Amounts include 744,617 and 669,377 operating partnership units outstanding at March 31, 2020 and 2019, respectively.</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These shares, issued March 8, 2007, are unregistered.</w:t>
      </w:r>
    </w:p>
    <w:p>
      <w:pPr>
        <w:spacing w:after="0" w:line="59" w:lineRule="exact"/>
        <w:rPr>
          <w:rFonts w:ascii="Arial" w:cs="Arial" w:eastAsia="Arial" w:hAnsi="Arial"/>
          <w:sz w:val="16"/>
          <w:szCs w:val="16"/>
          <w:color w:val="auto"/>
        </w:rPr>
      </w:pPr>
    </w:p>
    <w:p>
      <w:pPr>
        <w:ind w:left="660" w:right="440" w:hanging="652"/>
        <w:spacing w:after="0" w:line="275"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Total debt includes mortgages payable, notes payable, senior notes and debentures, net of premiums/discounts and debt issuance costs from our consolidated balance sheet.</w:t>
      </w:r>
    </w:p>
    <w:p>
      <w:pPr>
        <w:spacing w:after="0" w:line="10" w:lineRule="exact"/>
        <w:rPr>
          <w:rFonts w:ascii="Arial" w:cs="Arial" w:eastAsia="Arial" w:hAnsi="Arial"/>
          <w:sz w:val="16"/>
          <w:szCs w:val="16"/>
          <w:color w:val="auto"/>
        </w:rPr>
      </w:pPr>
    </w:p>
    <w:p>
      <w:pPr>
        <w:ind w:left="660" w:right="700" w:hanging="652"/>
        <w:spacing w:after="0" w:line="275"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As of March 31, 2020, we had $990.0 million outstanding on our revolving credit facility, which was drawn primarily to provide maximum flexibility in addressing the evolving impacts of the COVID-19 pandemic. We ended the quarter with approximately $994.7 million of cash.</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715" w:right="339" w:bottom="1440" w:gutter="0" w:footer="0" w:header="0"/>
        </w:sectPr>
      </w:pPr>
    </w:p>
    <w:bookmarkStart w:id="13" w:name="page14"/>
    <w:bookmarkEnd w:id="13"/>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Components of Rental Income (1)</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4"/>
          </w:tcPr>
          <w:p>
            <w:pPr>
              <w:jc w:val="center"/>
              <w:ind w:right="233"/>
              <w:spacing w:after="0"/>
              <w:rPr>
                <w:sz w:val="20"/>
                <w:szCs w:val="20"/>
                <w:color w:val="auto"/>
              </w:rPr>
            </w:pPr>
            <w:r>
              <w:rPr>
                <w:rFonts w:ascii="Arial" w:cs="Arial" w:eastAsia="Arial" w:hAnsi="Arial"/>
                <w:sz w:val="14"/>
                <w:szCs w:val="14"/>
                <w:b w:val="1"/>
                <w:bCs w:val="1"/>
                <w:color w:val="auto"/>
                <w:w w:val="95"/>
              </w:rPr>
              <w:t>Three Months Ended</w:t>
            </w:r>
          </w:p>
        </w:tc>
      </w:tr>
      <w:tr>
        <w:trPr>
          <w:trHeight w:val="276"/>
        </w:trPr>
        <w:tc>
          <w:tcPr>
            <w:tcW w:w="8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center"/>
              <w:ind w:left="557"/>
              <w:spacing w:after="0"/>
              <w:rPr>
                <w:sz w:val="20"/>
                <w:szCs w:val="20"/>
                <w:color w:val="auto"/>
              </w:rPr>
            </w:pPr>
            <w:r>
              <w:rPr>
                <w:rFonts w:ascii="Arial" w:cs="Arial" w:eastAsia="Arial" w:hAnsi="Arial"/>
                <w:sz w:val="14"/>
                <w:szCs w:val="14"/>
                <w:b w:val="1"/>
                <w:bCs w:val="1"/>
                <w:color w:val="auto"/>
                <w:w w:val="99"/>
              </w:rPr>
              <w:t>March 31,</w:t>
            </w:r>
          </w:p>
        </w:tc>
        <w:tc>
          <w:tcPr>
            <w:tcW w:w="960" w:type="dxa"/>
            <w:vAlign w:val="bottom"/>
            <w:tcBorders>
              <w:bottom w:val="single" w:sz="8" w:color="auto"/>
            </w:tcBorders>
          </w:tcPr>
          <w:p>
            <w:pPr>
              <w:spacing w:after="0"/>
              <w:rPr>
                <w:sz w:val="24"/>
                <w:szCs w:val="24"/>
                <w:color w:val="auto"/>
              </w:rPr>
            </w:pPr>
          </w:p>
        </w:tc>
      </w:tr>
      <w:tr>
        <w:trPr>
          <w:trHeight w:val="264"/>
        </w:trPr>
        <w:tc>
          <w:tcPr>
            <w:tcW w:w="82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44"/>
        </w:trPr>
        <w:tc>
          <w:tcPr>
            <w:tcW w:w="8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gridSpan w:val="3"/>
          </w:tcPr>
          <w:p>
            <w:pPr>
              <w:jc w:val="center"/>
              <w:ind w:left="557"/>
              <w:spacing w:after="0"/>
              <w:rPr>
                <w:sz w:val="20"/>
                <w:szCs w:val="20"/>
                <w:color w:val="auto"/>
              </w:rPr>
            </w:pPr>
            <w:r>
              <w:rPr>
                <w:rFonts w:ascii="Arial" w:cs="Arial" w:eastAsia="Arial" w:hAnsi="Arial"/>
                <w:sz w:val="14"/>
                <w:szCs w:val="14"/>
                <w:b w:val="1"/>
                <w:bCs w:val="1"/>
                <w:color w:val="auto"/>
                <w:w w:val="91"/>
              </w:rPr>
              <w:t>(in thousands)</w:t>
            </w:r>
          </w:p>
        </w:tc>
        <w:tc>
          <w:tcPr>
            <w:tcW w:w="960" w:type="dxa"/>
            <w:vAlign w:val="bottom"/>
          </w:tcPr>
          <w:p>
            <w:pPr>
              <w:spacing w:after="0"/>
              <w:rPr>
                <w:sz w:val="21"/>
                <w:szCs w:val="21"/>
                <w:color w:val="auto"/>
              </w:rPr>
            </w:pPr>
          </w:p>
        </w:tc>
      </w:tr>
      <w:tr>
        <w:trPr>
          <w:trHeight w:val="255"/>
        </w:trPr>
        <w:tc>
          <w:tcPr>
            <w:tcW w:w="8220" w:type="dxa"/>
            <w:vAlign w:val="bottom"/>
          </w:tcPr>
          <w:p>
            <w:pPr>
              <w:ind w:left="40"/>
              <w:spacing w:after="0"/>
              <w:rPr>
                <w:sz w:val="20"/>
                <w:szCs w:val="20"/>
                <w:color w:val="auto"/>
              </w:rPr>
            </w:pPr>
            <w:r>
              <w:rPr>
                <w:rFonts w:ascii="Arial" w:cs="Arial" w:eastAsia="Arial" w:hAnsi="Arial"/>
                <w:sz w:val="18"/>
                <w:szCs w:val="18"/>
                <w:color w:val="auto"/>
              </w:rPr>
              <w:t>Minimum rents (2)</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Commercial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158,805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155,263</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Residential</w:t>
            </w:r>
          </w:p>
        </w:tc>
        <w:tc>
          <w:tcPr>
            <w:tcW w:w="3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20,618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19,164</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reimbursements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43,703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44,454</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Percentage rents</w:t>
            </w:r>
          </w:p>
        </w:tc>
        <w:tc>
          <w:tcPr>
            <w:tcW w:w="3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1,820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1,935</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5,852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10,676</w:t>
            </w:r>
          </w:p>
        </w:tc>
      </w:tr>
      <w:tr>
        <w:trPr>
          <w:trHeight w:val="257"/>
        </w:trPr>
        <w:tc>
          <w:tcPr>
            <w:tcW w:w="8220" w:type="dxa"/>
            <w:vAlign w:val="bottom"/>
          </w:tcPr>
          <w:p>
            <w:pPr>
              <w:ind w:left="40"/>
              <w:spacing w:after="0"/>
              <w:rPr>
                <w:sz w:val="20"/>
                <w:szCs w:val="20"/>
                <w:color w:val="auto"/>
              </w:rPr>
            </w:pPr>
            <w:r>
              <w:rPr>
                <w:rFonts w:ascii="Arial" w:cs="Arial" w:eastAsia="Arial" w:hAnsi="Arial"/>
                <w:sz w:val="18"/>
                <w:szCs w:val="18"/>
                <w:color w:val="auto"/>
              </w:rPr>
              <w:t>Total rental income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230,798</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231,492</w:t>
            </w: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61" w:lineRule="exact"/>
        <w:rPr>
          <w:sz w:val="20"/>
          <w:szCs w:val="20"/>
          <w:color w:val="auto"/>
        </w:rPr>
      </w:pPr>
    </w:p>
    <w:p>
      <w:pPr>
        <w:ind w:left="660" w:right="260" w:hanging="652"/>
        <w:spacing w:after="0" w:line="261"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All income from tenant leases are reported as a single line item called "Rental Income." We have provided above supplemental information with a breakout of the contractual components of the rental income line, however, these breakouts are provided for informational purposes only and should be considered a non-GAAP presentation.</w:t>
      </w:r>
    </w:p>
    <w:p>
      <w:pPr>
        <w:spacing w:after="0" w:line="23" w:lineRule="exact"/>
        <w:rPr>
          <w:rFonts w:ascii="Arial" w:cs="Arial" w:eastAsia="Arial" w:hAnsi="Arial"/>
          <w:sz w:val="17"/>
          <w:szCs w:val="17"/>
          <w:color w:val="auto"/>
        </w:rPr>
      </w:pPr>
    </w:p>
    <w:p>
      <w:pPr>
        <w:jc w:val="both"/>
        <w:ind w:left="660" w:right="20" w:hanging="652"/>
        <w:spacing w:after="0" w:line="261"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Minimum rents include $4.2 million and $1.4 million for the three months ended March 31, 2020 and 2019, respectively, to recognize minimum rents on a straight-line basis. In addition, minimum rents include $0.9 million and $1.8 million for the three months ended March 31, 2020 and 2019, respectively, to recognize income from the amortization of in-place leases.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715" w:right="339" w:bottom="1440" w:gutter="0" w:footer="0" w:header="0"/>
        </w:sectPr>
      </w:pPr>
    </w:p>
    <w:bookmarkStart w:id="14" w:name="page15"/>
    <w:bookmarkEnd w:id="14"/>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Comparable Property Information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2020</w:t>
      </w:r>
    </w:p>
    <w:p>
      <w:pPr>
        <w:spacing w:after="0" w:line="280" w:lineRule="exact"/>
        <w:rPr>
          <w:sz w:val="20"/>
          <w:szCs w:val="20"/>
          <w:color w:val="auto"/>
        </w:rPr>
      </w:pPr>
    </w:p>
    <w:p>
      <w:pPr>
        <w:ind w:left="40" w:right="40"/>
        <w:spacing w:after="0" w:line="293" w:lineRule="auto"/>
        <w:rPr>
          <w:sz w:val="20"/>
          <w:szCs w:val="20"/>
          <w:color w:val="auto"/>
        </w:rPr>
      </w:pPr>
      <w:r>
        <w:rPr>
          <w:rFonts w:ascii="Arial" w:cs="Arial" w:eastAsia="Arial" w:hAnsi="Arial"/>
          <w:sz w:val="15"/>
          <w:szCs w:val="15"/>
          <w:color w:val="auto"/>
        </w:rPr>
        <w:t>The following information is being provided for “Comparable Properties.” Comparable Properties represents our consolidated property portfolio other than those properties that distort comparability between periods in two primary categories: (1) assets that were not owned for the full quarter in both periods presented and (2) assets currently under development or being repositioned for significant redevelopment and investment. The assets excluded from Comparable Properties in Q1 include: Assembly Row - Phase 2 Retail and Phase 3, Cocowalk, Darien, Pike &amp; Rose Phase 2 Retail and Phase 3, The Shops at Sunset Place, 700 Santana Row, Freedom Plaza, a portion of Graham Park Plaza, and all properties acquired or disposed of from Q1 2019 to Q1 2020. Comparable Property property operating income ("Comparable Property POI") is a non-GAAP measure used by management in evaluating the operating performance of our properties period over period.</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Reconciliation of GAAP operating income to Comparable Property POI</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w w:val="93"/>
              </w:rPr>
              <w:t>Three Months Ended</w:t>
            </w:r>
          </w:p>
        </w:tc>
        <w:tc>
          <w:tcPr>
            <w:tcW w:w="1120" w:type="dxa"/>
            <w:vAlign w:val="bottom"/>
          </w:tcPr>
          <w:p>
            <w:pPr>
              <w:spacing w:after="0"/>
              <w:rPr>
                <w:sz w:val="16"/>
                <w:szCs w:val="16"/>
                <w:color w:val="auto"/>
              </w:rPr>
            </w:pPr>
          </w:p>
        </w:tc>
      </w:tr>
      <w:tr>
        <w:trPr>
          <w:trHeight w:val="276"/>
        </w:trPr>
        <w:tc>
          <w:tcPr>
            <w:tcW w:w="69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center"/>
              <w:ind w:left="678"/>
              <w:spacing w:after="0"/>
              <w:rPr>
                <w:sz w:val="20"/>
                <w:szCs w:val="20"/>
                <w:color w:val="auto"/>
              </w:rPr>
            </w:pPr>
            <w:r>
              <w:rPr>
                <w:rFonts w:ascii="Arial" w:cs="Arial" w:eastAsia="Arial" w:hAnsi="Arial"/>
                <w:sz w:val="14"/>
                <w:szCs w:val="14"/>
                <w:b w:val="1"/>
                <w:bCs w:val="1"/>
                <w:color w:val="auto"/>
                <w:w w:val="95"/>
              </w:rPr>
              <w:t>March 31,</w:t>
            </w:r>
          </w:p>
        </w:tc>
        <w:tc>
          <w:tcPr>
            <w:tcW w:w="106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r>
      <w:tr>
        <w:trPr>
          <w:trHeight w:val="263"/>
        </w:trPr>
        <w:tc>
          <w:tcPr>
            <w:tcW w:w="69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120" w:type="dxa"/>
            <w:vAlign w:val="bottom"/>
          </w:tcPr>
          <w:p>
            <w:pPr>
              <w:spacing w:after="0"/>
              <w:rPr>
                <w:sz w:val="22"/>
                <w:szCs w:val="22"/>
                <w:color w:val="auto"/>
              </w:rPr>
            </w:pPr>
          </w:p>
        </w:tc>
      </w:tr>
      <w:tr>
        <w:trPr>
          <w:trHeight w:val="250"/>
        </w:trPr>
        <w:tc>
          <w:tcPr>
            <w:tcW w:w="6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80" w:type="dxa"/>
            <w:vAlign w:val="bottom"/>
            <w:gridSpan w:val="3"/>
          </w:tcPr>
          <w:p>
            <w:pPr>
              <w:jc w:val="center"/>
              <w:ind w:left="698"/>
              <w:spacing w:after="0"/>
              <w:rPr>
                <w:sz w:val="20"/>
                <w:szCs w:val="20"/>
                <w:color w:val="auto"/>
              </w:rPr>
            </w:pPr>
            <w:r>
              <w:rPr>
                <w:rFonts w:ascii="Arial" w:cs="Arial" w:eastAsia="Arial" w:hAnsi="Arial"/>
                <w:sz w:val="14"/>
                <w:szCs w:val="14"/>
                <w:b w:val="1"/>
                <w:bCs w:val="1"/>
                <w:color w:val="auto"/>
                <w:w w:val="91"/>
              </w:rPr>
              <w:t>(in thousands)</w:t>
            </w:r>
          </w:p>
        </w:tc>
        <w:tc>
          <w:tcPr>
            <w:tcW w:w="10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Operating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8"/>
                <w:szCs w:val="18"/>
                <w:color w:val="auto"/>
              </w:rPr>
              <w:t>85,742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91,093</w:t>
            </w:r>
          </w:p>
        </w:tc>
        <w:tc>
          <w:tcPr>
            <w:tcW w:w="1120" w:type="dxa"/>
            <w:vAlign w:val="bottom"/>
          </w:tcPr>
          <w:p>
            <w:pPr>
              <w:spacing w:after="0"/>
              <w:rPr>
                <w:sz w:val="22"/>
                <w:szCs w:val="22"/>
                <w:color w:val="auto"/>
              </w:rPr>
            </w:pP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Add:</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8"/>
                <w:szCs w:val="18"/>
                <w:color w:val="auto"/>
              </w:rPr>
              <w:t>62,188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59,622</w:t>
            </w:r>
          </w:p>
        </w:tc>
        <w:tc>
          <w:tcPr>
            <w:tcW w:w="1120" w:type="dxa"/>
            <w:vAlign w:val="bottom"/>
          </w:tcPr>
          <w:p>
            <w:pPr>
              <w:spacing w:after="0"/>
              <w:rPr>
                <w:sz w:val="21"/>
                <w:szCs w:val="21"/>
                <w:color w:val="auto"/>
              </w:rPr>
            </w:pP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200" w:type="dxa"/>
            <w:vAlign w:val="bottom"/>
          </w:tcPr>
          <w:p>
            <w:pPr>
              <w:jc w:val="right"/>
              <w:ind w:right="98"/>
              <w:spacing w:after="0"/>
              <w:rPr>
                <w:sz w:val="20"/>
                <w:szCs w:val="20"/>
                <w:color w:val="auto"/>
              </w:rPr>
            </w:pPr>
            <w:r>
              <w:rPr>
                <w:rFonts w:ascii="Arial" w:cs="Arial" w:eastAsia="Arial" w:hAnsi="Arial"/>
                <w:sz w:val="18"/>
                <w:szCs w:val="18"/>
                <w:color w:val="auto"/>
              </w:rPr>
              <w:t>10,251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9,565</w:t>
            </w:r>
          </w:p>
        </w:tc>
        <w:tc>
          <w:tcPr>
            <w:tcW w:w="1120" w:type="dxa"/>
            <w:vAlign w:val="bottom"/>
          </w:tcPr>
          <w:p>
            <w:pPr>
              <w:spacing w:after="0"/>
              <w:rPr>
                <w:sz w:val="21"/>
                <w:szCs w:val="21"/>
                <w:color w:val="auto"/>
              </w:rPr>
            </w:pPr>
          </w:p>
        </w:tc>
      </w:tr>
      <w:tr>
        <w:trPr>
          <w:trHeight w:val="27"/>
        </w:trPr>
        <w:tc>
          <w:tcPr>
            <w:tcW w:w="6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Property operating income (POI)</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8"/>
                <w:szCs w:val="18"/>
                <w:color w:val="auto"/>
              </w:rPr>
              <w:t>158,181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160,280</w:t>
            </w:r>
          </w:p>
        </w:tc>
        <w:tc>
          <w:tcPr>
            <w:tcW w:w="1120" w:type="dxa"/>
            <w:vAlign w:val="bottom"/>
          </w:tcPr>
          <w:p>
            <w:pPr>
              <w:spacing w:after="0"/>
              <w:rPr>
                <w:sz w:val="21"/>
                <w:szCs w:val="21"/>
                <w:color w:val="auto"/>
              </w:rPr>
            </w:pP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Less: Non-comparable POI - acquisitions/dispositions</w:t>
            </w:r>
          </w:p>
        </w:tc>
        <w:tc>
          <w:tcPr>
            <w:tcW w:w="320" w:type="dxa"/>
            <w:vAlign w:val="bottom"/>
          </w:tcPr>
          <w:p>
            <w:pPr>
              <w:spacing w:after="0"/>
              <w:rPr>
                <w:sz w:val="21"/>
                <w:szCs w:val="21"/>
                <w:color w:val="auto"/>
              </w:rPr>
            </w:pP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(3,502)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(2,972)</w:t>
            </w:r>
          </w:p>
        </w:tc>
        <w:tc>
          <w:tcPr>
            <w:tcW w:w="1120" w:type="dxa"/>
            <w:vAlign w:val="bottom"/>
          </w:tcPr>
          <w:p>
            <w:pPr>
              <w:spacing w:after="0"/>
              <w:rPr>
                <w:sz w:val="21"/>
                <w:szCs w:val="21"/>
                <w:color w:val="auto"/>
              </w:rPr>
            </w:pPr>
          </w:p>
        </w:tc>
      </w:tr>
      <w:tr>
        <w:trPr>
          <w:trHeight w:val="27"/>
        </w:trPr>
        <w:tc>
          <w:tcPr>
            <w:tcW w:w="6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Less: Non-comparable POI - redevelopment, development &amp; other</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(6,896)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(5,744)</w:t>
            </w:r>
          </w:p>
        </w:tc>
        <w:tc>
          <w:tcPr>
            <w:tcW w:w="1120" w:type="dxa"/>
            <w:vAlign w:val="bottom"/>
          </w:tcPr>
          <w:p>
            <w:pPr>
              <w:spacing w:after="0"/>
              <w:rPr>
                <w:sz w:val="23"/>
                <w:szCs w:val="23"/>
                <w:color w:val="auto"/>
              </w:rPr>
            </w:pPr>
          </w:p>
        </w:tc>
      </w:tr>
      <w:tr>
        <w:trPr>
          <w:trHeight w:val="237"/>
        </w:trPr>
        <w:tc>
          <w:tcPr>
            <w:tcW w:w="6960" w:type="dxa"/>
            <w:vAlign w:val="bottom"/>
          </w:tcPr>
          <w:p>
            <w:pPr>
              <w:ind w:left="40"/>
              <w:spacing w:after="0"/>
              <w:rPr>
                <w:sz w:val="20"/>
                <w:szCs w:val="20"/>
                <w:color w:val="auto"/>
              </w:rPr>
            </w:pPr>
            <w:r>
              <w:rPr>
                <w:rFonts w:ascii="Arial" w:cs="Arial" w:eastAsia="Arial" w:hAnsi="Arial"/>
                <w:sz w:val="18"/>
                <w:szCs w:val="18"/>
                <w:color w:val="auto"/>
              </w:rPr>
              <w:t>Comparable property POI</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98"/>
              <w:spacing w:after="0"/>
              <w:rPr>
                <w:sz w:val="20"/>
                <w:szCs w:val="20"/>
                <w:color w:val="auto"/>
              </w:rPr>
            </w:pPr>
            <w:r>
              <w:rPr>
                <w:rFonts w:ascii="Arial" w:cs="Arial" w:eastAsia="Arial" w:hAnsi="Arial"/>
                <w:sz w:val="18"/>
                <w:szCs w:val="18"/>
                <w:color w:val="auto"/>
              </w:rPr>
              <w:t>147,783</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151,564</w:t>
            </w:r>
          </w:p>
        </w:tc>
        <w:tc>
          <w:tcPr>
            <w:tcW w:w="1120" w:type="dxa"/>
            <w:vAlign w:val="bottom"/>
          </w:tcPr>
          <w:p>
            <w:pPr>
              <w:spacing w:after="0"/>
              <w:rPr>
                <w:sz w:val="20"/>
                <w:szCs w:val="20"/>
                <w:color w:val="auto"/>
              </w:rPr>
            </w:pPr>
          </w:p>
        </w:tc>
      </w:tr>
      <w:tr>
        <w:trPr>
          <w:trHeight w:val="459"/>
        </w:trPr>
        <w:tc>
          <w:tcPr>
            <w:tcW w:w="6960" w:type="dxa"/>
            <w:vAlign w:val="bottom"/>
          </w:tcPr>
          <w:p>
            <w:pPr>
              <w:ind w:left="40"/>
              <w:spacing w:after="0"/>
              <w:rPr>
                <w:sz w:val="20"/>
                <w:szCs w:val="20"/>
                <w:color w:val="auto"/>
              </w:rPr>
            </w:pPr>
            <w:r>
              <w:rPr>
                <w:rFonts w:ascii="Arial" w:cs="Arial" w:eastAsia="Arial" w:hAnsi="Arial"/>
                <w:sz w:val="18"/>
                <w:szCs w:val="18"/>
                <w:i w:val="1"/>
                <w:iCs w:val="1"/>
                <w:color w:val="auto"/>
              </w:rPr>
              <w:t>Additional information regarding the components of Comparable Property POI</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85"/>
        </w:trPr>
        <w:tc>
          <w:tcPr>
            <w:tcW w:w="6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4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w w:val="93"/>
              </w:rPr>
              <w:t>Three Months Ended</w:t>
            </w:r>
          </w:p>
        </w:tc>
        <w:tc>
          <w:tcPr>
            <w:tcW w:w="1120" w:type="dxa"/>
            <w:vAlign w:val="bottom"/>
          </w:tcPr>
          <w:p>
            <w:pPr>
              <w:spacing w:after="0"/>
              <w:rPr>
                <w:sz w:val="24"/>
                <w:szCs w:val="24"/>
                <w:color w:val="auto"/>
              </w:rPr>
            </w:pPr>
          </w:p>
        </w:tc>
      </w:tr>
      <w:tr>
        <w:trPr>
          <w:trHeight w:val="276"/>
        </w:trPr>
        <w:tc>
          <w:tcPr>
            <w:tcW w:w="69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center"/>
              <w:ind w:left="678"/>
              <w:spacing w:after="0"/>
              <w:rPr>
                <w:sz w:val="20"/>
                <w:szCs w:val="20"/>
                <w:color w:val="auto"/>
              </w:rPr>
            </w:pPr>
            <w:r>
              <w:rPr>
                <w:rFonts w:ascii="Arial" w:cs="Arial" w:eastAsia="Arial" w:hAnsi="Arial"/>
                <w:sz w:val="14"/>
                <w:szCs w:val="14"/>
                <w:b w:val="1"/>
                <w:bCs w:val="1"/>
                <w:color w:val="auto"/>
                <w:w w:val="95"/>
              </w:rPr>
              <w:t>March 31,</w:t>
            </w:r>
          </w:p>
        </w:tc>
        <w:tc>
          <w:tcPr>
            <w:tcW w:w="106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r>
      <w:tr>
        <w:trPr>
          <w:trHeight w:val="263"/>
        </w:trPr>
        <w:tc>
          <w:tcPr>
            <w:tcW w:w="69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1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w w:val="97"/>
              </w:rPr>
              <w:t>% Change</w:t>
            </w:r>
          </w:p>
        </w:tc>
      </w:tr>
      <w:tr>
        <w:trPr>
          <w:trHeight w:val="263"/>
        </w:trPr>
        <w:tc>
          <w:tcPr>
            <w:tcW w:w="6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80" w:type="dxa"/>
            <w:vAlign w:val="bottom"/>
            <w:gridSpan w:val="3"/>
          </w:tcPr>
          <w:p>
            <w:pPr>
              <w:jc w:val="center"/>
              <w:ind w:left="698"/>
              <w:spacing w:after="0"/>
              <w:rPr>
                <w:sz w:val="20"/>
                <w:szCs w:val="20"/>
                <w:color w:val="auto"/>
              </w:rPr>
            </w:pPr>
            <w:r>
              <w:rPr>
                <w:rFonts w:ascii="Arial" w:cs="Arial" w:eastAsia="Arial" w:hAnsi="Arial"/>
                <w:sz w:val="14"/>
                <w:szCs w:val="14"/>
                <w:b w:val="1"/>
                <w:bCs w:val="1"/>
                <w:color w:val="auto"/>
                <w:w w:val="91"/>
              </w:rPr>
              <w:t>(in thousands)</w:t>
            </w:r>
          </w:p>
        </w:tc>
        <w:tc>
          <w:tcPr>
            <w:tcW w:w="10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6"/>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8"/>
                <w:szCs w:val="18"/>
                <w:color w:val="auto"/>
              </w:rPr>
              <w:t>213,526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218,110</w:t>
            </w:r>
          </w:p>
        </w:tc>
        <w:tc>
          <w:tcPr>
            <w:tcW w:w="1120" w:type="dxa"/>
            <w:vAlign w:val="bottom"/>
            <w:tcBorders>
              <w:bottom w:val="single" w:sz="8" w:color="CCEEFF"/>
            </w:tcBorders>
            <w:shd w:val="clear" w:color="auto" w:fill="CCEEFF"/>
          </w:tcPr>
          <w:p>
            <w:pPr>
              <w:spacing w:after="0"/>
              <w:rPr>
                <w:sz w:val="22"/>
                <w:szCs w:val="22"/>
                <w:color w:val="auto"/>
              </w:rPr>
            </w:pPr>
          </w:p>
        </w:tc>
      </w:tr>
      <w:tr>
        <w:trPr>
          <w:trHeight w:val="270"/>
        </w:trPr>
        <w:tc>
          <w:tcPr>
            <w:tcW w:w="6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(39,159)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(40,389)</w:t>
            </w: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1"/>
                <w:szCs w:val="21"/>
                <w:color w:val="auto"/>
              </w:rPr>
            </w:pP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(26,584)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(26,157)</w:t>
            </w:r>
          </w:p>
        </w:tc>
        <w:tc>
          <w:tcPr>
            <w:tcW w:w="1120" w:type="dxa"/>
            <w:vAlign w:val="bottom"/>
          </w:tcPr>
          <w:p>
            <w:pPr>
              <w:spacing w:after="0"/>
              <w:rPr>
                <w:sz w:val="21"/>
                <w:szCs w:val="21"/>
                <w:color w:val="auto"/>
              </w:rPr>
            </w:pPr>
          </w:p>
        </w:tc>
      </w:tr>
      <w:tr>
        <w:trPr>
          <w:trHeight w:val="27"/>
        </w:trPr>
        <w:tc>
          <w:tcPr>
            <w:tcW w:w="6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244"/>
        </w:trPr>
        <w:tc>
          <w:tcPr>
            <w:tcW w:w="6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(65,743)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(66,546)</w:t>
            </w:r>
          </w:p>
        </w:tc>
        <w:tc>
          <w:tcPr>
            <w:tcW w:w="1120" w:type="dxa"/>
            <w:vAlign w:val="bottom"/>
            <w:tcBorders>
              <w:bottom w:val="single" w:sz="8" w:color="CCEEFF"/>
            </w:tcBorders>
            <w:shd w:val="clear" w:color="auto" w:fill="CCEEFF"/>
          </w:tcPr>
          <w:p>
            <w:pPr>
              <w:spacing w:after="0"/>
              <w:rPr>
                <w:sz w:val="21"/>
                <w:szCs w:val="21"/>
                <w:color w:val="auto"/>
              </w:rPr>
            </w:pPr>
          </w:p>
        </w:tc>
      </w:tr>
      <w:tr>
        <w:trPr>
          <w:trHeight w:val="216"/>
        </w:trPr>
        <w:tc>
          <w:tcPr>
            <w:tcW w:w="6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Comparable property POI</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8"/>
                <w:szCs w:val="18"/>
                <w:color w:val="auto"/>
              </w:rPr>
              <w:t>147,783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151,564</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473"/>
        </w:trPr>
        <w:tc>
          <w:tcPr>
            <w:tcW w:w="6960" w:type="dxa"/>
            <w:vAlign w:val="bottom"/>
          </w:tcPr>
          <w:p>
            <w:pPr>
              <w:ind w:left="40"/>
              <w:spacing w:after="0"/>
              <w:rPr>
                <w:sz w:val="20"/>
                <w:szCs w:val="20"/>
                <w:color w:val="auto"/>
              </w:rPr>
            </w:pPr>
            <w:r>
              <w:rPr>
                <w:rFonts w:ascii="Arial" w:cs="Arial" w:eastAsia="Arial" w:hAnsi="Arial"/>
                <w:sz w:val="18"/>
                <w:szCs w:val="18"/>
                <w:i w:val="1"/>
                <w:iCs w:val="1"/>
                <w:color w:val="auto"/>
              </w:rPr>
              <w:t>Comparable Property - Summary of Capital Expenditures (1)</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85"/>
        </w:trPr>
        <w:tc>
          <w:tcPr>
            <w:tcW w:w="6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4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w w:val="93"/>
              </w:rPr>
              <w:t>Three Months Ended</w:t>
            </w:r>
          </w:p>
        </w:tc>
        <w:tc>
          <w:tcPr>
            <w:tcW w:w="1120" w:type="dxa"/>
            <w:vAlign w:val="bottom"/>
          </w:tcPr>
          <w:p>
            <w:pPr>
              <w:spacing w:after="0"/>
              <w:rPr>
                <w:sz w:val="24"/>
                <w:szCs w:val="24"/>
                <w:color w:val="auto"/>
              </w:rPr>
            </w:pPr>
          </w:p>
        </w:tc>
      </w:tr>
      <w:tr>
        <w:trPr>
          <w:trHeight w:val="276"/>
        </w:trPr>
        <w:tc>
          <w:tcPr>
            <w:tcW w:w="69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center"/>
              <w:ind w:left="678"/>
              <w:spacing w:after="0"/>
              <w:rPr>
                <w:sz w:val="20"/>
                <w:szCs w:val="20"/>
                <w:color w:val="auto"/>
              </w:rPr>
            </w:pPr>
            <w:r>
              <w:rPr>
                <w:rFonts w:ascii="Arial" w:cs="Arial" w:eastAsia="Arial" w:hAnsi="Arial"/>
                <w:sz w:val="14"/>
                <w:szCs w:val="14"/>
                <w:b w:val="1"/>
                <w:bCs w:val="1"/>
                <w:color w:val="auto"/>
                <w:w w:val="95"/>
              </w:rPr>
              <w:t>March 31,</w:t>
            </w:r>
          </w:p>
        </w:tc>
        <w:tc>
          <w:tcPr>
            <w:tcW w:w="106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r>
      <w:tr>
        <w:trPr>
          <w:trHeight w:val="263"/>
        </w:trPr>
        <w:tc>
          <w:tcPr>
            <w:tcW w:w="69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120" w:type="dxa"/>
            <w:vAlign w:val="bottom"/>
          </w:tcPr>
          <w:p>
            <w:pPr>
              <w:spacing w:after="0"/>
              <w:rPr>
                <w:sz w:val="22"/>
                <w:szCs w:val="22"/>
                <w:color w:val="auto"/>
              </w:rPr>
            </w:pPr>
          </w:p>
        </w:tc>
      </w:tr>
      <w:tr>
        <w:trPr>
          <w:trHeight w:val="250"/>
        </w:trPr>
        <w:tc>
          <w:tcPr>
            <w:tcW w:w="6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80" w:type="dxa"/>
            <w:vAlign w:val="bottom"/>
            <w:gridSpan w:val="3"/>
          </w:tcPr>
          <w:p>
            <w:pPr>
              <w:jc w:val="center"/>
              <w:ind w:left="698"/>
              <w:spacing w:after="0"/>
              <w:rPr>
                <w:sz w:val="20"/>
                <w:szCs w:val="20"/>
                <w:color w:val="auto"/>
              </w:rPr>
            </w:pPr>
            <w:r>
              <w:rPr>
                <w:rFonts w:ascii="Arial" w:cs="Arial" w:eastAsia="Arial" w:hAnsi="Arial"/>
                <w:sz w:val="14"/>
                <w:szCs w:val="14"/>
                <w:b w:val="1"/>
                <w:bCs w:val="1"/>
                <w:color w:val="auto"/>
                <w:w w:val="91"/>
              </w:rPr>
              <w:t>(in thousands)</w:t>
            </w:r>
          </w:p>
        </w:tc>
        <w:tc>
          <w:tcPr>
            <w:tcW w:w="10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Redevelopment and tenant improvements and incentives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8"/>
                <w:szCs w:val="18"/>
                <w:color w:val="auto"/>
              </w:rPr>
              <w:t>30,917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16,758</w:t>
            </w:r>
          </w:p>
        </w:tc>
        <w:tc>
          <w:tcPr>
            <w:tcW w:w="1120" w:type="dxa"/>
            <w:vAlign w:val="bottom"/>
          </w:tcPr>
          <w:p>
            <w:pPr>
              <w:spacing w:after="0"/>
              <w:rPr>
                <w:sz w:val="22"/>
                <w:szCs w:val="22"/>
                <w:color w:val="auto"/>
              </w:rPr>
            </w:pP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Maintenance capital expenditures</w:t>
            </w:r>
          </w:p>
        </w:tc>
        <w:tc>
          <w:tcPr>
            <w:tcW w:w="320" w:type="dxa"/>
            <w:vAlign w:val="bottom"/>
          </w:tcPr>
          <w:p>
            <w:pPr>
              <w:spacing w:after="0"/>
              <w:rPr>
                <w:sz w:val="21"/>
                <w:szCs w:val="21"/>
                <w:color w:val="auto"/>
              </w:rPr>
            </w:pPr>
          </w:p>
        </w:tc>
        <w:tc>
          <w:tcPr>
            <w:tcW w:w="1200" w:type="dxa"/>
            <w:vAlign w:val="bottom"/>
          </w:tcPr>
          <w:p>
            <w:pPr>
              <w:jc w:val="right"/>
              <w:ind w:right="98"/>
              <w:spacing w:after="0"/>
              <w:rPr>
                <w:sz w:val="20"/>
                <w:szCs w:val="20"/>
                <w:color w:val="auto"/>
              </w:rPr>
            </w:pPr>
            <w:r>
              <w:rPr>
                <w:rFonts w:ascii="Arial" w:cs="Arial" w:eastAsia="Arial" w:hAnsi="Arial"/>
                <w:sz w:val="18"/>
                <w:szCs w:val="18"/>
                <w:color w:val="auto"/>
              </w:rPr>
              <w:t>2,504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1,439</w:t>
            </w:r>
          </w:p>
        </w:tc>
        <w:tc>
          <w:tcPr>
            <w:tcW w:w="1120" w:type="dxa"/>
            <w:vAlign w:val="bottom"/>
          </w:tcPr>
          <w:p>
            <w:pPr>
              <w:spacing w:after="0"/>
              <w:rPr>
                <w:sz w:val="21"/>
                <w:szCs w:val="21"/>
                <w:color w:val="auto"/>
              </w:rPr>
            </w:pPr>
          </w:p>
        </w:tc>
      </w:tr>
      <w:tr>
        <w:trPr>
          <w:trHeight w:val="27"/>
        </w:trPr>
        <w:tc>
          <w:tcPr>
            <w:tcW w:w="6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44"/>
        </w:trPr>
        <w:tc>
          <w:tcPr>
            <w:tcW w:w="6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8"/>
                <w:szCs w:val="18"/>
                <w:color w:val="auto"/>
              </w:rPr>
              <w:t>33,421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18,197</w:t>
            </w:r>
          </w:p>
        </w:tc>
        <w:tc>
          <w:tcPr>
            <w:tcW w:w="1120" w:type="dxa"/>
            <w:vAlign w:val="bottom"/>
          </w:tcPr>
          <w:p>
            <w:pPr>
              <w:spacing w:after="0"/>
              <w:rPr>
                <w:sz w:val="21"/>
                <w:szCs w:val="21"/>
                <w:color w:val="auto"/>
              </w:rPr>
            </w:pPr>
          </w:p>
        </w:tc>
      </w:tr>
      <w:tr>
        <w:trPr>
          <w:trHeight w:val="432"/>
        </w:trPr>
        <w:tc>
          <w:tcPr>
            <w:tcW w:w="6960" w:type="dxa"/>
            <w:vAlign w:val="bottom"/>
          </w:tcPr>
          <w:p>
            <w:pPr>
              <w:ind w:left="40"/>
              <w:spacing w:after="0"/>
              <w:rPr>
                <w:sz w:val="20"/>
                <w:szCs w:val="20"/>
                <w:color w:val="auto"/>
              </w:rPr>
            </w:pPr>
            <w:r>
              <w:rPr>
                <w:rFonts w:ascii="Arial" w:cs="Arial" w:eastAsia="Arial" w:hAnsi="Arial"/>
                <w:sz w:val="18"/>
                <w:szCs w:val="18"/>
                <w:i w:val="1"/>
                <w:iCs w:val="1"/>
                <w:color w:val="auto"/>
              </w:rPr>
              <w:t>Comparable Property - Occupancy Statistics (2)</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91"/>
        </w:trPr>
        <w:tc>
          <w:tcPr>
            <w:tcW w:w="69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center"/>
              <w:ind w:left="678"/>
              <w:spacing w:after="0"/>
              <w:rPr>
                <w:sz w:val="20"/>
                <w:szCs w:val="20"/>
                <w:color w:val="auto"/>
              </w:rPr>
            </w:pPr>
            <w:r>
              <w:rPr>
                <w:rFonts w:ascii="Arial" w:cs="Arial" w:eastAsia="Arial" w:hAnsi="Arial"/>
                <w:sz w:val="14"/>
                <w:szCs w:val="14"/>
                <w:b w:val="1"/>
                <w:bCs w:val="1"/>
                <w:color w:val="auto"/>
                <w:w w:val="98"/>
              </w:rPr>
              <w:t>At March 31,</w:t>
            </w:r>
          </w:p>
        </w:tc>
        <w:tc>
          <w:tcPr>
            <w:tcW w:w="106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r>
      <w:tr>
        <w:trPr>
          <w:trHeight w:val="264"/>
        </w:trPr>
        <w:tc>
          <w:tcPr>
            <w:tcW w:w="69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120" w:type="dxa"/>
            <w:vAlign w:val="bottom"/>
          </w:tcPr>
          <w:p>
            <w:pPr>
              <w:spacing w:after="0"/>
              <w:rPr>
                <w:sz w:val="22"/>
                <w:szCs w:val="22"/>
                <w:color w:val="auto"/>
              </w:rPr>
            </w:pPr>
          </w:p>
        </w:tc>
      </w:tr>
      <w:tr>
        <w:trPr>
          <w:trHeight w:val="249"/>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GLA - comparable commercial properties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8"/>
                <w:szCs w:val="18"/>
                <w:color w:val="auto"/>
              </w:rPr>
              <w:t>22,117,000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95"/>
              </w:rPr>
              <w:t>22,307,000</w:t>
            </w:r>
          </w:p>
        </w:tc>
        <w:tc>
          <w:tcPr>
            <w:tcW w:w="1120" w:type="dxa"/>
            <w:vAlign w:val="bottom"/>
          </w:tcPr>
          <w:p>
            <w:pPr>
              <w:spacing w:after="0"/>
              <w:rPr>
                <w:sz w:val="21"/>
                <w:szCs w:val="21"/>
                <w:color w:val="auto"/>
              </w:rPr>
            </w:pP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Leased % - comparable commercial properties</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94.5%</w:t>
            </w:r>
          </w:p>
        </w:tc>
        <w:tc>
          <w:tcPr>
            <w:tcW w:w="1120" w:type="dxa"/>
            <w:vAlign w:val="bottom"/>
          </w:tcPr>
          <w:p>
            <w:pPr>
              <w:spacing w:after="0"/>
              <w:rPr>
                <w:sz w:val="21"/>
                <w:szCs w:val="21"/>
                <w:color w:val="auto"/>
              </w:rPr>
            </w:pPr>
          </w:p>
        </w:tc>
      </w:tr>
      <w:tr>
        <w:trPr>
          <w:trHeight w:val="27"/>
        </w:trPr>
        <w:tc>
          <w:tcPr>
            <w:tcW w:w="6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96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Occupancy % - comparable commercial properties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120" w:type="dxa"/>
            <w:vAlign w:val="bottom"/>
          </w:tcPr>
          <w:p>
            <w:pPr>
              <w:spacing w:after="0"/>
              <w:rPr>
                <w:sz w:val="19"/>
                <w:szCs w:val="19"/>
                <w:color w:val="auto"/>
              </w:rPr>
            </w:pPr>
          </w:p>
        </w:tc>
      </w:tr>
      <w:tr>
        <w:trPr>
          <w:trHeight w:val="40"/>
        </w:trPr>
        <w:tc>
          <w:tcPr>
            <w:tcW w:w="69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120" w:type="dxa"/>
            <w:vAlign w:val="bottom"/>
          </w:tcPr>
          <w:p>
            <w:pPr>
              <w:spacing w:after="0"/>
              <w:rPr>
                <w:sz w:val="3"/>
                <w:szCs w:val="3"/>
                <w:color w:val="auto"/>
              </w:rPr>
            </w:pPr>
          </w:p>
        </w:tc>
      </w:tr>
    </w:tbl>
    <w:p>
      <w:pPr>
        <w:spacing w:after="0" w:line="355"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720" w:hanging="685"/>
        <w:spacing w:after="0"/>
        <w:tabs>
          <w:tab w:leader="none" w:pos="7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See page 9 for "Summary of Capital Expenditures" for our entire portfolio.</w:t>
      </w:r>
    </w:p>
    <w:p>
      <w:pPr>
        <w:spacing w:after="0" w:line="72" w:lineRule="exact"/>
        <w:rPr>
          <w:rFonts w:ascii="Arial" w:cs="Arial" w:eastAsia="Arial" w:hAnsi="Arial"/>
          <w:sz w:val="16"/>
          <w:szCs w:val="16"/>
          <w:color w:val="auto"/>
        </w:rPr>
      </w:pPr>
    </w:p>
    <w:p>
      <w:pPr>
        <w:ind w:left="720" w:hanging="685"/>
        <w:spacing w:after="0"/>
        <w:tabs>
          <w:tab w:leader="none" w:pos="7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See page 26 for entire portfolio occupancy statistics.</w:t>
      </w:r>
    </w:p>
    <w:p>
      <w:pPr>
        <w:sectPr>
          <w:pgSz w:w="11900" w:h="16838" w:orient="portrait"/>
          <w:cols w:equalWidth="0" w:num="1">
            <w:col w:w="11240"/>
          </w:cols>
          <w:pgMar w:left="320" w:top="715" w:right="339" w:bottom="399" w:gutter="0" w:footer="0" w:header="0"/>
        </w:sect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715" w:right="339" w:bottom="399" w:gutter="0" w:footer="0" w:header="0"/>
          <w:type w:val="continuous"/>
        </w:sectPr>
      </w:pPr>
    </w:p>
    <w:bookmarkStart w:id="15" w:name="page16"/>
    <w:bookmarkEnd w:id="15"/>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Summary of Outstanding Debt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March 31, 2020</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ind w:left="1020"/>
              <w:spacing w:after="0"/>
              <w:rPr>
                <w:sz w:val="20"/>
                <w:szCs w:val="20"/>
                <w:color w:val="auto"/>
              </w:rPr>
            </w:pPr>
            <w:r>
              <w:rPr>
                <w:rFonts w:ascii="Arial" w:cs="Arial" w:eastAsia="Arial" w:hAnsi="Arial"/>
                <w:sz w:val="14"/>
                <w:szCs w:val="14"/>
                <w:b w:val="1"/>
                <w:bCs w:val="1"/>
                <w:color w:val="auto"/>
              </w:rPr>
              <w:t>As of March 31, 2020</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vMerge w:val="restart"/>
          </w:tcPr>
          <w:p>
            <w:pPr>
              <w:jc w:val="center"/>
              <w:ind w:right="99"/>
              <w:spacing w:after="0"/>
              <w:rPr>
                <w:sz w:val="20"/>
                <w:szCs w:val="20"/>
                <w:color w:val="auto"/>
              </w:rPr>
            </w:pPr>
            <w:r>
              <w:rPr>
                <w:rFonts w:ascii="Arial" w:cs="Arial" w:eastAsia="Arial" w:hAnsi="Arial"/>
                <w:sz w:val="14"/>
                <w:szCs w:val="14"/>
                <w:b w:val="1"/>
                <w:bCs w:val="1"/>
                <w:color w:val="auto"/>
                <w:w w:val="95"/>
              </w:rPr>
              <w:t>Stated maturity date</w:t>
            </w:r>
          </w:p>
        </w:tc>
        <w:tc>
          <w:tcPr>
            <w:tcW w:w="120" w:type="dxa"/>
            <w:vAlign w:val="bottom"/>
            <w:vMerge w:val="restart"/>
          </w:tcPr>
          <w:p>
            <w:pPr>
              <w:spacing w:after="0"/>
              <w:rPr>
                <w:sz w:val="13"/>
                <w:szCs w:val="13"/>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Stated interest rate</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93"/>
              </w:rPr>
              <w:t>Balance</w:t>
            </w:r>
          </w:p>
        </w:tc>
        <w:tc>
          <w:tcPr>
            <w:tcW w:w="120" w:type="dxa"/>
            <w:vAlign w:val="bottom"/>
            <w:vMerge w:val="restart"/>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right"/>
              <w:ind w:right="39"/>
              <w:spacing w:after="0" w:line="153"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rPr>
              <w:t>effective rate (7)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 thousands)</w:t>
            </w: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w w:val="90"/>
              </w:rPr>
              <w:t>Mortgages Payable (1)</w:t>
            </w:r>
          </w:p>
        </w:tc>
        <w:tc>
          <w:tcPr>
            <w:tcW w:w="2720" w:type="dxa"/>
            <w:vAlign w:val="bottom"/>
            <w:tcBorders>
              <w:bottom w:val="single" w:sz="8" w:color="CCEEFF"/>
            </w:tcBorders>
            <w:gridSpan w:val="3"/>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Arial" w:cs="Arial" w:eastAsia="Arial" w:hAnsi="Arial"/>
                <w:sz w:val="16"/>
                <w:szCs w:val="16"/>
                <w:i w:val="1"/>
                <w:iCs w:val="1"/>
                <w:color w:val="auto"/>
              </w:rPr>
              <w:t>Secured fixed rate</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The Shops at Sunset Place</w:t>
            </w:r>
          </w:p>
        </w:tc>
        <w:tc>
          <w:tcPr>
            <w:tcW w:w="162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9/1/2020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61,585</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Arial" w:cs="Arial" w:eastAsia="Arial" w:hAnsi="Arial"/>
                <w:sz w:val="16"/>
                <w:szCs w:val="16"/>
                <w:color w:val="auto"/>
              </w:rPr>
              <w:t>29th Place</w:t>
            </w:r>
          </w:p>
        </w:tc>
        <w:tc>
          <w:tcPr>
            <w:tcW w:w="1620" w:type="dxa"/>
            <w:vAlign w:val="bottom"/>
          </w:tcPr>
          <w:p>
            <w:pPr>
              <w:jc w:val="center"/>
              <w:ind w:right="79"/>
              <w:spacing w:after="0"/>
              <w:rPr>
                <w:sz w:val="20"/>
                <w:szCs w:val="20"/>
                <w:color w:val="auto"/>
              </w:rPr>
            </w:pPr>
            <w:r>
              <w:rPr>
                <w:rFonts w:ascii="Arial" w:cs="Arial" w:eastAsia="Arial" w:hAnsi="Arial"/>
                <w:sz w:val="16"/>
                <w:szCs w:val="16"/>
                <w:color w:val="auto"/>
                <w:w w:val="92"/>
              </w:rPr>
              <w:t>1/31/2021</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2"/>
              </w:rPr>
              <w:t>5.91%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3,816</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Sylmar Towne Center</w:t>
            </w:r>
          </w:p>
        </w:tc>
        <w:tc>
          <w:tcPr>
            <w:tcW w:w="162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6/6/2021</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16,532</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Arial" w:cs="Arial" w:eastAsia="Arial" w:hAnsi="Arial"/>
                <w:sz w:val="16"/>
                <w:szCs w:val="16"/>
                <w:color w:val="auto"/>
              </w:rPr>
              <w:t>Plaza Del Sol</w:t>
            </w:r>
          </w:p>
        </w:tc>
        <w:tc>
          <w:tcPr>
            <w:tcW w:w="1620" w:type="dxa"/>
            <w:vAlign w:val="bottom"/>
          </w:tcPr>
          <w:p>
            <w:pPr>
              <w:jc w:val="center"/>
              <w:ind w:right="79"/>
              <w:spacing w:after="0"/>
              <w:rPr>
                <w:sz w:val="20"/>
                <w:szCs w:val="20"/>
                <w:color w:val="auto"/>
              </w:rPr>
            </w:pPr>
            <w:r>
              <w:rPr>
                <w:rFonts w:ascii="Arial" w:cs="Arial" w:eastAsia="Arial" w:hAnsi="Arial"/>
                <w:sz w:val="16"/>
                <w:szCs w:val="16"/>
                <w:color w:val="auto"/>
                <w:w w:val="92"/>
              </w:rPr>
              <w:t>12/1/2021</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2"/>
              </w:rPr>
              <w:t>5.23%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8,183</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The AVENUE at White Marsh</w:t>
            </w:r>
          </w:p>
        </w:tc>
        <w:tc>
          <w:tcPr>
            <w:tcW w:w="162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1/1/2022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52,705</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Arial" w:cs="Arial" w:eastAsia="Arial" w:hAnsi="Arial"/>
                <w:sz w:val="16"/>
                <w:szCs w:val="16"/>
                <w:color w:val="auto"/>
              </w:rPr>
              <w:t>Montrose Crossing</w:t>
            </w:r>
          </w:p>
        </w:tc>
        <w:tc>
          <w:tcPr>
            <w:tcW w:w="1620" w:type="dxa"/>
            <w:vAlign w:val="bottom"/>
          </w:tcPr>
          <w:p>
            <w:pPr>
              <w:jc w:val="center"/>
              <w:ind w:right="79"/>
              <w:spacing w:after="0"/>
              <w:rPr>
                <w:sz w:val="20"/>
                <w:szCs w:val="20"/>
                <w:color w:val="auto"/>
              </w:rPr>
            </w:pPr>
            <w:r>
              <w:rPr>
                <w:rFonts w:ascii="Arial" w:cs="Arial" w:eastAsia="Arial" w:hAnsi="Arial"/>
                <w:sz w:val="16"/>
                <w:szCs w:val="16"/>
                <w:color w:val="auto"/>
                <w:w w:val="92"/>
              </w:rPr>
              <w:t>1/10/2022</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2"/>
              </w:rPr>
              <w:t>4.20%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67,025</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Azalea</w:t>
            </w:r>
          </w:p>
        </w:tc>
        <w:tc>
          <w:tcPr>
            <w:tcW w:w="1620" w:type="dxa"/>
            <w:vAlign w:val="bottom"/>
            <w:tcBorders>
              <w:bottom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89"/>
              </w:rPr>
              <w:t>11/1/2025</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40,000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Arial" w:cs="Arial" w:eastAsia="Arial" w:hAnsi="Arial"/>
                <w:sz w:val="16"/>
                <w:szCs w:val="16"/>
                <w:color w:val="auto"/>
              </w:rPr>
              <w:t>Bell Gardens</w:t>
            </w:r>
          </w:p>
        </w:tc>
        <w:tc>
          <w:tcPr>
            <w:tcW w:w="1620" w:type="dxa"/>
            <w:vAlign w:val="bottom"/>
          </w:tcPr>
          <w:p>
            <w:pPr>
              <w:jc w:val="center"/>
              <w:ind w:right="79"/>
              <w:spacing w:after="0"/>
              <w:rPr>
                <w:sz w:val="20"/>
                <w:szCs w:val="20"/>
                <w:color w:val="auto"/>
              </w:rPr>
            </w:pPr>
            <w:r>
              <w:rPr>
                <w:rFonts w:ascii="Arial" w:cs="Arial" w:eastAsia="Arial" w:hAnsi="Arial"/>
                <w:sz w:val="16"/>
                <w:szCs w:val="16"/>
                <w:color w:val="auto"/>
                <w:w w:val="93"/>
              </w:rPr>
              <w:t>8/1/2026</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2"/>
              </w:rPr>
              <w:t>4.06%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12,611</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Plaza El Segundo</w:t>
            </w:r>
          </w:p>
        </w:tc>
        <w:tc>
          <w:tcPr>
            <w:tcW w:w="162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6/5/2027</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125,000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Arial" w:cs="Arial" w:eastAsia="Arial" w:hAnsi="Arial"/>
                <w:sz w:val="16"/>
                <w:szCs w:val="16"/>
                <w:color w:val="auto"/>
              </w:rPr>
              <w:t>The Grove at Shrewsbury (East)</w:t>
            </w:r>
          </w:p>
        </w:tc>
        <w:tc>
          <w:tcPr>
            <w:tcW w:w="1620" w:type="dxa"/>
            <w:vAlign w:val="bottom"/>
          </w:tcPr>
          <w:p>
            <w:pPr>
              <w:jc w:val="center"/>
              <w:ind w:right="79"/>
              <w:spacing w:after="0"/>
              <w:rPr>
                <w:sz w:val="20"/>
                <w:szCs w:val="20"/>
                <w:color w:val="auto"/>
              </w:rPr>
            </w:pPr>
            <w:r>
              <w:rPr>
                <w:rFonts w:ascii="Arial" w:cs="Arial" w:eastAsia="Arial" w:hAnsi="Arial"/>
                <w:sz w:val="16"/>
                <w:szCs w:val="16"/>
                <w:color w:val="auto"/>
                <w:w w:val="93"/>
              </w:rPr>
              <w:t>9/1/2027</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2"/>
              </w:rPr>
              <w:t>3.77%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43,600</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Brook 35</w:t>
            </w:r>
          </w:p>
        </w:tc>
        <w:tc>
          <w:tcPr>
            <w:tcW w:w="162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7/1/2029</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11,500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Arial" w:cs="Arial" w:eastAsia="Arial" w:hAnsi="Arial"/>
                <w:sz w:val="16"/>
                <w:szCs w:val="16"/>
                <w:color w:val="auto"/>
              </w:rPr>
              <w:t>Hoboken (24 Buildings) (2)</w:t>
            </w:r>
          </w:p>
        </w:tc>
        <w:tc>
          <w:tcPr>
            <w:tcW w:w="1620" w:type="dxa"/>
            <w:vAlign w:val="bottom"/>
          </w:tcPr>
          <w:p>
            <w:pPr>
              <w:jc w:val="center"/>
              <w:ind w:right="79"/>
              <w:spacing w:after="0"/>
              <w:rPr>
                <w:sz w:val="20"/>
                <w:szCs w:val="20"/>
                <w:color w:val="auto"/>
              </w:rPr>
            </w:pPr>
            <w:r>
              <w:rPr>
                <w:rFonts w:ascii="Arial" w:cs="Arial" w:eastAsia="Arial" w:hAnsi="Arial"/>
                <w:sz w:val="16"/>
                <w:szCs w:val="16"/>
                <w:color w:val="auto"/>
                <w:w w:val="92"/>
              </w:rPr>
              <w:t>12/15/2029</w:t>
            </w:r>
          </w:p>
        </w:tc>
        <w:tc>
          <w:tcPr>
            <w:tcW w:w="120" w:type="dxa"/>
            <w:vAlign w:val="bottom"/>
          </w:tcPr>
          <w:p>
            <w:pPr>
              <w:spacing w:after="0"/>
              <w:rPr>
                <w:sz w:val="20"/>
                <w:szCs w:val="20"/>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LIBOR + 1.95%</w:t>
            </w: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56,450</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Various Hoboken (14 Buildings)</w:t>
            </w:r>
          </w:p>
        </w:tc>
        <w:tc>
          <w:tcPr>
            <w:tcW w:w="174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6"/>
                <w:szCs w:val="16"/>
                <w:color w:val="auto"/>
                <w:w w:val="91"/>
              </w:rPr>
              <w:t>Various through 2029</w:t>
            </w:r>
          </w:p>
        </w:tc>
        <w:tc>
          <w:tcPr>
            <w:tcW w:w="16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Various (3)</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33,342</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Arial" w:cs="Arial" w:eastAsia="Arial" w:hAnsi="Arial"/>
                <w:sz w:val="16"/>
                <w:szCs w:val="16"/>
                <w:color w:val="auto"/>
              </w:rPr>
              <w:t>Chelsea</w:t>
            </w:r>
          </w:p>
        </w:tc>
        <w:tc>
          <w:tcPr>
            <w:tcW w:w="1620" w:type="dxa"/>
            <w:vAlign w:val="bottom"/>
          </w:tcPr>
          <w:p>
            <w:pPr>
              <w:jc w:val="center"/>
              <w:ind w:right="79"/>
              <w:spacing w:after="0"/>
              <w:rPr>
                <w:sz w:val="20"/>
                <w:szCs w:val="20"/>
                <w:color w:val="auto"/>
              </w:rPr>
            </w:pPr>
            <w:r>
              <w:rPr>
                <w:rFonts w:ascii="Arial" w:cs="Arial" w:eastAsia="Arial" w:hAnsi="Arial"/>
                <w:sz w:val="16"/>
                <w:szCs w:val="16"/>
                <w:color w:val="auto"/>
                <w:w w:val="92"/>
              </w:rPr>
              <w:t>1/15/2031</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2"/>
              </w:rPr>
              <w:t>5.36%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5,508</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Hoboken (1 Building) (4)</w:t>
            </w:r>
          </w:p>
        </w:tc>
        <w:tc>
          <w:tcPr>
            <w:tcW w:w="162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7/1/2042</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16,796</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gridSpan w:val="5"/>
          </w:tcPr>
          <w:p>
            <w:pPr>
              <w:ind w:left="700"/>
              <w:spacing w:after="0"/>
              <w:rPr>
                <w:sz w:val="20"/>
                <w:szCs w:val="20"/>
                <w:color w:val="auto"/>
              </w:rPr>
            </w:pPr>
            <w:r>
              <w:rPr>
                <w:rFonts w:ascii="Arial" w:cs="Arial" w:eastAsia="Arial" w:hAnsi="Arial"/>
                <w:sz w:val="16"/>
                <w:szCs w:val="16"/>
                <w:color w:val="auto"/>
              </w:rPr>
              <w:t>Subtotal</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554,653</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00" w:type="dxa"/>
            <w:vAlign w:val="bottom"/>
            <w:tcBorders>
              <w:bottom w:val="single" w:sz="8" w:color="CCEEFF"/>
            </w:tcBorders>
            <w:gridSpan w:val="5"/>
            <w:shd w:val="clear" w:color="auto" w:fill="CCEEFF"/>
          </w:tcPr>
          <w:p>
            <w:pPr>
              <w:ind w:left="900"/>
              <w:spacing w:after="0"/>
              <w:rPr>
                <w:sz w:val="20"/>
                <w:szCs w:val="20"/>
                <w:color w:val="auto"/>
              </w:rPr>
            </w:pPr>
            <w:r>
              <w:rPr>
                <w:rFonts w:ascii="Arial" w:cs="Arial" w:eastAsia="Arial" w:hAnsi="Arial"/>
                <w:sz w:val="16"/>
                <w:szCs w:val="16"/>
                <w:color w:val="auto"/>
                <w:w w:val="91"/>
              </w:rPr>
              <w:t>Net unamortized premium and debt issuance costs</w:t>
            </w:r>
          </w:p>
        </w:tc>
        <w:tc>
          <w:tcPr>
            <w:tcW w:w="16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(1,840)</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gridSpan w:val="5"/>
          </w:tcPr>
          <w:p>
            <w:pPr>
              <w:ind w:left="700"/>
              <w:spacing w:after="0"/>
              <w:rPr>
                <w:sz w:val="20"/>
                <w:szCs w:val="20"/>
                <w:color w:val="auto"/>
              </w:rPr>
            </w:pPr>
            <w:r>
              <w:rPr>
                <w:rFonts w:ascii="Arial" w:cs="Arial" w:eastAsia="Arial" w:hAnsi="Arial"/>
                <w:sz w:val="16"/>
                <w:szCs w:val="16"/>
                <w:color w:val="auto"/>
              </w:rPr>
              <w:t>Total mortgages payable, net</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552,813</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61"/>
              <w:spacing w:after="0"/>
              <w:rPr>
                <w:sz w:val="20"/>
                <w:szCs w:val="20"/>
                <w:color w:val="auto"/>
              </w:rPr>
            </w:pPr>
            <w:r>
              <w:rPr>
                <w:rFonts w:ascii="Arial" w:cs="Arial" w:eastAsia="Arial" w:hAnsi="Arial"/>
                <w:sz w:val="16"/>
                <w:szCs w:val="16"/>
                <w:color w:val="auto"/>
              </w:rPr>
              <w:t>3.98%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gridSpan w:val="5"/>
          </w:tcPr>
          <w:p>
            <w:pPr>
              <w:spacing w:after="0"/>
              <w:rPr>
                <w:sz w:val="20"/>
                <w:szCs w:val="20"/>
                <w:color w:val="auto"/>
              </w:rPr>
            </w:pPr>
            <w:r>
              <w:rPr>
                <w:rFonts w:ascii="Arial" w:cs="Arial" w:eastAsia="Arial" w:hAnsi="Arial"/>
                <w:sz w:val="16"/>
                <w:szCs w:val="16"/>
                <w:color w:val="auto"/>
              </w:rPr>
              <w:t>Notes payable</w:t>
            </w: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Revolving credit facility (5)</w:t>
            </w:r>
          </w:p>
        </w:tc>
        <w:tc>
          <w:tcPr>
            <w:tcW w:w="162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1/19/2024</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LIBOR + 0.775%</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990,000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Arial" w:cs="Arial" w:eastAsia="Arial" w:hAnsi="Arial"/>
                <w:sz w:val="16"/>
                <w:szCs w:val="16"/>
                <w:color w:val="auto"/>
              </w:rPr>
              <w:t>Various</w:t>
            </w:r>
          </w:p>
        </w:tc>
        <w:tc>
          <w:tcPr>
            <w:tcW w:w="174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Various through 2028</w:t>
            </w:r>
          </w:p>
        </w:tc>
        <w:tc>
          <w:tcPr>
            <w:tcW w:w="1560" w:type="dxa"/>
            <w:vAlign w:val="bottom"/>
          </w:tcPr>
          <w:p>
            <w:pPr>
              <w:jc w:val="center"/>
              <w:spacing w:after="0"/>
              <w:rPr>
                <w:sz w:val="20"/>
                <w:szCs w:val="20"/>
                <w:color w:val="auto"/>
              </w:rPr>
            </w:pPr>
            <w:r>
              <w:rPr>
                <w:rFonts w:ascii="Arial" w:cs="Arial" w:eastAsia="Arial" w:hAnsi="Arial"/>
                <w:sz w:val="16"/>
                <w:szCs w:val="16"/>
                <w:color w:val="auto"/>
                <w:w w:val="92"/>
              </w:rPr>
              <w:t>11.31%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3,812</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4200" w:type="dxa"/>
            <w:vAlign w:val="bottom"/>
            <w:tcBorders>
              <w:bottom w:val="single" w:sz="8" w:color="CCEEFF"/>
            </w:tcBorders>
            <w:gridSpan w:val="5"/>
            <w:shd w:val="clear" w:color="auto" w:fill="CCEEFF"/>
          </w:tcPr>
          <w:p>
            <w:pPr>
              <w:ind w:left="700"/>
              <w:spacing w:after="0"/>
              <w:rPr>
                <w:sz w:val="20"/>
                <w:szCs w:val="20"/>
                <w:color w:val="auto"/>
              </w:rPr>
            </w:pPr>
            <w:r>
              <w:rPr>
                <w:rFonts w:ascii="Arial" w:cs="Arial" w:eastAsia="Arial" w:hAnsi="Arial"/>
                <w:sz w:val="16"/>
                <w:szCs w:val="16"/>
                <w:color w:val="auto"/>
              </w:rPr>
              <w:t>Subtotal</w:t>
            </w: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993,812</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5"/>
          </w:tcPr>
          <w:p>
            <w:pPr>
              <w:ind w:left="900"/>
              <w:spacing w:after="0"/>
              <w:rPr>
                <w:sz w:val="20"/>
                <w:szCs w:val="20"/>
                <w:color w:val="auto"/>
              </w:rPr>
            </w:pPr>
            <w:r>
              <w:rPr>
                <w:rFonts w:ascii="Arial" w:cs="Arial" w:eastAsia="Arial" w:hAnsi="Arial"/>
                <w:sz w:val="16"/>
                <w:szCs w:val="16"/>
                <w:color w:val="auto"/>
              </w:rPr>
              <w:t>Net unamortized debt issuance costs</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700"/>
              <w:spacing w:after="0"/>
              <w:rPr>
                <w:sz w:val="20"/>
                <w:szCs w:val="20"/>
                <w:color w:val="auto"/>
              </w:rPr>
            </w:pPr>
            <w:r>
              <w:rPr>
                <w:rFonts w:ascii="Arial" w:cs="Arial" w:eastAsia="Arial" w:hAnsi="Arial"/>
                <w:sz w:val="16"/>
                <w:szCs w:val="16"/>
                <w:color w:val="auto"/>
              </w:rPr>
              <w:t>Total notes payable, net</w:t>
            </w: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993,752</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1.81%</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91"/>
              </w:rPr>
              <w:t>(8)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42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Senior notes and debentures</w:t>
            </w:r>
          </w:p>
        </w:tc>
        <w:tc>
          <w:tcPr>
            <w:tcW w:w="1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CCEEFF"/>
            </w:tcBorders>
          </w:tcPr>
          <w:p>
            <w:pPr>
              <w:spacing w:after="0"/>
              <w:rPr>
                <w:sz w:val="20"/>
                <w:szCs w:val="20"/>
                <w:color w:val="auto"/>
              </w:rPr>
            </w:pPr>
          </w:p>
        </w:tc>
        <w:tc>
          <w:tcPr>
            <w:tcW w:w="1820" w:type="dxa"/>
            <w:vAlign w:val="bottom"/>
            <w:tcBorders>
              <w:top w:val="single" w:sz="8" w:color="auto"/>
            </w:tcBorders>
            <w:gridSpan w:val="3"/>
          </w:tcPr>
          <w:p>
            <w:pPr>
              <w:ind w:left="340"/>
              <w:spacing w:after="0"/>
              <w:rPr>
                <w:sz w:val="20"/>
                <w:szCs w:val="20"/>
                <w:color w:val="auto"/>
              </w:rPr>
            </w:pPr>
            <w:r>
              <w:rPr>
                <w:rFonts w:ascii="Arial" w:cs="Arial" w:eastAsia="Arial" w:hAnsi="Arial"/>
                <w:sz w:val="16"/>
                <w:szCs w:val="16"/>
                <w:i w:val="1"/>
                <w:iCs w:val="1"/>
                <w:color w:val="auto"/>
                <w:w w:val="98"/>
              </w:rPr>
              <w:t>Unsecured fixed rate</w:t>
            </w:r>
          </w:p>
        </w:tc>
        <w:tc>
          <w:tcPr>
            <w:tcW w:w="2380" w:type="dxa"/>
            <w:vAlign w:val="bottom"/>
            <w:tcBorders>
              <w:top w:val="single" w:sz="8" w:color="CCEEFF"/>
            </w:tcBorders>
            <w:gridSpan w:val="2"/>
          </w:tcPr>
          <w:p>
            <w:pPr>
              <w:spacing w:after="0"/>
              <w:rPr>
                <w:sz w:val="20"/>
                <w:szCs w:val="20"/>
                <w:color w:val="auto"/>
              </w:rPr>
            </w:pPr>
          </w:p>
        </w:tc>
        <w:tc>
          <w:tcPr>
            <w:tcW w:w="16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56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108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8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900" w:type="dxa"/>
            <w:vAlign w:val="bottom"/>
            <w:tcBorders>
              <w:top w:val="single" w:sz="8" w:color="CCEEFF"/>
            </w:tcBorders>
          </w:tcPr>
          <w:p>
            <w:pPr>
              <w:spacing w:after="0"/>
              <w:rPr>
                <w:sz w:val="20"/>
                <w:szCs w:val="20"/>
                <w:color w:val="auto"/>
              </w:rPr>
            </w:pPr>
          </w:p>
        </w:tc>
        <w:tc>
          <w:tcPr>
            <w:tcW w:w="44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2.55% notes</w:t>
            </w:r>
          </w:p>
        </w:tc>
        <w:tc>
          <w:tcPr>
            <w:tcW w:w="162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1/15/2021</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Arial" w:cs="Arial" w:eastAsia="Arial" w:hAnsi="Arial"/>
                <w:sz w:val="16"/>
                <w:szCs w:val="16"/>
                <w:color w:val="auto"/>
              </w:rPr>
              <w:t>3.00% notes</w:t>
            </w:r>
          </w:p>
        </w:tc>
        <w:tc>
          <w:tcPr>
            <w:tcW w:w="1620" w:type="dxa"/>
            <w:vAlign w:val="bottom"/>
          </w:tcPr>
          <w:p>
            <w:pPr>
              <w:jc w:val="center"/>
              <w:ind w:right="79"/>
              <w:spacing w:after="0"/>
              <w:rPr>
                <w:sz w:val="20"/>
                <w:szCs w:val="20"/>
                <w:color w:val="auto"/>
              </w:rPr>
            </w:pPr>
            <w:r>
              <w:rPr>
                <w:rFonts w:ascii="Arial" w:cs="Arial" w:eastAsia="Arial" w:hAnsi="Arial"/>
                <w:sz w:val="16"/>
                <w:szCs w:val="16"/>
                <w:color w:val="auto"/>
                <w:w w:val="93"/>
              </w:rPr>
              <w:t>8/1/2022</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2"/>
              </w:rPr>
              <w:t>3.00%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250,000</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2.75% notes</w:t>
            </w:r>
          </w:p>
        </w:tc>
        <w:tc>
          <w:tcPr>
            <w:tcW w:w="162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6/1/2023</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275,000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Arial" w:cs="Arial" w:eastAsia="Arial" w:hAnsi="Arial"/>
                <w:sz w:val="16"/>
                <w:szCs w:val="16"/>
                <w:color w:val="auto"/>
              </w:rPr>
              <w:t>3.95% notes</w:t>
            </w:r>
          </w:p>
        </w:tc>
        <w:tc>
          <w:tcPr>
            <w:tcW w:w="1620" w:type="dxa"/>
            <w:vAlign w:val="bottom"/>
          </w:tcPr>
          <w:p>
            <w:pPr>
              <w:jc w:val="center"/>
              <w:ind w:right="79"/>
              <w:spacing w:after="0"/>
              <w:rPr>
                <w:sz w:val="20"/>
                <w:szCs w:val="20"/>
                <w:color w:val="auto"/>
              </w:rPr>
            </w:pPr>
            <w:r>
              <w:rPr>
                <w:rFonts w:ascii="Arial" w:cs="Arial" w:eastAsia="Arial" w:hAnsi="Arial"/>
                <w:sz w:val="16"/>
                <w:szCs w:val="16"/>
                <w:color w:val="auto"/>
                <w:w w:val="92"/>
              </w:rPr>
              <w:t>1/15/2024</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2"/>
              </w:rPr>
              <w:t>3.95%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300,000</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7.48% debentures</w:t>
            </w:r>
          </w:p>
        </w:tc>
        <w:tc>
          <w:tcPr>
            <w:tcW w:w="162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8/15/2026</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29,200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Arial" w:cs="Arial" w:eastAsia="Arial" w:hAnsi="Arial"/>
                <w:sz w:val="16"/>
                <w:szCs w:val="16"/>
                <w:color w:val="auto"/>
              </w:rPr>
              <w:t>3.25% notes</w:t>
            </w:r>
          </w:p>
        </w:tc>
        <w:tc>
          <w:tcPr>
            <w:tcW w:w="1620" w:type="dxa"/>
            <w:vAlign w:val="bottom"/>
          </w:tcPr>
          <w:p>
            <w:pPr>
              <w:jc w:val="center"/>
              <w:ind w:right="79"/>
              <w:spacing w:after="0"/>
              <w:rPr>
                <w:sz w:val="20"/>
                <w:szCs w:val="20"/>
                <w:color w:val="auto"/>
              </w:rPr>
            </w:pPr>
            <w:r>
              <w:rPr>
                <w:rFonts w:ascii="Arial" w:cs="Arial" w:eastAsia="Arial" w:hAnsi="Arial"/>
                <w:sz w:val="16"/>
                <w:szCs w:val="16"/>
                <w:color w:val="auto"/>
                <w:w w:val="92"/>
              </w:rPr>
              <w:t>7/15/2027</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2"/>
              </w:rPr>
              <w:t>3.25%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475,000</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6.82% medium term notes</w:t>
            </w:r>
          </w:p>
        </w:tc>
        <w:tc>
          <w:tcPr>
            <w:tcW w:w="162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8/1/2027</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40,000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Arial" w:cs="Arial" w:eastAsia="Arial" w:hAnsi="Arial"/>
                <w:sz w:val="16"/>
                <w:szCs w:val="16"/>
                <w:color w:val="auto"/>
              </w:rPr>
              <w:t>3.20% notes</w:t>
            </w:r>
          </w:p>
        </w:tc>
        <w:tc>
          <w:tcPr>
            <w:tcW w:w="1620" w:type="dxa"/>
            <w:vAlign w:val="bottom"/>
          </w:tcPr>
          <w:p>
            <w:pPr>
              <w:jc w:val="center"/>
              <w:ind w:right="79"/>
              <w:spacing w:after="0"/>
              <w:rPr>
                <w:sz w:val="20"/>
                <w:szCs w:val="20"/>
                <w:color w:val="auto"/>
              </w:rPr>
            </w:pPr>
            <w:r>
              <w:rPr>
                <w:rFonts w:ascii="Arial" w:cs="Arial" w:eastAsia="Arial" w:hAnsi="Arial"/>
                <w:sz w:val="16"/>
                <w:szCs w:val="16"/>
                <w:color w:val="auto"/>
                <w:w w:val="92"/>
              </w:rPr>
              <w:t>6/15/2029</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2"/>
              </w:rPr>
              <w:t>3.20%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400,000</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4.50% notes</w:t>
            </w:r>
          </w:p>
        </w:tc>
        <w:tc>
          <w:tcPr>
            <w:tcW w:w="162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12/1/2044</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550,000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Arial" w:cs="Arial" w:eastAsia="Arial" w:hAnsi="Arial"/>
                <w:sz w:val="16"/>
                <w:szCs w:val="16"/>
                <w:color w:val="auto"/>
              </w:rPr>
              <w:t>3.625% notes</w:t>
            </w:r>
          </w:p>
        </w:tc>
        <w:tc>
          <w:tcPr>
            <w:tcW w:w="1620" w:type="dxa"/>
            <w:vAlign w:val="bottom"/>
          </w:tcPr>
          <w:p>
            <w:pPr>
              <w:jc w:val="center"/>
              <w:ind w:right="79"/>
              <w:spacing w:after="0"/>
              <w:rPr>
                <w:sz w:val="20"/>
                <w:szCs w:val="20"/>
                <w:color w:val="auto"/>
              </w:rPr>
            </w:pPr>
            <w:r>
              <w:rPr>
                <w:rFonts w:ascii="Arial" w:cs="Arial" w:eastAsia="Arial" w:hAnsi="Arial"/>
                <w:sz w:val="16"/>
                <w:szCs w:val="16"/>
                <w:color w:val="auto"/>
                <w:w w:val="93"/>
              </w:rPr>
              <w:t>8/1/2046</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2"/>
              </w:rPr>
              <w:t>3.63%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250,000</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4200" w:type="dxa"/>
            <w:vAlign w:val="bottom"/>
            <w:tcBorders>
              <w:bottom w:val="single" w:sz="8" w:color="CCEEFF"/>
            </w:tcBorders>
            <w:gridSpan w:val="5"/>
            <w:shd w:val="clear" w:color="auto" w:fill="CCEEFF"/>
          </w:tcPr>
          <w:p>
            <w:pPr>
              <w:ind w:left="700"/>
              <w:spacing w:after="0"/>
              <w:rPr>
                <w:sz w:val="20"/>
                <w:szCs w:val="20"/>
                <w:color w:val="auto"/>
              </w:rPr>
            </w:pPr>
            <w:r>
              <w:rPr>
                <w:rFonts w:ascii="Arial" w:cs="Arial" w:eastAsia="Arial" w:hAnsi="Arial"/>
                <w:sz w:val="16"/>
                <w:szCs w:val="16"/>
                <w:color w:val="auto"/>
              </w:rPr>
              <w:t>Subtotal</w:t>
            </w: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2,819,200</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5"/>
          </w:tcPr>
          <w:p>
            <w:pPr>
              <w:ind w:left="900"/>
              <w:spacing w:after="0"/>
              <w:rPr>
                <w:sz w:val="20"/>
                <w:szCs w:val="20"/>
                <w:color w:val="auto"/>
              </w:rPr>
            </w:pPr>
            <w:r>
              <w:rPr>
                <w:rFonts w:ascii="Arial" w:cs="Arial" w:eastAsia="Arial" w:hAnsi="Arial"/>
                <w:sz w:val="16"/>
                <w:szCs w:val="16"/>
                <w:color w:val="auto"/>
                <w:w w:val="91"/>
              </w:rPr>
              <w:t>Net unamortized discount and debt issuance costs</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(11,352)</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700"/>
              <w:spacing w:after="0"/>
              <w:rPr>
                <w:sz w:val="20"/>
                <w:szCs w:val="20"/>
                <w:color w:val="auto"/>
              </w:rPr>
            </w:pPr>
            <w:r>
              <w:rPr>
                <w:rFonts w:ascii="Arial" w:cs="Arial" w:eastAsia="Arial" w:hAnsi="Arial"/>
                <w:sz w:val="16"/>
                <w:szCs w:val="16"/>
                <w:color w:val="auto"/>
              </w:rPr>
              <w:t>Total senior notes and debentures, net</w:t>
            </w: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2,807,848</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3.67%</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2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Total debt, net</w:t>
            </w: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4,354,413</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w w:val="91"/>
              </w:rPr>
              <w:t>(6)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Total fixed rate debt, net</w:t>
            </w: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3,364,413</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3.73%</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5"/>
          </w:tcPr>
          <w:p>
            <w:pPr>
              <w:spacing w:after="0"/>
              <w:rPr>
                <w:sz w:val="20"/>
                <w:szCs w:val="20"/>
                <w:color w:val="auto"/>
              </w:rPr>
            </w:pPr>
            <w:r>
              <w:rPr>
                <w:rFonts w:ascii="Arial" w:cs="Arial" w:eastAsia="Arial" w:hAnsi="Arial"/>
                <w:sz w:val="16"/>
                <w:szCs w:val="16"/>
                <w:color w:val="auto"/>
              </w:rPr>
              <w:t>Total variable rate debt</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990,000</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900" w:type="dxa"/>
            <w:vAlign w:val="bottom"/>
          </w:tcPr>
          <w:p>
            <w:pPr>
              <w:jc w:val="right"/>
              <w:ind w:right="161"/>
              <w:spacing w:after="0"/>
              <w:rPr>
                <w:sz w:val="20"/>
                <w:szCs w:val="20"/>
                <w:color w:val="auto"/>
              </w:rPr>
            </w:pPr>
            <w:r>
              <w:rPr>
                <w:rFonts w:ascii="Arial" w:cs="Arial" w:eastAsia="Arial" w:hAnsi="Arial"/>
                <w:sz w:val="16"/>
                <w:szCs w:val="16"/>
                <w:color w:val="auto"/>
              </w:rPr>
              <w:t>1.77%</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w w:val="91"/>
              </w:rPr>
              <w:t>(8)</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Total debt, net</w:t>
            </w: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4,354,413</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3.28%</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91"/>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720" w:right="339" w:bottom="25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20"/>
          </w:cols>
          <w:pgMar w:left="340" w:top="720" w:right="339" w:bottom="250" w:gutter="0" w:footer="0" w:header="0"/>
          <w:type w:val="continuous"/>
        </w:sectPr>
      </w:pPr>
    </w:p>
    <w:bookmarkStart w:id="16" w:name="page17"/>
    <w:bookmarkEnd w:id="16"/>
    <w:p>
      <w:pPr>
        <w:jc w:val="center"/>
        <w:ind w:left="9320"/>
        <w:spacing w:after="0"/>
        <w:rPr>
          <w:sz w:val="20"/>
          <w:szCs w:val="20"/>
          <w:color w:val="auto"/>
        </w:rPr>
      </w:pPr>
      <w:r>
        <w:rPr>
          <w:rFonts w:ascii="Arial" w:cs="Arial" w:eastAsia="Arial" w:hAnsi="Arial"/>
          <w:sz w:val="14"/>
          <w:szCs w:val="14"/>
          <w:b w:val="1"/>
          <w:bCs w:val="1"/>
          <w:color w:val="auto"/>
        </w:rPr>
        <w:t>Three Months Ended</w:t>
      </w:r>
    </w:p>
    <w:p>
      <w:pPr>
        <w:spacing w:after="0" w:line="109" w:lineRule="exact"/>
        <w:rPr>
          <w:sz w:val="20"/>
          <w:szCs w:val="20"/>
          <w:color w:val="auto"/>
        </w:rPr>
      </w:pPr>
    </w:p>
    <w:p>
      <w:pPr>
        <w:jc w:val="center"/>
        <w:ind w:left="93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23495</wp:posOffset>
            </wp:positionV>
            <wp:extent cx="12084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920" w:type="dxa"/>
            <w:vAlign w:val="bottom"/>
          </w:tcPr>
          <w:p>
            <w:pPr>
              <w:spacing w:after="0"/>
              <w:rPr>
                <w:sz w:val="16"/>
                <w:szCs w:val="16"/>
                <w:color w:val="auto"/>
              </w:rPr>
            </w:pPr>
          </w:p>
        </w:tc>
        <w:tc>
          <w:tcPr>
            <w:tcW w:w="90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90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2019</w:t>
            </w:r>
          </w:p>
        </w:tc>
      </w:tr>
      <w:tr>
        <w:trPr>
          <w:trHeight w:val="203"/>
        </w:trPr>
        <w:tc>
          <w:tcPr>
            <w:tcW w:w="40" w:type="dxa"/>
            <w:vAlign w:val="bottom"/>
          </w:tcPr>
          <w:p>
            <w:pPr>
              <w:spacing w:after="0"/>
              <w:rPr>
                <w:sz w:val="17"/>
                <w:szCs w:val="17"/>
                <w:color w:val="auto"/>
              </w:rPr>
            </w:pPr>
          </w:p>
        </w:tc>
        <w:tc>
          <w:tcPr>
            <w:tcW w:w="9300" w:type="dxa"/>
            <w:vAlign w:val="bottom"/>
            <w:gridSpan w:val="2"/>
          </w:tcPr>
          <w:p>
            <w:pPr>
              <w:spacing w:after="0"/>
              <w:rPr>
                <w:sz w:val="20"/>
                <w:szCs w:val="20"/>
                <w:color w:val="auto"/>
              </w:rPr>
            </w:pPr>
            <w:r>
              <w:rPr>
                <w:rFonts w:ascii="Arial" w:cs="Arial" w:eastAsia="Arial" w:hAnsi="Arial"/>
                <w:sz w:val="16"/>
                <w:szCs w:val="16"/>
                <w:color w:val="auto"/>
              </w:rPr>
              <w:t>Operational Statistics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79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37"/>
        </w:trPr>
        <w:tc>
          <w:tcPr>
            <w:tcW w:w="40" w:type="dxa"/>
            <w:vAlign w:val="bottom"/>
            <w:shd w:val="clear" w:color="auto" w:fill="CCEEFF"/>
          </w:tcPr>
          <w:p>
            <w:pPr>
              <w:spacing w:after="0"/>
              <w:rPr>
                <w:sz w:val="20"/>
                <w:szCs w:val="20"/>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Ratio of EBITDAre to combined fixed charges and preferred share dividends (9)</w:t>
            </w: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3.95x</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4.17x</w:t>
            </w:r>
          </w:p>
        </w:tc>
      </w:tr>
      <w:tr>
        <w:trPr>
          <w:trHeight w:val="33"/>
        </w:trPr>
        <w:tc>
          <w:tcPr>
            <w:tcW w:w="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79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55" w:lineRule="exact"/>
        <w:rPr>
          <w:sz w:val="20"/>
          <w:szCs w:val="20"/>
          <w:color w:val="auto"/>
        </w:rPr>
      </w:pPr>
    </w:p>
    <w:p>
      <w:pPr>
        <w:ind w:left="660" w:right="60" w:hanging="652"/>
        <w:spacing w:after="0" w:line="273"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Mortgages payable does not include our share of the debt on our unconsolidated real estate partnerships. At March 31, 2020, our share was approximately $53.8 million. At March 31, 2020, our noncontrolling interests share of mortgages payable was $59.8 million.</w:t>
      </w:r>
    </w:p>
    <w:p>
      <w:pPr>
        <w:spacing w:after="0" w:line="11" w:lineRule="exact"/>
        <w:rPr>
          <w:rFonts w:ascii="Arial" w:cs="Arial" w:eastAsia="Arial" w:hAnsi="Arial"/>
          <w:sz w:val="14"/>
          <w:szCs w:val="14"/>
          <w:color w:val="auto"/>
        </w:rPr>
      </w:pP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have two interest rate swap agreements that fix the interest rate on the mortgage loan at 3.67%.</w:t>
      </w:r>
    </w:p>
    <w:p>
      <w:pPr>
        <w:spacing w:after="0" w:line="55" w:lineRule="exact"/>
        <w:rPr>
          <w:rFonts w:ascii="Arial" w:cs="Arial" w:eastAsia="Arial" w:hAnsi="Arial"/>
          <w:sz w:val="14"/>
          <w:szCs w:val="14"/>
          <w:color w:val="auto"/>
        </w:rPr>
      </w:pP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interest rates on these mortgages range from 3.91% to 5.00%.</w:t>
      </w:r>
    </w:p>
    <w:p>
      <w:pPr>
        <w:spacing w:after="0" w:line="55" w:lineRule="exact"/>
        <w:rPr>
          <w:rFonts w:ascii="Arial" w:cs="Arial" w:eastAsia="Arial" w:hAnsi="Arial"/>
          <w:sz w:val="14"/>
          <w:szCs w:val="14"/>
          <w:color w:val="auto"/>
        </w:rPr>
      </w:pPr>
    </w:p>
    <w:p>
      <w:pPr>
        <w:ind w:left="660" w:hanging="652"/>
        <w:spacing w:after="0" w:line="273"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mortgage loan has a fixed interest rate; however, the rate resets every five years until maturity. The current rate is fixed until July 1, 2022, and the loan is prepayable at par anytime after this date.</w:t>
      </w:r>
    </w:p>
    <w:p>
      <w:pPr>
        <w:spacing w:after="0" w:line="11" w:lineRule="exact"/>
        <w:rPr>
          <w:rFonts w:ascii="Arial" w:cs="Arial" w:eastAsia="Arial" w:hAnsi="Arial"/>
          <w:sz w:val="14"/>
          <w:szCs w:val="14"/>
          <w:color w:val="auto"/>
        </w:rPr>
      </w:pPr>
    </w:p>
    <w:p>
      <w:pPr>
        <w:ind w:left="660" w:hanging="652"/>
        <w:spacing w:after="0" w:line="252"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 March 2020, in order to strengthen our financial position and balance sheet, maximize liquidity, and provide maximum flexibility to continue our business initiatives as the effects of the COVID-19 pandemic continue to evolve, we borrowed $990.0 million under our revolving credit facility, representing a draw-down of almost the entirety of our $1.0 billion credit facility. The maximum amount drawn under our revolving credit facility during the three months ended March 31, 2020 was $990.0 million. The weighted average interest rate on borrowings under our revolving credit facility, before amortization of debt fees, for the three months ended March 31, 2020 was 1.7%.</w:t>
      </w:r>
    </w:p>
    <w:p>
      <w:pPr>
        <w:spacing w:after="0" w:line="25" w:lineRule="exact"/>
        <w:rPr>
          <w:rFonts w:ascii="Arial" w:cs="Arial" w:eastAsia="Arial" w:hAnsi="Arial"/>
          <w:sz w:val="14"/>
          <w:szCs w:val="14"/>
          <w:color w:val="auto"/>
        </w:rPr>
      </w:pP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Excluding the borrowings on our revolving credit facility as further described in Note 5, the weighted average remaining term on our debt is 10 years.</w:t>
      </w:r>
    </w:p>
    <w:p>
      <w:pPr>
        <w:spacing w:after="0" w:line="55" w:lineRule="exact"/>
        <w:rPr>
          <w:rFonts w:ascii="Arial" w:cs="Arial" w:eastAsia="Arial" w:hAnsi="Arial"/>
          <w:sz w:val="14"/>
          <w:szCs w:val="14"/>
          <w:color w:val="auto"/>
        </w:rPr>
      </w:pPr>
    </w:p>
    <w:p>
      <w:pPr>
        <w:ind w:left="660" w:hanging="652"/>
        <w:spacing w:after="0"/>
        <w:tabs>
          <w:tab w:leader="none" w:pos="6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weighted average effective interest rate includes the amortization of any debt issuance costs and discounts and premiums, if applicable, except as described in Note 8.</w:t>
      </w:r>
    </w:p>
    <w:p>
      <w:pPr>
        <w:spacing w:after="0" w:line="66" w:lineRule="exact"/>
        <w:rPr>
          <w:rFonts w:ascii="Arial" w:cs="Arial" w:eastAsia="Arial" w:hAnsi="Arial"/>
          <w:sz w:val="13"/>
          <w:szCs w:val="13"/>
          <w:color w:val="auto"/>
        </w:rPr>
      </w:pP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weighted average effective interest rate excludes $0.6 million in quarterly financing fees and quarterly debt fee amortization on our revolving credit facility.</w:t>
      </w:r>
    </w:p>
    <w:p>
      <w:pPr>
        <w:spacing w:after="0" w:line="55" w:lineRule="exact"/>
        <w:rPr>
          <w:rFonts w:ascii="Arial" w:cs="Arial" w:eastAsia="Arial" w:hAnsi="Arial"/>
          <w:sz w:val="14"/>
          <w:szCs w:val="14"/>
          <w:color w:val="auto"/>
        </w:rPr>
      </w:pPr>
    </w:p>
    <w:p>
      <w:pPr>
        <w:ind w:left="660" w:right="200" w:hanging="652"/>
        <w:spacing w:after="0" w:line="273"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Fixed charges consist of interest on borrowed funds and finance leases (including capitalized interest), amortization of debt discount/premium and debt costs, and the portion of rent expense representing an interest factor. EBITDAre is reconciled to net income in the Glossary of Terms.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778" w:right="339" w:bottom="1440" w:gutter="0" w:footer="0" w:header="0"/>
        </w:sectPr>
      </w:pPr>
    </w:p>
    <w:bookmarkStart w:id="17" w:name="page18"/>
    <w:bookmarkEnd w:id="17"/>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Debt Maturities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2020</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2"/>
              </w:rPr>
              <w:t>Cumulative</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2"/>
          </w:tcPr>
          <w:p>
            <w:pPr>
              <w:jc w:val="center"/>
              <w:ind w:right="700"/>
              <w:spacing w:after="0"/>
              <w:rPr>
                <w:sz w:val="20"/>
                <w:szCs w:val="20"/>
                <w:color w:val="auto"/>
              </w:rPr>
            </w:pPr>
            <w:r>
              <w:rPr>
                <w:rFonts w:ascii="Arial" w:cs="Arial" w:eastAsia="Arial" w:hAnsi="Arial"/>
                <w:sz w:val="16"/>
                <w:szCs w:val="16"/>
                <w:b w:val="1"/>
                <w:bCs w:val="1"/>
                <w:color w:val="auto"/>
                <w:w w:val="88"/>
              </w:rPr>
              <w:t>Scheduled</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jc w:val="right"/>
              <w:ind w:right="11"/>
              <w:spacing w:after="0"/>
              <w:rPr>
                <w:sz w:val="20"/>
                <w:szCs w:val="20"/>
                <w:color w:val="auto"/>
              </w:rPr>
            </w:pPr>
            <w:r>
              <w:rPr>
                <w:rFonts w:ascii="Arial" w:cs="Arial" w:eastAsia="Arial" w:hAnsi="Arial"/>
                <w:sz w:val="16"/>
                <w:szCs w:val="16"/>
                <w:b w:val="1"/>
                <w:bCs w:val="1"/>
                <w:color w:val="auto"/>
                <w:w w:val="98"/>
              </w:rPr>
              <w:t>Percent of Debt</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1"/>
              </w:rPr>
              <w:t>Percent of Debt</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1"/>
              </w:rPr>
              <w:t>Average Rate</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w:t>
            </w:r>
          </w:p>
        </w:tc>
        <w:tc>
          <w:tcPr>
            <w:tcW w:w="160" w:type="dxa"/>
            <w:vAlign w:val="bottom"/>
          </w:tcPr>
          <w:p>
            <w:pPr>
              <w:spacing w:after="0"/>
              <w:rPr>
                <w:sz w:val="18"/>
                <w:szCs w:val="18"/>
                <w:color w:val="auto"/>
              </w:rPr>
            </w:pPr>
          </w:p>
        </w:tc>
        <w:tc>
          <w:tcPr>
            <w:tcW w:w="1700" w:type="dxa"/>
            <w:vAlign w:val="bottom"/>
            <w:gridSpan w:val="2"/>
          </w:tcPr>
          <w:p>
            <w:pPr>
              <w:jc w:val="center"/>
              <w:ind w:right="700"/>
              <w:spacing w:after="0"/>
              <w:rPr>
                <w:sz w:val="20"/>
                <w:szCs w:val="20"/>
                <w:color w:val="auto"/>
              </w:rPr>
            </w:pPr>
            <w:r>
              <w:rPr>
                <w:rFonts w:ascii="Arial" w:cs="Arial" w:eastAsia="Arial" w:hAnsi="Arial"/>
                <w:sz w:val="16"/>
                <w:szCs w:val="16"/>
                <w:b w:val="1"/>
                <w:bCs w:val="1"/>
                <w:color w:val="auto"/>
                <w:w w:val="94"/>
              </w:rPr>
              <w:t>Amortization</w:t>
            </w:r>
          </w:p>
        </w:tc>
        <w:tc>
          <w:tcPr>
            <w:tcW w:w="180" w:type="dxa"/>
            <w:vAlign w:val="bottom"/>
          </w:tcPr>
          <w:p>
            <w:pPr>
              <w:spacing w:after="0"/>
              <w:rPr>
                <w:sz w:val="18"/>
                <w:szCs w:val="18"/>
                <w:color w:val="auto"/>
              </w:rPr>
            </w:pPr>
          </w:p>
        </w:tc>
        <w:tc>
          <w:tcPr>
            <w:tcW w:w="1700" w:type="dxa"/>
            <w:vAlign w:val="bottom"/>
            <w:gridSpan w:val="2"/>
          </w:tcPr>
          <w:p>
            <w:pPr>
              <w:jc w:val="center"/>
              <w:ind w:right="740"/>
              <w:spacing w:after="0"/>
              <w:rPr>
                <w:sz w:val="20"/>
                <w:szCs w:val="20"/>
                <w:color w:val="auto"/>
              </w:rPr>
            </w:pPr>
            <w:r>
              <w:rPr>
                <w:rFonts w:ascii="Arial" w:cs="Arial" w:eastAsia="Arial" w:hAnsi="Arial"/>
                <w:sz w:val="16"/>
                <w:szCs w:val="16"/>
                <w:b w:val="1"/>
                <w:bCs w:val="1"/>
                <w:color w:val="auto"/>
                <w:w w:val="95"/>
              </w:rPr>
              <w:t>Maturities</w:t>
            </w:r>
          </w:p>
        </w:tc>
        <w:tc>
          <w:tcPr>
            <w:tcW w:w="30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6"/>
                <w:szCs w:val="16"/>
                <w:b w:val="1"/>
                <w:bCs w:val="1"/>
                <w:color w:val="auto"/>
              </w:rPr>
              <w:t>Total</w:t>
            </w:r>
          </w:p>
        </w:tc>
        <w:tc>
          <w:tcPr>
            <w:tcW w:w="1280" w:type="dxa"/>
            <w:vAlign w:val="bottom"/>
          </w:tcPr>
          <w:p>
            <w:pPr>
              <w:jc w:val="right"/>
              <w:ind w:right="211"/>
              <w:spacing w:after="0"/>
              <w:rPr>
                <w:sz w:val="20"/>
                <w:szCs w:val="20"/>
                <w:color w:val="auto"/>
              </w:rPr>
            </w:pPr>
            <w:r>
              <w:rPr>
                <w:rFonts w:ascii="Arial" w:cs="Arial" w:eastAsia="Arial" w:hAnsi="Arial"/>
                <w:sz w:val="16"/>
                <w:szCs w:val="16"/>
                <w:b w:val="1"/>
                <w:bCs w:val="1"/>
                <w:color w:val="auto"/>
              </w:rPr>
              <w:t>Maturing</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7"/>
              </w:rPr>
              <w:t>Maturing</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1"/>
              </w:rPr>
              <w:t>(2)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2020</w:t>
            </w: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4,952</w:t>
            </w:r>
          </w:p>
        </w:tc>
        <w:tc>
          <w:tcPr>
            <w:tcW w:w="5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60,593</w:t>
            </w:r>
          </w:p>
        </w:tc>
        <w:tc>
          <w:tcPr>
            <w:tcW w:w="5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65,545</w:t>
            </w: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2021</w:t>
            </w:r>
          </w:p>
        </w:tc>
        <w:tc>
          <w:tcPr>
            <w:tcW w:w="9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4,890</w:t>
            </w: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277,546</w:t>
            </w: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282,436</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8.0%</w:t>
            </w: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2022</w:t>
            </w: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4,139</w:t>
            </w:r>
          </w:p>
        </w:tc>
        <w:tc>
          <w:tcPr>
            <w:tcW w:w="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366,323</w:t>
            </w:r>
          </w:p>
        </w:tc>
        <w:tc>
          <w:tcPr>
            <w:tcW w:w="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370,462</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2023</w:t>
            </w:r>
          </w:p>
        </w:tc>
        <w:tc>
          <w:tcPr>
            <w:tcW w:w="9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4,324</w:t>
            </w: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275,000</w:t>
            </w: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279,324</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22.9%</w:t>
            </w: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2024</w:t>
            </w: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4,353</w:t>
            </w:r>
          </w:p>
        </w:tc>
        <w:tc>
          <w:tcPr>
            <w:tcW w:w="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1,290,000</w:t>
            </w:r>
          </w:p>
        </w:tc>
        <w:tc>
          <w:tcPr>
            <w:tcW w:w="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1,294,353</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52.5%</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2025</w:t>
            </w:r>
          </w:p>
        </w:tc>
        <w:tc>
          <w:tcPr>
            <w:tcW w:w="9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3,996</w:t>
            </w: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44,298</w:t>
            </w: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48,294</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53.6%</w:t>
            </w:r>
          </w:p>
        </w:tc>
        <w:tc>
          <w:tcPr>
            <w:tcW w:w="1180" w:type="dxa"/>
            <w:vAlign w:val="bottom"/>
          </w:tcPr>
          <w:p>
            <w:pPr>
              <w:jc w:val="right"/>
              <w:spacing w:after="0"/>
              <w:rPr>
                <w:sz w:val="20"/>
                <w:szCs w:val="20"/>
                <w:color w:val="auto"/>
              </w:rPr>
            </w:pPr>
            <w:r>
              <w:rPr>
                <w:rFonts w:ascii="Arial" w:cs="Arial" w:eastAsia="Arial" w:hAnsi="Arial"/>
                <w:sz w:val="18"/>
                <w:szCs w:val="18"/>
                <w:color w:val="auto"/>
              </w:rPr>
              <w:t>3.9%</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2026</w:t>
            </w: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3,456</w:t>
            </w:r>
          </w:p>
        </w:tc>
        <w:tc>
          <w:tcPr>
            <w:tcW w:w="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52,450</w:t>
            </w:r>
          </w:p>
        </w:tc>
        <w:tc>
          <w:tcPr>
            <w:tcW w:w="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55,906</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54.9%</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2027</w:t>
            </w:r>
          </w:p>
        </w:tc>
        <w:tc>
          <w:tcPr>
            <w:tcW w:w="9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3,061</w:t>
            </w: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690,570</w:t>
            </w: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693,631</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15.9%</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70.8%</w:t>
            </w:r>
          </w:p>
        </w:tc>
        <w:tc>
          <w:tcPr>
            <w:tcW w:w="1180" w:type="dxa"/>
            <w:vAlign w:val="bottom"/>
          </w:tcPr>
          <w:p>
            <w:pPr>
              <w:jc w:val="right"/>
              <w:spacing w:after="0"/>
              <w:rPr>
                <w:sz w:val="20"/>
                <w:szCs w:val="20"/>
                <w:color w:val="auto"/>
              </w:rPr>
            </w:pPr>
            <w:r>
              <w:rPr>
                <w:rFonts w:ascii="Arial" w:cs="Arial" w:eastAsia="Arial" w:hAnsi="Arial"/>
                <w:sz w:val="18"/>
                <w:szCs w:val="18"/>
                <w:color w:val="auto"/>
              </w:rPr>
              <w:t>3.8%</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2028</w:t>
            </w: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2,934</w:t>
            </w:r>
          </w:p>
        </w:tc>
        <w:tc>
          <w:tcPr>
            <w:tcW w:w="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2,934</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70.9%</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2029</w:t>
            </w:r>
          </w:p>
        </w:tc>
        <w:tc>
          <w:tcPr>
            <w:tcW w:w="9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2,770</w:t>
            </w: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458,099</w:t>
            </w: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460,869</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10.5%</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81.4%</w:t>
            </w:r>
          </w:p>
        </w:tc>
        <w:tc>
          <w:tcPr>
            <w:tcW w:w="1180" w:type="dxa"/>
            <w:vAlign w:val="bottom"/>
          </w:tcPr>
          <w:p>
            <w:pPr>
              <w:jc w:val="right"/>
              <w:spacing w:after="0"/>
              <w:rPr>
                <w:sz w:val="20"/>
                <w:szCs w:val="20"/>
                <w:color w:val="auto"/>
              </w:rPr>
            </w:pPr>
            <w:r>
              <w:rPr>
                <w:rFonts w:ascii="Arial" w:cs="Arial" w:eastAsia="Arial" w:hAnsi="Arial"/>
                <w:sz w:val="18"/>
                <w:szCs w:val="18"/>
                <w:color w:val="auto"/>
              </w:rPr>
              <w:t>3.3%</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8,012</w:t>
            </w:r>
          </w:p>
        </w:tc>
        <w:tc>
          <w:tcPr>
            <w:tcW w:w="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805,899</w:t>
            </w:r>
          </w:p>
        </w:tc>
        <w:tc>
          <w:tcPr>
            <w:tcW w:w="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813,911</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100.0%</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2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46,887</w:t>
            </w:r>
          </w:p>
        </w:tc>
        <w:tc>
          <w:tcPr>
            <w:tcW w:w="5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4,320,778</w:t>
            </w:r>
          </w:p>
        </w:tc>
        <w:tc>
          <w:tcPr>
            <w:tcW w:w="54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40"/>
              <w:spacing w:after="0" w:line="263" w:lineRule="exact"/>
              <w:rPr>
                <w:sz w:val="20"/>
                <w:szCs w:val="20"/>
                <w:color w:val="auto"/>
              </w:rPr>
            </w:pPr>
            <w:r>
              <w:rPr>
                <w:rFonts w:ascii="Arial" w:cs="Arial" w:eastAsia="Arial" w:hAnsi="Arial"/>
                <w:sz w:val="18"/>
                <w:szCs w:val="18"/>
                <w:color w:val="auto"/>
              </w:rPr>
              <w:t xml:space="preserve">4,367,665  </w:t>
            </w:r>
            <w:r>
              <w:rPr>
                <w:rFonts w:ascii="Arial" w:cs="Arial" w:eastAsia="Arial" w:hAnsi="Arial"/>
                <w:sz w:val="28"/>
                <w:szCs w:val="28"/>
                <w:color w:val="auto"/>
                <w:vertAlign w:val="subscript"/>
              </w:rPr>
              <w:t>(1)</w:t>
            </w:r>
          </w:p>
        </w:tc>
        <w:tc>
          <w:tcPr>
            <w:tcW w:w="1280" w:type="dxa"/>
            <w:vAlign w:val="bottom"/>
          </w:tcPr>
          <w:p>
            <w:pPr>
              <w:jc w:val="right"/>
              <w:spacing w:after="0"/>
              <w:rPr>
                <w:sz w:val="20"/>
                <w:szCs w:val="20"/>
                <w:color w:val="auto"/>
              </w:rPr>
            </w:pPr>
            <w:r>
              <w:rPr>
                <w:rFonts w:ascii="Arial" w:cs="Arial" w:eastAsia="Arial" w:hAnsi="Arial"/>
                <w:sz w:val="18"/>
                <w:szCs w:val="18"/>
                <w:color w:val="auto"/>
              </w:rPr>
              <w:t>100.0%</w:t>
            </w:r>
          </w:p>
        </w:tc>
        <w:tc>
          <w:tcPr>
            <w:tcW w:w="15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line="183" w:lineRule="exact"/>
              <w:rPr>
                <w:sz w:val="20"/>
                <w:szCs w:val="20"/>
                <w:color w:val="auto"/>
              </w:rPr>
            </w:pPr>
            <w:r>
              <w:rPr>
                <w:rFonts w:ascii="Arial" w:cs="Arial" w:eastAsia="Arial" w:hAnsi="Arial"/>
                <w:sz w:val="16"/>
                <w:szCs w:val="16"/>
                <w:color w:val="auto"/>
                <w:w w:val="90"/>
              </w:rPr>
              <w:t>Notes:</w:t>
            </w:r>
          </w:p>
        </w:tc>
        <w:tc>
          <w:tcPr>
            <w:tcW w:w="980" w:type="dxa"/>
            <w:vAlign w:val="bottom"/>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40" w:type="dxa"/>
            <w:vAlign w:val="bottom"/>
            <w:tcBorders>
              <w:bottom w:val="single" w:sz="8" w:color="auto"/>
            </w:tcBorders>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60" w:right="140" w:hanging="652"/>
        <w:spacing w:after="0" w:line="275"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total debt maturities differ from the total reported on the consolidated balance sheet due to the unamortized net premium/discount and debt issuance costs on certain mortgage loans, notes payable, and senior notes as of March 31, 2020.</w:t>
      </w:r>
    </w:p>
    <w:p>
      <w:pPr>
        <w:spacing w:after="0" w:line="10" w:lineRule="exact"/>
        <w:rPr>
          <w:rFonts w:ascii="Arial" w:cs="Arial" w:eastAsia="Arial" w:hAnsi="Arial"/>
          <w:sz w:val="16"/>
          <w:szCs w:val="16"/>
          <w:color w:val="auto"/>
        </w:rPr>
      </w:pPr>
    </w:p>
    <w:p>
      <w:pPr>
        <w:ind w:left="660" w:hanging="652"/>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weighted average rate reflects the weighted average interest rate on debt maturing in the respective year.</w:t>
      </w:r>
    </w:p>
    <w:p>
      <w:pPr>
        <w:spacing w:after="0" w:line="59" w:lineRule="exact"/>
        <w:rPr>
          <w:rFonts w:ascii="Arial" w:cs="Arial" w:eastAsia="Arial" w:hAnsi="Arial"/>
          <w:sz w:val="16"/>
          <w:szCs w:val="16"/>
          <w:color w:val="auto"/>
        </w:rPr>
      </w:pPr>
    </w:p>
    <w:p>
      <w:pPr>
        <w:ind w:left="660" w:right="120" w:hanging="652"/>
        <w:spacing w:after="0" w:line="310" w:lineRule="auto"/>
        <w:tabs>
          <w:tab w:leader="none" w:pos="6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weighted average rate excludes $0.6 million in quarterly financing fees and quarterly debt fee amortization on our revolving credit facility, which had $990.0 million outstanding at March 31, 2020. Our revolving credit facility matures on January 19, 2024, plus two six month extensions at our option.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715" w:right="339" w:bottom="1440" w:gutter="0" w:footer="0" w:header="0"/>
        </w:sectPr>
      </w:pPr>
    </w:p>
    <w:bookmarkStart w:id="18" w:name="page19"/>
    <w:bookmarkEnd w:id="18"/>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Summary of Redevelopment Opportunities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March 31, 2020</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The following redevelopment opportunities have received or will shortly receive all necessary approvals to proceed and are actively being worked on by the Trust.</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w:t>
      </w:r>
    </w:p>
    <w:p>
      <w:pPr>
        <w:spacing w:after="0" w:line="29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Impacts of COVID-19 Pandemic:</w:t>
      </w:r>
    </w:p>
    <w:p>
      <w:pPr>
        <w:spacing w:after="0" w:line="77" w:lineRule="exact"/>
        <w:rPr>
          <w:sz w:val="20"/>
          <w:szCs w:val="20"/>
          <w:color w:val="auto"/>
        </w:rPr>
      </w:pPr>
    </w:p>
    <w:p>
      <w:pPr>
        <w:ind w:left="40" w:right="140"/>
        <w:spacing w:after="0" w:line="278" w:lineRule="auto"/>
        <w:rPr>
          <w:sz w:val="20"/>
          <w:szCs w:val="20"/>
          <w:color w:val="auto"/>
        </w:rPr>
      </w:pPr>
      <w:r>
        <w:rPr>
          <w:rFonts w:ascii="Arial" w:cs="Arial" w:eastAsia="Arial" w:hAnsi="Arial"/>
          <w:sz w:val="16"/>
          <w:szCs w:val="16"/>
          <w:color w:val="auto"/>
        </w:rPr>
        <w:t>Information provided below reflects management’s best estimate based on current available information, however the completion of construction, final costs, return on investment, and timing of stabilization will be dependent upon the duration of governmental restrictions and the duration and severity of the economic impacts of COVID-19 which are highly uncertain at this time.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8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Projected</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Cost to</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Anticipated</w:t>
            </w:r>
          </w:p>
        </w:tc>
        <w:tc>
          <w:tcPr>
            <w:tcW w:w="0" w:type="dxa"/>
            <w:vAlign w:val="bottom"/>
          </w:tcPr>
          <w:p>
            <w:pPr>
              <w:spacing w:after="0"/>
              <w:rPr>
                <w:sz w:val="1"/>
                <w:szCs w:val="1"/>
                <w:color w:val="auto"/>
              </w:rPr>
            </w:pPr>
          </w:p>
        </w:tc>
      </w:tr>
      <w:tr>
        <w:trPr>
          <w:trHeight w:val="148"/>
        </w:trPr>
        <w:tc>
          <w:tcPr>
            <w:tcW w:w="146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Property</w:t>
            </w:r>
          </w:p>
        </w:tc>
        <w:tc>
          <w:tcPr>
            <w:tcW w:w="148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Location</w:t>
            </w:r>
          </w:p>
        </w:tc>
        <w:tc>
          <w:tcPr>
            <w:tcW w:w="4840" w:type="dxa"/>
            <w:vAlign w:val="bottom"/>
            <w:vMerge w:val="restart"/>
          </w:tcPr>
          <w:p>
            <w:pPr>
              <w:ind w:left="2080"/>
              <w:spacing w:after="0"/>
              <w:rPr>
                <w:sz w:val="20"/>
                <w:szCs w:val="20"/>
                <w:color w:val="auto"/>
              </w:rPr>
            </w:pPr>
            <w:r>
              <w:rPr>
                <w:rFonts w:ascii="Arial" w:cs="Arial" w:eastAsia="Arial" w:hAnsi="Arial"/>
                <w:sz w:val="14"/>
                <w:szCs w:val="14"/>
                <w:b w:val="1"/>
                <w:bCs w:val="1"/>
                <w:color w:val="auto"/>
              </w:rPr>
              <w:t>Opportunity</w:t>
            </w:r>
          </w:p>
        </w:tc>
        <w:tc>
          <w:tcPr>
            <w:tcW w:w="84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Stabilization</w:t>
            </w:r>
          </w:p>
        </w:tc>
        <w:tc>
          <w:tcPr>
            <w:tcW w:w="0" w:type="dxa"/>
            <w:vAlign w:val="bottom"/>
          </w:tcPr>
          <w:p>
            <w:pPr>
              <w:spacing w:after="0"/>
              <w:rPr>
                <w:sz w:val="1"/>
                <w:szCs w:val="1"/>
                <w:color w:val="auto"/>
              </w:rPr>
            </w:pPr>
          </w:p>
        </w:tc>
      </w:tr>
      <w:tr>
        <w:trPr>
          <w:trHeight w:val="192"/>
        </w:trPr>
        <w:tc>
          <w:tcPr>
            <w:tcW w:w="146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484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ROI (2)</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Cost (1)</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(3)</w:t>
            </w:r>
          </w:p>
        </w:tc>
        <w:tc>
          <w:tcPr>
            <w:tcW w:w="0" w:type="dxa"/>
            <w:vAlign w:val="bottom"/>
          </w:tcPr>
          <w:p>
            <w:pPr>
              <w:spacing w:after="0"/>
              <w:rPr>
                <w:sz w:val="1"/>
                <w:szCs w:val="1"/>
                <w:color w:val="auto"/>
              </w:rPr>
            </w:pPr>
          </w:p>
        </w:tc>
      </w:tr>
      <w:tr>
        <w:trPr>
          <w:trHeight w:val="257"/>
        </w:trPr>
        <w:tc>
          <w:tcPr>
            <w:tcW w:w="14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8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76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1460" w:type="dxa"/>
            <w:vAlign w:val="bottom"/>
          </w:tcPr>
          <w:p>
            <w:pPr>
              <w:ind w:left="40"/>
              <w:spacing w:after="0"/>
              <w:rPr>
                <w:sz w:val="20"/>
                <w:szCs w:val="20"/>
                <w:color w:val="auto"/>
              </w:rPr>
            </w:pPr>
            <w:r>
              <w:rPr>
                <w:rFonts w:ascii="Arial" w:cs="Arial" w:eastAsia="Arial" w:hAnsi="Arial"/>
                <w:sz w:val="14"/>
                <w:szCs w:val="14"/>
                <w:color w:val="auto"/>
              </w:rPr>
              <w:t>Darien</w:t>
            </w:r>
          </w:p>
        </w:tc>
        <w:tc>
          <w:tcPr>
            <w:tcW w:w="1480" w:type="dxa"/>
            <w:vAlign w:val="bottom"/>
          </w:tcPr>
          <w:p>
            <w:pPr>
              <w:ind w:left="160"/>
              <w:spacing w:after="0"/>
              <w:rPr>
                <w:sz w:val="20"/>
                <w:szCs w:val="20"/>
                <w:color w:val="auto"/>
              </w:rPr>
            </w:pPr>
            <w:r>
              <w:rPr>
                <w:rFonts w:ascii="Arial" w:cs="Arial" w:eastAsia="Arial" w:hAnsi="Arial"/>
                <w:sz w:val="14"/>
                <w:szCs w:val="14"/>
                <w:color w:val="auto"/>
              </w:rPr>
              <w:t>Darien, CT</w:t>
            </w:r>
          </w:p>
        </w:tc>
        <w:tc>
          <w:tcPr>
            <w:tcW w:w="4840" w:type="dxa"/>
            <w:vAlign w:val="bottom"/>
          </w:tcPr>
          <w:p>
            <w:pPr>
              <w:ind w:left="140"/>
              <w:spacing w:after="0"/>
              <w:rPr>
                <w:sz w:val="20"/>
                <w:szCs w:val="20"/>
                <w:color w:val="auto"/>
              </w:rPr>
            </w:pPr>
            <w:r>
              <w:rPr>
                <w:rFonts w:ascii="Arial" w:cs="Arial" w:eastAsia="Arial" w:hAnsi="Arial"/>
                <w:sz w:val="14"/>
                <w:szCs w:val="14"/>
                <w:color w:val="auto"/>
                <w:w w:val="93"/>
              </w:rPr>
              <w:t>Demolition of a 45,000 square foot anchor space to construct 75,000 square feet</w:t>
            </w:r>
          </w:p>
        </w:tc>
        <w:tc>
          <w:tcPr>
            <w:tcW w:w="840" w:type="dxa"/>
            <w:vAlign w:val="bottom"/>
          </w:tcPr>
          <w:p>
            <w:pPr>
              <w:jc w:val="right"/>
              <w:spacing w:after="0"/>
              <w:rPr>
                <w:sz w:val="20"/>
                <w:szCs w:val="20"/>
                <w:color w:val="auto"/>
              </w:rPr>
            </w:pPr>
            <w:r>
              <w:rPr>
                <w:rFonts w:ascii="Arial" w:cs="Arial" w:eastAsia="Arial" w:hAnsi="Arial"/>
                <w:sz w:val="14"/>
                <w:szCs w:val="14"/>
                <w:color w:val="auto"/>
              </w:rPr>
              <w:t>6%</w:t>
            </w:r>
          </w:p>
        </w:tc>
        <w:tc>
          <w:tcPr>
            <w:tcW w:w="860" w:type="dxa"/>
            <w:vAlign w:val="bottom"/>
          </w:tcPr>
          <w:p>
            <w:pPr>
              <w:jc w:val="right"/>
              <w:spacing w:after="0"/>
              <w:rPr>
                <w:sz w:val="20"/>
                <w:szCs w:val="20"/>
                <w:color w:val="auto"/>
              </w:rPr>
            </w:pPr>
            <w:r>
              <w:rPr>
                <w:rFonts w:ascii="Arial" w:cs="Arial" w:eastAsia="Arial" w:hAnsi="Arial"/>
                <w:sz w:val="14"/>
                <w:szCs w:val="14"/>
                <w:color w:val="auto"/>
              </w:rPr>
              <w:t>$110 - $120</w:t>
            </w:r>
          </w:p>
        </w:tc>
        <w:tc>
          <w:tcPr>
            <w:tcW w:w="760" w:type="dxa"/>
            <w:vAlign w:val="bottom"/>
          </w:tcPr>
          <w:p>
            <w:pPr>
              <w:jc w:val="right"/>
              <w:spacing w:after="0"/>
              <w:rPr>
                <w:sz w:val="20"/>
                <w:szCs w:val="20"/>
                <w:color w:val="auto"/>
              </w:rPr>
            </w:pPr>
            <w:r>
              <w:rPr>
                <w:rFonts w:ascii="Arial" w:cs="Arial" w:eastAsia="Arial" w:hAnsi="Arial"/>
                <w:sz w:val="14"/>
                <w:szCs w:val="14"/>
                <w:color w:val="auto"/>
              </w:rPr>
              <w:t>$10</w:t>
            </w:r>
          </w:p>
        </w:tc>
        <w:tc>
          <w:tcPr>
            <w:tcW w:w="1000" w:type="dxa"/>
            <w:vAlign w:val="bottom"/>
          </w:tcPr>
          <w:p>
            <w:pPr>
              <w:jc w:val="center"/>
              <w:spacing w:after="0"/>
              <w:rPr>
                <w:sz w:val="20"/>
                <w:szCs w:val="20"/>
                <w:color w:val="auto"/>
              </w:rPr>
            </w:pPr>
            <w:r>
              <w:rPr>
                <w:rFonts w:ascii="Arial" w:cs="Arial" w:eastAsia="Arial" w:hAnsi="Arial"/>
                <w:sz w:val="14"/>
                <w:szCs w:val="14"/>
                <w:color w:val="auto"/>
                <w:w w:val="89"/>
              </w:rPr>
              <w:t>2023</w:t>
            </w: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840" w:type="dxa"/>
            <w:vAlign w:val="bottom"/>
          </w:tcPr>
          <w:p>
            <w:pPr>
              <w:ind w:left="140"/>
              <w:spacing w:after="0"/>
              <w:rPr>
                <w:sz w:val="20"/>
                <w:szCs w:val="20"/>
                <w:color w:val="auto"/>
              </w:rPr>
            </w:pPr>
            <w:r>
              <w:rPr>
                <w:rFonts w:ascii="Arial" w:cs="Arial" w:eastAsia="Arial" w:hAnsi="Arial"/>
                <w:sz w:val="14"/>
                <w:szCs w:val="14"/>
                <w:color w:val="auto"/>
              </w:rPr>
              <w:t>of new retail space, 122 rental apartments, and 720 parking spaces</w:t>
            </w: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CocoWalk</w:t>
            </w:r>
          </w:p>
        </w:tc>
        <w:tc>
          <w:tcPr>
            <w:tcW w:w="1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Coconut Grove, FL</w:t>
            </w:r>
          </w:p>
        </w:tc>
        <w:tc>
          <w:tcPr>
            <w:tcW w:w="484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5"/>
              </w:rPr>
              <w:t>Entire shopping center redevelopment to include: demolition of three story east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6%-7%</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$85 - $90</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2021</w:t>
            </w:r>
          </w:p>
        </w:tc>
        <w:tc>
          <w:tcPr>
            <w:tcW w:w="0" w:type="dxa"/>
            <w:vAlign w:val="bottom"/>
          </w:tcPr>
          <w:p>
            <w:pPr>
              <w:spacing w:after="0"/>
              <w:rPr>
                <w:sz w:val="1"/>
                <w:szCs w:val="1"/>
                <w:color w:val="auto"/>
              </w:rPr>
            </w:pPr>
          </w:p>
        </w:tc>
      </w:tr>
      <w:tr>
        <w:trPr>
          <w:trHeight w:val="148"/>
        </w:trPr>
        <w:tc>
          <w:tcPr>
            <w:tcW w:w="14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48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wing of the property and construction of a 106,000 square foot 5-story</w:t>
            </w:r>
          </w:p>
        </w:tc>
        <w:tc>
          <w:tcPr>
            <w:tcW w:w="8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48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9"/>
              </w:rPr>
              <w:t>office/retail building with 24,000 square feet of retail; complete renovation of</w:t>
            </w:r>
          </w:p>
        </w:tc>
        <w:tc>
          <w:tcPr>
            <w:tcW w:w="8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4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the west wing.</w:t>
            </w:r>
          </w:p>
        </w:tc>
        <w:tc>
          <w:tcPr>
            <w:tcW w:w="8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460" w:type="dxa"/>
            <w:vAlign w:val="bottom"/>
          </w:tcPr>
          <w:p>
            <w:pPr>
              <w:ind w:left="40"/>
              <w:spacing w:after="0" w:line="157" w:lineRule="exact"/>
              <w:rPr>
                <w:sz w:val="20"/>
                <w:szCs w:val="20"/>
                <w:color w:val="auto"/>
              </w:rPr>
            </w:pPr>
            <w:r>
              <w:rPr>
                <w:rFonts w:ascii="Arial" w:cs="Arial" w:eastAsia="Arial" w:hAnsi="Arial"/>
                <w:sz w:val="14"/>
                <w:szCs w:val="14"/>
                <w:color w:val="auto"/>
              </w:rPr>
              <w:t>Freedom Plaza (5)</w:t>
            </w:r>
          </w:p>
        </w:tc>
        <w:tc>
          <w:tcPr>
            <w:tcW w:w="1480" w:type="dxa"/>
            <w:vAlign w:val="bottom"/>
          </w:tcPr>
          <w:p>
            <w:pPr>
              <w:ind w:left="160"/>
              <w:spacing w:after="0" w:line="157" w:lineRule="exact"/>
              <w:rPr>
                <w:sz w:val="20"/>
                <w:szCs w:val="20"/>
                <w:color w:val="auto"/>
              </w:rPr>
            </w:pPr>
            <w:r>
              <w:rPr>
                <w:rFonts w:ascii="Arial" w:cs="Arial" w:eastAsia="Arial" w:hAnsi="Arial"/>
                <w:sz w:val="14"/>
                <w:szCs w:val="14"/>
                <w:color w:val="auto"/>
              </w:rPr>
              <w:t>Los Angeles, CA</w:t>
            </w:r>
          </w:p>
        </w:tc>
        <w:tc>
          <w:tcPr>
            <w:tcW w:w="4840" w:type="dxa"/>
            <w:vAlign w:val="bottom"/>
          </w:tcPr>
          <w:p>
            <w:pPr>
              <w:ind w:left="140"/>
              <w:spacing w:after="0" w:line="157" w:lineRule="exact"/>
              <w:rPr>
                <w:sz w:val="20"/>
                <w:szCs w:val="20"/>
                <w:color w:val="auto"/>
              </w:rPr>
            </w:pPr>
            <w:r>
              <w:rPr>
                <w:rFonts w:ascii="Arial" w:cs="Arial" w:eastAsia="Arial" w:hAnsi="Arial"/>
                <w:sz w:val="14"/>
                <w:szCs w:val="14"/>
                <w:color w:val="auto"/>
              </w:rPr>
              <w:t>Development of a new 113,000 square foot single-story grocery anchored</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7%</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$38 - $42</w:t>
            </w:r>
          </w:p>
        </w:tc>
        <w:tc>
          <w:tcPr>
            <w:tcW w:w="760" w:type="dxa"/>
            <w:vAlign w:val="bottom"/>
          </w:tcPr>
          <w:p>
            <w:pPr>
              <w:jc w:val="right"/>
              <w:spacing w:after="0" w:line="157" w:lineRule="exact"/>
              <w:rPr>
                <w:sz w:val="20"/>
                <w:szCs w:val="20"/>
                <w:color w:val="auto"/>
              </w:rPr>
            </w:pPr>
            <w:r>
              <w:rPr>
                <w:rFonts w:ascii="Arial" w:cs="Arial" w:eastAsia="Arial" w:hAnsi="Arial"/>
                <w:sz w:val="14"/>
                <w:szCs w:val="14"/>
                <w:color w:val="auto"/>
              </w:rPr>
              <w:t>$30</w:t>
            </w:r>
          </w:p>
        </w:tc>
        <w:tc>
          <w:tcPr>
            <w:tcW w:w="1000" w:type="dxa"/>
            <w:vAlign w:val="bottom"/>
          </w:tcPr>
          <w:p>
            <w:pPr>
              <w:jc w:val="center"/>
              <w:spacing w:after="0" w:line="157" w:lineRule="exact"/>
              <w:rPr>
                <w:sz w:val="20"/>
                <w:szCs w:val="20"/>
                <w:color w:val="auto"/>
              </w:rPr>
            </w:pPr>
            <w:r>
              <w:rPr>
                <w:rFonts w:ascii="Arial" w:cs="Arial" w:eastAsia="Arial" w:hAnsi="Arial"/>
                <w:sz w:val="14"/>
                <w:szCs w:val="14"/>
                <w:color w:val="auto"/>
                <w:w w:val="89"/>
              </w:rPr>
              <w:t>2021</w:t>
            </w: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840" w:type="dxa"/>
            <w:vAlign w:val="bottom"/>
          </w:tcPr>
          <w:p>
            <w:pPr>
              <w:ind w:left="140"/>
              <w:spacing w:after="0"/>
              <w:rPr>
                <w:sz w:val="20"/>
                <w:szCs w:val="20"/>
                <w:color w:val="auto"/>
              </w:rPr>
            </w:pPr>
            <w:r>
              <w:rPr>
                <w:rFonts w:ascii="Arial" w:cs="Arial" w:eastAsia="Arial" w:hAnsi="Arial"/>
                <w:sz w:val="14"/>
                <w:szCs w:val="14"/>
                <w:color w:val="auto"/>
              </w:rPr>
              <w:t>neighborhood shopping center</w:t>
            </w: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 Cynwyd (6)</w:t>
            </w:r>
          </w:p>
        </w:tc>
        <w:tc>
          <w:tcPr>
            <w:tcW w:w="1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Bala Cynwyd, PA</w:t>
            </w:r>
          </w:p>
        </w:tc>
        <w:tc>
          <w:tcPr>
            <w:tcW w:w="484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8"/>
              </w:rPr>
              <w:t>New 87 unit residential apartment building to be constructed on underutilized</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2021</w:t>
            </w:r>
          </w:p>
        </w:tc>
        <w:tc>
          <w:tcPr>
            <w:tcW w:w="0" w:type="dxa"/>
            <w:vAlign w:val="bottom"/>
          </w:tcPr>
          <w:p>
            <w:pPr>
              <w:spacing w:after="0"/>
              <w:rPr>
                <w:sz w:val="1"/>
                <w:szCs w:val="1"/>
                <w:color w:val="auto"/>
              </w:rPr>
            </w:pPr>
          </w:p>
        </w:tc>
      </w:tr>
      <w:tr>
        <w:trPr>
          <w:trHeight w:val="194"/>
        </w:trPr>
        <w:tc>
          <w:tcPr>
            <w:tcW w:w="14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4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land behind our existing shopping center</w:t>
            </w:r>
          </w:p>
        </w:tc>
        <w:tc>
          <w:tcPr>
            <w:tcW w:w="8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460" w:type="dxa"/>
            <w:vAlign w:val="bottom"/>
          </w:tcPr>
          <w:p>
            <w:pPr>
              <w:ind w:left="40"/>
              <w:spacing w:after="0" w:line="157" w:lineRule="exact"/>
              <w:rPr>
                <w:sz w:val="20"/>
                <w:szCs w:val="20"/>
                <w:color w:val="auto"/>
              </w:rPr>
            </w:pPr>
            <w:r>
              <w:rPr>
                <w:rFonts w:ascii="Arial" w:cs="Arial" w:eastAsia="Arial" w:hAnsi="Arial"/>
                <w:sz w:val="14"/>
                <w:szCs w:val="14"/>
                <w:color w:val="auto"/>
              </w:rPr>
              <w:t>7021 Hollywood Blvd</w:t>
            </w:r>
          </w:p>
        </w:tc>
        <w:tc>
          <w:tcPr>
            <w:tcW w:w="1480" w:type="dxa"/>
            <w:vAlign w:val="bottom"/>
          </w:tcPr>
          <w:p>
            <w:pPr>
              <w:ind w:left="160"/>
              <w:spacing w:after="0" w:line="157" w:lineRule="exact"/>
              <w:rPr>
                <w:sz w:val="20"/>
                <w:szCs w:val="20"/>
                <w:color w:val="auto"/>
              </w:rPr>
            </w:pPr>
            <w:r>
              <w:rPr>
                <w:rFonts w:ascii="Arial" w:cs="Arial" w:eastAsia="Arial" w:hAnsi="Arial"/>
                <w:sz w:val="14"/>
                <w:szCs w:val="14"/>
                <w:color w:val="auto"/>
              </w:rPr>
              <w:t>Los Angeles, CA</w:t>
            </w:r>
          </w:p>
        </w:tc>
        <w:tc>
          <w:tcPr>
            <w:tcW w:w="4840" w:type="dxa"/>
            <w:vAlign w:val="bottom"/>
          </w:tcPr>
          <w:p>
            <w:pPr>
              <w:ind w:left="140"/>
              <w:spacing w:after="0" w:line="157" w:lineRule="exact"/>
              <w:rPr>
                <w:sz w:val="20"/>
                <w:szCs w:val="20"/>
                <w:color w:val="auto"/>
              </w:rPr>
            </w:pPr>
            <w:r>
              <w:rPr>
                <w:rFonts w:ascii="Arial" w:cs="Arial" w:eastAsia="Arial" w:hAnsi="Arial"/>
                <w:sz w:val="14"/>
                <w:szCs w:val="14"/>
                <w:color w:val="auto"/>
                <w:w w:val="92"/>
              </w:rPr>
              <w:t>Renovation of the center and three vacant spaces to accommodate a new 39,000</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9%</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$19</w:t>
            </w:r>
          </w:p>
        </w:tc>
        <w:tc>
          <w:tcPr>
            <w:tcW w:w="760" w:type="dxa"/>
            <w:vAlign w:val="bottom"/>
          </w:tcPr>
          <w:p>
            <w:pPr>
              <w:jc w:val="right"/>
              <w:spacing w:after="0" w:line="157" w:lineRule="exact"/>
              <w:rPr>
                <w:sz w:val="20"/>
                <w:szCs w:val="20"/>
                <w:color w:val="auto"/>
              </w:rPr>
            </w:pPr>
            <w:r>
              <w:rPr>
                <w:rFonts w:ascii="Arial" w:cs="Arial" w:eastAsia="Arial" w:hAnsi="Arial"/>
                <w:sz w:val="14"/>
                <w:szCs w:val="14"/>
                <w:color w:val="auto"/>
              </w:rPr>
              <w:t>$11</w:t>
            </w:r>
          </w:p>
        </w:tc>
        <w:tc>
          <w:tcPr>
            <w:tcW w:w="1000" w:type="dxa"/>
            <w:vAlign w:val="bottom"/>
          </w:tcPr>
          <w:p>
            <w:pPr>
              <w:jc w:val="center"/>
              <w:spacing w:after="0" w:line="157" w:lineRule="exact"/>
              <w:rPr>
                <w:sz w:val="20"/>
                <w:szCs w:val="20"/>
                <w:color w:val="auto"/>
              </w:rPr>
            </w:pPr>
            <w:r>
              <w:rPr>
                <w:rFonts w:ascii="Arial" w:cs="Arial" w:eastAsia="Arial" w:hAnsi="Arial"/>
                <w:sz w:val="14"/>
                <w:szCs w:val="14"/>
                <w:color w:val="auto"/>
                <w:w w:val="89"/>
              </w:rPr>
              <w:t>2021</w:t>
            </w: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840" w:type="dxa"/>
            <w:vAlign w:val="bottom"/>
          </w:tcPr>
          <w:p>
            <w:pPr>
              <w:ind w:left="140"/>
              <w:spacing w:after="0"/>
              <w:rPr>
                <w:sz w:val="20"/>
                <w:szCs w:val="20"/>
                <w:color w:val="auto"/>
              </w:rPr>
            </w:pPr>
            <w:r>
              <w:rPr>
                <w:rFonts w:ascii="Arial" w:cs="Arial" w:eastAsia="Arial" w:hAnsi="Arial"/>
                <w:sz w:val="14"/>
                <w:szCs w:val="14"/>
                <w:color w:val="auto"/>
              </w:rPr>
              <w:t>square foot anchor tenant</w:t>
            </w: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Melville Mall</w:t>
            </w:r>
          </w:p>
        </w:tc>
        <w:tc>
          <w:tcPr>
            <w:tcW w:w="1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Huntington, NY</w:t>
            </w:r>
          </w:p>
        </w:tc>
        <w:tc>
          <w:tcPr>
            <w:tcW w:w="4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Development of a new 15,000 square foot pad site consisting of two multi-</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2021</w:t>
            </w:r>
          </w:p>
        </w:tc>
        <w:tc>
          <w:tcPr>
            <w:tcW w:w="0" w:type="dxa"/>
            <w:vAlign w:val="bottom"/>
          </w:tcPr>
          <w:p>
            <w:pPr>
              <w:spacing w:after="0"/>
              <w:rPr>
                <w:sz w:val="1"/>
                <w:szCs w:val="1"/>
                <w:color w:val="auto"/>
              </w:rPr>
            </w:pPr>
          </w:p>
        </w:tc>
      </w:tr>
      <w:tr>
        <w:trPr>
          <w:trHeight w:val="194"/>
        </w:trPr>
        <w:tc>
          <w:tcPr>
            <w:tcW w:w="14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4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tenant retail buildings</w:t>
            </w:r>
          </w:p>
        </w:tc>
        <w:tc>
          <w:tcPr>
            <w:tcW w:w="8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460" w:type="dxa"/>
            <w:vAlign w:val="bottom"/>
          </w:tcPr>
          <w:p>
            <w:pPr>
              <w:ind w:left="40"/>
              <w:spacing w:after="0" w:line="157" w:lineRule="exact"/>
              <w:rPr>
                <w:sz w:val="20"/>
                <w:szCs w:val="20"/>
                <w:color w:val="auto"/>
              </w:rPr>
            </w:pPr>
            <w:r>
              <w:rPr>
                <w:rFonts w:ascii="Arial" w:cs="Arial" w:eastAsia="Arial" w:hAnsi="Arial"/>
                <w:sz w:val="14"/>
                <w:szCs w:val="14"/>
                <w:color w:val="auto"/>
              </w:rPr>
              <w:t>Lawrence Park</w:t>
            </w:r>
          </w:p>
        </w:tc>
        <w:tc>
          <w:tcPr>
            <w:tcW w:w="1480" w:type="dxa"/>
            <w:vAlign w:val="bottom"/>
          </w:tcPr>
          <w:p>
            <w:pPr>
              <w:ind w:left="160"/>
              <w:spacing w:after="0" w:line="157" w:lineRule="exact"/>
              <w:rPr>
                <w:sz w:val="20"/>
                <w:szCs w:val="20"/>
                <w:color w:val="auto"/>
              </w:rPr>
            </w:pPr>
            <w:r>
              <w:rPr>
                <w:rFonts w:ascii="Arial" w:cs="Arial" w:eastAsia="Arial" w:hAnsi="Arial"/>
                <w:sz w:val="14"/>
                <w:szCs w:val="14"/>
                <w:color w:val="auto"/>
              </w:rPr>
              <w:t>Broomall, PA</w:t>
            </w:r>
          </w:p>
        </w:tc>
        <w:tc>
          <w:tcPr>
            <w:tcW w:w="4840" w:type="dxa"/>
            <w:vAlign w:val="bottom"/>
          </w:tcPr>
          <w:p>
            <w:pPr>
              <w:ind w:left="140"/>
              <w:spacing w:after="0" w:line="157" w:lineRule="exact"/>
              <w:rPr>
                <w:sz w:val="20"/>
                <w:szCs w:val="20"/>
                <w:color w:val="auto"/>
              </w:rPr>
            </w:pPr>
            <w:r>
              <w:rPr>
                <w:rFonts w:ascii="Arial" w:cs="Arial" w:eastAsia="Arial" w:hAnsi="Arial"/>
                <w:sz w:val="14"/>
                <w:szCs w:val="14"/>
                <w:color w:val="auto"/>
                <w:w w:val="97"/>
              </w:rPr>
              <w:t>Full shopping center redevelopment to include expansion of Main Line Health</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8%</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$10</w:t>
            </w:r>
          </w:p>
        </w:tc>
        <w:tc>
          <w:tcPr>
            <w:tcW w:w="760" w:type="dxa"/>
            <w:vAlign w:val="bottom"/>
          </w:tcPr>
          <w:p>
            <w:pPr>
              <w:jc w:val="right"/>
              <w:spacing w:after="0" w:line="157" w:lineRule="exact"/>
              <w:rPr>
                <w:sz w:val="20"/>
                <w:szCs w:val="20"/>
                <w:color w:val="auto"/>
              </w:rPr>
            </w:pPr>
            <w:r>
              <w:rPr>
                <w:rFonts w:ascii="Arial" w:cs="Arial" w:eastAsia="Arial" w:hAnsi="Arial"/>
                <w:sz w:val="14"/>
                <w:szCs w:val="14"/>
                <w:color w:val="auto"/>
              </w:rPr>
              <w:t>$1</w:t>
            </w:r>
          </w:p>
        </w:tc>
        <w:tc>
          <w:tcPr>
            <w:tcW w:w="1000" w:type="dxa"/>
            <w:vAlign w:val="bottom"/>
          </w:tcPr>
          <w:p>
            <w:pPr>
              <w:jc w:val="center"/>
              <w:spacing w:after="0" w:line="157" w:lineRule="exact"/>
              <w:rPr>
                <w:sz w:val="20"/>
                <w:szCs w:val="20"/>
                <w:color w:val="auto"/>
              </w:rPr>
            </w:pPr>
            <w:r>
              <w:rPr>
                <w:rFonts w:ascii="Arial" w:cs="Arial" w:eastAsia="Arial" w:hAnsi="Arial"/>
                <w:sz w:val="14"/>
                <w:szCs w:val="14"/>
                <w:color w:val="auto"/>
                <w:w w:val="89"/>
              </w:rPr>
              <w:t>2021</w:t>
            </w: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840" w:type="dxa"/>
            <w:vAlign w:val="bottom"/>
          </w:tcPr>
          <w:p>
            <w:pPr>
              <w:ind w:left="140"/>
              <w:spacing w:after="0" w:line="149" w:lineRule="exact"/>
              <w:rPr>
                <w:sz w:val="20"/>
                <w:szCs w:val="20"/>
                <w:color w:val="auto"/>
              </w:rPr>
            </w:pPr>
            <w:r>
              <w:rPr>
                <w:rFonts w:ascii="Arial" w:cs="Arial" w:eastAsia="Arial" w:hAnsi="Arial"/>
                <w:sz w:val="14"/>
                <w:szCs w:val="14"/>
                <w:color w:val="auto"/>
                <w:w w:val="93"/>
              </w:rPr>
              <w:t>into vacant lower level space, creation of 17,800 square feet of small shop space</w:t>
            </w: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840" w:type="dxa"/>
            <w:vAlign w:val="bottom"/>
          </w:tcPr>
          <w:p>
            <w:pPr>
              <w:ind w:left="140"/>
              <w:spacing w:after="0" w:line="149" w:lineRule="exact"/>
              <w:rPr>
                <w:sz w:val="20"/>
                <w:szCs w:val="20"/>
                <w:color w:val="auto"/>
              </w:rPr>
            </w:pPr>
            <w:r>
              <w:rPr>
                <w:rFonts w:ascii="Arial" w:cs="Arial" w:eastAsia="Arial" w:hAnsi="Arial"/>
                <w:sz w:val="14"/>
                <w:szCs w:val="14"/>
                <w:color w:val="auto"/>
                <w:w w:val="98"/>
              </w:rPr>
              <w:t>converted from vacated anchor space, and a façade renovation for the entire</w:t>
            </w: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840" w:type="dxa"/>
            <w:vAlign w:val="bottom"/>
          </w:tcPr>
          <w:p>
            <w:pPr>
              <w:ind w:left="140"/>
              <w:spacing w:after="0"/>
              <w:rPr>
                <w:sz w:val="20"/>
                <w:szCs w:val="20"/>
                <w:color w:val="auto"/>
              </w:rPr>
            </w:pPr>
            <w:r>
              <w:rPr>
                <w:rFonts w:ascii="Arial" w:cs="Arial" w:eastAsia="Arial" w:hAnsi="Arial"/>
                <w:sz w:val="14"/>
                <w:szCs w:val="14"/>
                <w:color w:val="auto"/>
              </w:rPr>
              <w:t>center</w:t>
            </w: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Wildwood</w:t>
            </w:r>
          </w:p>
        </w:tc>
        <w:tc>
          <w:tcPr>
            <w:tcW w:w="1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Bethesda, MD</w:t>
            </w:r>
          </w:p>
        </w:tc>
        <w:tc>
          <w:tcPr>
            <w:tcW w:w="4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4,900 square foot south end building expansion and site improvements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2020</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Flourtown</w:t>
            </w:r>
          </w:p>
        </w:tc>
        <w:tc>
          <w:tcPr>
            <w:tcW w:w="14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Flourtown, PA</w:t>
            </w:r>
          </w:p>
        </w:tc>
        <w:tc>
          <w:tcPr>
            <w:tcW w:w="48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Development of a new 4,550 square foot two-tenant pad building</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0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89"/>
              </w:rPr>
              <w:t>2021</w:t>
            </w:r>
          </w:p>
        </w:tc>
        <w:tc>
          <w:tcPr>
            <w:tcW w:w="0" w:type="dxa"/>
            <w:vAlign w:val="bottom"/>
          </w:tcPr>
          <w:p>
            <w:pPr>
              <w:spacing w:after="0"/>
              <w:rPr>
                <w:sz w:val="1"/>
                <w:szCs w:val="1"/>
                <w:color w:val="auto"/>
              </w:rPr>
            </w:pPr>
          </w:p>
        </w:tc>
      </w:tr>
      <w:tr>
        <w:trPr>
          <w:trHeight w:val="275"/>
        </w:trPr>
        <w:tc>
          <w:tcPr>
            <w:tcW w:w="2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w w:val="94"/>
              </w:rPr>
              <w:t>Total Active Redevelopment projects (4)</w:t>
            </w:r>
          </w:p>
        </w:tc>
        <w:tc>
          <w:tcPr>
            <w:tcW w:w="48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$305 - $324</w:t>
            </w:r>
          </w:p>
        </w:tc>
        <w:tc>
          <w:tcPr>
            <w:tcW w:w="7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$141</w:t>
            </w:r>
          </w:p>
        </w:tc>
        <w:tc>
          <w:tcPr>
            <w:tcW w:w="10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13" w:lineRule="exact"/>
        <w:rPr>
          <w:sz w:val="20"/>
          <w:szCs w:val="20"/>
          <w:color w:val="auto"/>
        </w:rPr>
      </w:pPr>
    </w:p>
    <w:p>
      <w:pPr>
        <w:jc w:val="both"/>
        <w:ind w:left="660" w:right="220" w:hanging="652"/>
        <w:spacing w:after="0" w:line="281" w:lineRule="auto"/>
        <w:tabs>
          <w:tab w:leader="none" w:pos="6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There is no guarantee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ind w:left="660" w:hanging="652"/>
        <w:spacing w:after="0" w:line="260" w:lineRule="auto"/>
        <w:tabs>
          <w:tab w:leader="none" w:pos="6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Projected ROI for redevelopment projects generally reflects only the deal specific cash, unleveraged incremental Property Operating Income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redevelopment projects does NOT include peripheral impacts, such as the impact on future lease rollovers at the property or the impact on the long-term value of the property.</w:t>
      </w:r>
    </w:p>
    <w:p>
      <w:pPr>
        <w:ind w:left="660" w:hanging="652"/>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Stabilization is generally the year in which 90% physical occupancy of the redeveloped space is achieved. Economic stabilization may occur at a later point in time.</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All subtotals and totals reflect cost weighted-average ROIs.</w:t>
      </w:r>
    </w:p>
    <w:p>
      <w:pPr>
        <w:spacing w:after="0" w:line="1" w:lineRule="exact"/>
        <w:rPr>
          <w:rFonts w:ascii="Arial" w:cs="Arial" w:eastAsia="Arial" w:hAnsi="Arial"/>
          <w:sz w:val="14"/>
          <w:szCs w:val="14"/>
          <w:color w:val="auto"/>
        </w:rPr>
      </w:pPr>
    </w:p>
    <w:p>
      <w:pPr>
        <w:ind w:left="660" w:right="180" w:hanging="652"/>
        <w:spacing w:after="0" w:line="241"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Project formerly known as Jordan Downs Plaza. Cost to date and projected cost are net of the proceeds we will receive from our New Market Tax Credit structure. See Note 3 of our December 31, 2019 Form 10-K for additional information. Stabilization has been impacted by the COVID-19 pandemic.</w:t>
      </w:r>
    </w:p>
    <w:p>
      <w:pPr>
        <w:ind w:left="660" w:hanging="652"/>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Construction has been halted per government mandate due to the COVID-19 pandemic.</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733" w:right="339" w:bottom="1440" w:gutter="0" w:footer="0" w:header="0"/>
        </w:sectPr>
      </w:pPr>
    </w:p>
    <w:bookmarkStart w:id="19" w:name="page20"/>
    <w:bookmarkEnd w:id="19"/>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Assembly Row, Pike &amp; Rose, and Santana Row</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March 31, 2020</w:t>
      </w:r>
    </w:p>
    <w:p>
      <w:pPr>
        <w:spacing w:after="0" w:line="30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Impacts of COVID-19 Pandemic:</w:t>
      </w:r>
    </w:p>
    <w:p>
      <w:pPr>
        <w:spacing w:after="0" w:line="77" w:lineRule="exact"/>
        <w:rPr>
          <w:sz w:val="20"/>
          <w:szCs w:val="20"/>
          <w:color w:val="auto"/>
        </w:rPr>
      </w:pPr>
    </w:p>
    <w:p>
      <w:pPr>
        <w:ind w:left="40" w:right="140"/>
        <w:spacing w:after="0" w:line="297" w:lineRule="auto"/>
        <w:rPr>
          <w:sz w:val="20"/>
          <w:szCs w:val="20"/>
          <w:color w:val="auto"/>
        </w:rPr>
      </w:pPr>
      <w:r>
        <w:rPr>
          <w:rFonts w:ascii="Arial" w:cs="Arial" w:eastAsia="Arial" w:hAnsi="Arial"/>
          <w:sz w:val="15"/>
          <w:szCs w:val="15"/>
          <w:color w:val="auto"/>
        </w:rPr>
        <w:t>Information provided below reflects management’s best estimate based on current available information, however the completion of construction, final costs, return on investment, timing of stabilization, and POI expected in any one year will be dependent upon the duration of governmental restrictions and the duration and severity of the economic impacts of COVID-19 which are highly uncertain at this time. Construction on Assembly Row and Santana Row has been paused as a result of governmental restrictions. Construction at Pike &amp; Rose continues, although at a slower pace as COVID-19 safety protocols are observed.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800" w:type="dxa"/>
            <w:vAlign w:val="bottom"/>
          </w:tcPr>
          <w:p>
            <w:pPr>
              <w:jc w:val="center"/>
              <w:ind w:left="68"/>
              <w:spacing w:after="0"/>
              <w:rPr>
                <w:sz w:val="20"/>
                <w:szCs w:val="20"/>
                <w:color w:val="auto"/>
              </w:rPr>
            </w:pPr>
            <w:r>
              <w:rPr>
                <w:rFonts w:ascii="Arial" w:cs="Arial" w:eastAsia="Arial" w:hAnsi="Arial"/>
                <w:sz w:val="14"/>
                <w:szCs w:val="14"/>
                <w:b w:val="1"/>
                <w:bCs w:val="1"/>
                <w:color w:val="auto"/>
                <w:w w:val="90"/>
              </w:rPr>
              <w:t>Projected</w:t>
            </w:r>
          </w:p>
        </w:tc>
        <w:tc>
          <w:tcPr>
            <w:tcW w:w="840" w:type="dxa"/>
            <w:vAlign w:val="bottom"/>
          </w:tcPr>
          <w:p>
            <w:pPr>
              <w:jc w:val="center"/>
              <w:ind w:left="9"/>
              <w:spacing w:after="0"/>
              <w:rPr>
                <w:sz w:val="20"/>
                <w:szCs w:val="20"/>
                <w:color w:val="auto"/>
              </w:rPr>
            </w:pPr>
            <w:r>
              <w:rPr>
                <w:rFonts w:ascii="Arial" w:cs="Arial" w:eastAsia="Arial" w:hAnsi="Arial"/>
                <w:sz w:val="14"/>
                <w:szCs w:val="14"/>
                <w:b w:val="1"/>
                <w:bCs w:val="1"/>
                <w:color w:val="auto"/>
                <w:w w:val="95"/>
              </w:rPr>
              <w:t>Total</w:t>
            </w:r>
          </w:p>
        </w:tc>
        <w:tc>
          <w:tcPr>
            <w:tcW w:w="700" w:type="dxa"/>
            <w:vAlign w:val="bottom"/>
          </w:tcPr>
          <w:p>
            <w:pPr>
              <w:jc w:val="center"/>
              <w:ind w:left="29"/>
              <w:spacing w:after="0"/>
              <w:rPr>
                <w:sz w:val="20"/>
                <w:szCs w:val="20"/>
                <w:color w:val="auto"/>
              </w:rPr>
            </w:pPr>
            <w:r>
              <w:rPr>
                <w:rFonts w:ascii="Arial" w:cs="Arial" w:eastAsia="Arial" w:hAnsi="Arial"/>
                <w:sz w:val="14"/>
                <w:szCs w:val="14"/>
                <w:b w:val="1"/>
                <w:bCs w:val="1"/>
                <w:color w:val="auto"/>
                <w:w w:val="85"/>
              </w:rPr>
              <w:t>Costs to</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Property (1)</w:t>
            </w:r>
          </w:p>
        </w:tc>
        <w:tc>
          <w:tcPr>
            <w:tcW w:w="3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Opportunity</w:t>
            </w:r>
          </w:p>
        </w:tc>
        <w:tc>
          <w:tcPr>
            <w:tcW w:w="80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ROI (2)</w:t>
            </w:r>
          </w:p>
        </w:tc>
        <w:tc>
          <w:tcPr>
            <w:tcW w:w="840" w:type="dxa"/>
            <w:vAlign w:val="bottom"/>
            <w:tcBorders>
              <w:bottom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92"/>
              </w:rPr>
              <w:t>Cost (3)</w:t>
            </w:r>
          </w:p>
        </w:tc>
        <w:tc>
          <w:tcPr>
            <w:tcW w:w="700" w:type="dxa"/>
            <w:vAlign w:val="bottom"/>
            <w:tcBorders>
              <w:bottom w:val="single" w:sz="8" w:color="auto"/>
            </w:tcBorders>
          </w:tcPr>
          <w:p>
            <w:pPr>
              <w:jc w:val="center"/>
              <w:ind w:left="29"/>
              <w:spacing w:after="0"/>
              <w:rPr>
                <w:sz w:val="20"/>
                <w:szCs w:val="20"/>
                <w:color w:val="auto"/>
              </w:rPr>
            </w:pPr>
            <w:r>
              <w:rPr>
                <w:rFonts w:ascii="Arial" w:cs="Arial" w:eastAsia="Arial" w:hAnsi="Arial"/>
                <w:sz w:val="14"/>
                <w:szCs w:val="14"/>
                <w:b w:val="1"/>
                <w:bCs w:val="1"/>
                <w:color w:val="auto"/>
                <w:w w:val="92"/>
              </w:rPr>
              <w:t>Date</w:t>
            </w:r>
          </w:p>
        </w:tc>
        <w:tc>
          <w:tcPr>
            <w:tcW w:w="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Expected Opening Timeframe</w:t>
            </w: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auto"/>
              </w:rPr>
              <w:t>(in</w:t>
            </w:r>
          </w:p>
        </w:tc>
        <w:tc>
          <w:tcPr>
            <w:tcW w:w="700" w:type="dxa"/>
            <w:vAlign w:val="bottom"/>
          </w:tcPr>
          <w:p>
            <w:pPr>
              <w:jc w:val="center"/>
              <w:ind w:left="29"/>
              <w:spacing w:after="0"/>
              <w:rPr>
                <w:sz w:val="20"/>
                <w:szCs w:val="20"/>
                <w:color w:val="auto"/>
              </w:rPr>
            </w:pPr>
            <w:r>
              <w:rPr>
                <w:rFonts w:ascii="Arial" w:cs="Arial" w:eastAsia="Arial" w:hAnsi="Arial"/>
                <w:sz w:val="13"/>
                <w:szCs w:val="13"/>
                <w:color w:val="auto"/>
              </w:rPr>
              <w:t>(in</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auto"/>
              </w:rPr>
              <w:t>millions)</w:t>
            </w:r>
          </w:p>
        </w:tc>
        <w:tc>
          <w:tcPr>
            <w:tcW w:w="700" w:type="dxa"/>
            <w:vAlign w:val="bottom"/>
          </w:tcPr>
          <w:p>
            <w:pPr>
              <w:jc w:val="center"/>
              <w:ind w:left="29"/>
              <w:spacing w:after="0"/>
              <w:rPr>
                <w:sz w:val="20"/>
                <w:szCs w:val="20"/>
                <w:color w:val="auto"/>
              </w:rPr>
            </w:pPr>
            <w:r>
              <w:rPr>
                <w:rFonts w:ascii="Arial" w:cs="Arial" w:eastAsia="Arial" w:hAnsi="Arial"/>
                <w:sz w:val="13"/>
                <w:szCs w:val="13"/>
                <w:color w:val="auto"/>
              </w:rPr>
              <w:t>millions)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 xml:space="preserve">Assembly Row, </w:t>
            </w:r>
            <w:r>
              <w:rPr>
                <w:rFonts w:ascii="Arial" w:cs="Arial" w:eastAsia="Arial" w:hAnsi="Arial"/>
                <w:sz w:val="14"/>
                <w:szCs w:val="14"/>
                <w:b w:val="1"/>
                <w:bCs w:val="1"/>
                <w:i w:val="1"/>
                <w:iCs w:val="1"/>
                <w:color w:val="auto"/>
                <w:w w:val="90"/>
              </w:rPr>
              <w:t>Somerville, MA</w:t>
            </w:r>
          </w:p>
        </w:tc>
        <w:tc>
          <w:tcPr>
            <w:tcW w:w="16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shd w:val="clear" w:color="auto" w:fill="CCEEFF"/>
              </w:rPr>
              <w:t>Phase III</w:t>
            </w:r>
          </w:p>
        </w:tc>
        <w:tc>
          <w:tcPr>
            <w:tcW w:w="220" w:type="dxa"/>
            <w:vAlign w:val="bottom"/>
            <w:shd w:val="clear" w:color="auto" w:fill="CCEEFF"/>
          </w:tcPr>
          <w:p>
            <w:pPr>
              <w:spacing w:after="0"/>
              <w:rPr>
                <w:sz w:val="13"/>
                <w:szCs w:val="13"/>
                <w:color w:val="auto"/>
              </w:rPr>
            </w:pPr>
          </w:p>
        </w:tc>
        <w:tc>
          <w:tcPr>
            <w:tcW w:w="346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- 277,000 SF of office</w:t>
            </w:r>
          </w:p>
        </w:tc>
        <w:tc>
          <w:tcPr>
            <w:tcW w:w="800" w:type="dxa"/>
            <w:vAlign w:val="bottom"/>
            <w:shd w:val="clear" w:color="auto" w:fill="CCEEFF"/>
          </w:tcPr>
          <w:p>
            <w:pPr>
              <w:jc w:val="center"/>
              <w:ind w:left="68"/>
              <w:spacing w:after="0" w:line="157" w:lineRule="exact"/>
              <w:rPr>
                <w:sz w:val="20"/>
                <w:szCs w:val="20"/>
                <w:color w:val="auto"/>
              </w:rPr>
            </w:pPr>
            <w:r>
              <w:rPr>
                <w:rFonts w:ascii="Arial" w:cs="Arial" w:eastAsia="Arial" w:hAnsi="Arial"/>
                <w:sz w:val="14"/>
                <w:szCs w:val="14"/>
                <w:color w:val="auto"/>
                <w:w w:val="88"/>
              </w:rPr>
              <w:t>6%</w:t>
            </w:r>
          </w:p>
        </w:tc>
        <w:tc>
          <w:tcPr>
            <w:tcW w:w="840" w:type="dxa"/>
            <w:vAlign w:val="bottom"/>
            <w:shd w:val="clear" w:color="auto" w:fill="CCEEFF"/>
          </w:tcPr>
          <w:p>
            <w:pPr>
              <w:jc w:val="center"/>
              <w:ind w:left="9"/>
              <w:spacing w:after="0" w:line="157" w:lineRule="exact"/>
              <w:rPr>
                <w:sz w:val="20"/>
                <w:szCs w:val="20"/>
                <w:color w:val="auto"/>
              </w:rPr>
            </w:pPr>
            <w:r>
              <w:rPr>
                <w:rFonts w:ascii="Arial" w:cs="Arial" w:eastAsia="Arial" w:hAnsi="Arial"/>
                <w:sz w:val="14"/>
                <w:szCs w:val="14"/>
                <w:color w:val="auto"/>
                <w:w w:val="90"/>
                <w:shd w:val="clear" w:color="auto" w:fill="CCEEFF"/>
              </w:rPr>
              <w:t>$465 -</w:t>
            </w:r>
          </w:p>
        </w:tc>
        <w:tc>
          <w:tcPr>
            <w:tcW w:w="700" w:type="dxa"/>
            <w:vAlign w:val="bottom"/>
            <w:shd w:val="clear" w:color="auto" w:fill="CCEEFF"/>
          </w:tcPr>
          <w:p>
            <w:pPr>
              <w:jc w:val="center"/>
              <w:ind w:left="29"/>
              <w:spacing w:after="0" w:line="157" w:lineRule="exact"/>
              <w:rPr>
                <w:sz w:val="20"/>
                <w:szCs w:val="20"/>
                <w:color w:val="auto"/>
              </w:rPr>
            </w:pPr>
            <w:r>
              <w:rPr>
                <w:rFonts w:ascii="Arial" w:cs="Arial" w:eastAsia="Arial" w:hAnsi="Arial"/>
                <w:sz w:val="14"/>
                <w:szCs w:val="14"/>
                <w:color w:val="auto"/>
                <w:w w:val="89"/>
                <w:shd w:val="clear" w:color="auto" w:fill="CCEEFF"/>
              </w:rPr>
              <w:t>$239</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100" w:type="dxa"/>
            <w:vAlign w:val="bottom"/>
            <w:gridSpan w:val="3"/>
            <w:shd w:val="clear" w:color="auto" w:fill="CCEEFF"/>
          </w:tcPr>
          <w:p>
            <w:pPr>
              <w:spacing w:after="0" w:line="157" w:lineRule="exact"/>
              <w:rPr>
                <w:sz w:val="20"/>
                <w:szCs w:val="20"/>
                <w:color w:val="auto"/>
              </w:rPr>
            </w:pPr>
            <w:r>
              <w:rPr>
                <w:rFonts w:ascii="Arial" w:cs="Arial" w:eastAsia="Arial" w:hAnsi="Arial"/>
                <w:sz w:val="14"/>
                <w:szCs w:val="14"/>
                <w:color w:val="auto"/>
                <w:shd w:val="clear" w:color="auto" w:fill="CCEEFF"/>
              </w:rPr>
              <w:t>150,000 square feet of office space pre-leased</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- 500 residential units</w:t>
            </w:r>
          </w:p>
        </w:tc>
        <w:tc>
          <w:tcPr>
            <w:tcW w:w="800" w:type="dxa"/>
            <w:vAlign w:val="bottom"/>
            <w:shd w:val="clear" w:color="auto" w:fill="CCEEFF"/>
          </w:tcPr>
          <w:p>
            <w:pPr>
              <w:spacing w:after="0"/>
              <w:rPr>
                <w:sz w:val="12"/>
                <w:szCs w:val="12"/>
                <w:color w:val="auto"/>
              </w:rPr>
            </w:pPr>
          </w:p>
        </w:tc>
        <w:tc>
          <w:tcPr>
            <w:tcW w:w="840" w:type="dxa"/>
            <w:vAlign w:val="bottom"/>
            <w:shd w:val="clear" w:color="auto" w:fill="CCEEFF"/>
          </w:tcPr>
          <w:p>
            <w:pPr>
              <w:jc w:val="center"/>
              <w:ind w:left="29"/>
              <w:spacing w:after="0" w:line="149" w:lineRule="exact"/>
              <w:rPr>
                <w:sz w:val="20"/>
                <w:szCs w:val="20"/>
                <w:color w:val="auto"/>
              </w:rPr>
            </w:pPr>
            <w:r>
              <w:rPr>
                <w:rFonts w:ascii="Arial" w:cs="Arial" w:eastAsia="Arial" w:hAnsi="Arial"/>
                <w:sz w:val="14"/>
                <w:szCs w:val="14"/>
                <w:color w:val="auto"/>
                <w:w w:val="94"/>
                <w:shd w:val="clear" w:color="auto" w:fill="CCEEFF"/>
              </w:rPr>
              <w:t>485</w:t>
            </w: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- 56,000 SF of retail</w:t>
            </w:r>
          </w:p>
        </w:tc>
        <w:tc>
          <w:tcPr>
            <w:tcW w:w="8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80" w:type="dxa"/>
            <w:vAlign w:val="bottom"/>
            <w:vMerge w:val="restart"/>
            <w:shd w:val="clear" w:color="auto" w:fill="CCEEFF"/>
          </w:tcPr>
          <w:p>
            <w:pPr>
              <w:spacing w:after="0"/>
              <w:rPr>
                <w:sz w:val="20"/>
                <w:szCs w:val="20"/>
                <w:color w:val="auto"/>
              </w:rPr>
            </w:pPr>
            <w:r>
              <w:rPr>
                <w:rFonts w:ascii="Arial" w:cs="Arial" w:eastAsia="Arial" w:hAnsi="Arial"/>
                <w:sz w:val="14"/>
                <w:szCs w:val="14"/>
                <w:color w:val="auto"/>
                <w:w w:val="91"/>
                <w:shd w:val="clear" w:color="auto" w:fill="CCEEFF"/>
              </w:rPr>
              <w:t>Openings projected to begin in 2021</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4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3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80" w:type="dxa"/>
            <w:vAlign w:val="bottom"/>
            <w:vMerge w:val="continue"/>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3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1900" w:type="dxa"/>
            <w:vAlign w:val="bottom"/>
            <w:gridSpan w:val="2"/>
          </w:tcPr>
          <w:p>
            <w:pPr>
              <w:spacing w:after="0" w:line="157" w:lineRule="exact"/>
              <w:rPr>
                <w:sz w:val="20"/>
                <w:szCs w:val="20"/>
                <w:color w:val="auto"/>
              </w:rPr>
            </w:pPr>
            <w:r>
              <w:rPr>
                <w:rFonts w:ascii="Arial" w:cs="Arial" w:eastAsia="Arial" w:hAnsi="Arial"/>
                <w:sz w:val="14"/>
                <w:szCs w:val="14"/>
                <w:color w:val="auto"/>
              </w:rPr>
              <w:t>Future Phases</w:t>
            </w:r>
          </w:p>
        </w:tc>
        <w:tc>
          <w:tcPr>
            <w:tcW w:w="346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- 1.5M SF of commercial</w:t>
            </w:r>
          </w:p>
        </w:tc>
        <w:tc>
          <w:tcPr>
            <w:tcW w:w="800" w:type="dxa"/>
            <w:vAlign w:val="bottom"/>
          </w:tcPr>
          <w:p>
            <w:pPr>
              <w:jc w:val="center"/>
              <w:ind w:left="68"/>
              <w:spacing w:after="0" w:line="157" w:lineRule="exact"/>
              <w:rPr>
                <w:sz w:val="20"/>
                <w:szCs w:val="20"/>
                <w:color w:val="auto"/>
              </w:rPr>
            </w:pPr>
            <w:r>
              <w:rPr>
                <w:rFonts w:ascii="Arial" w:cs="Arial" w:eastAsia="Arial" w:hAnsi="Arial"/>
                <w:sz w:val="14"/>
                <w:szCs w:val="14"/>
                <w:color w:val="auto"/>
              </w:rPr>
              <w:t>TBD</w:t>
            </w:r>
          </w:p>
        </w:tc>
        <w:tc>
          <w:tcPr>
            <w:tcW w:w="840" w:type="dxa"/>
            <w:vAlign w:val="bottom"/>
          </w:tcPr>
          <w:p>
            <w:pPr>
              <w:jc w:val="center"/>
              <w:ind w:left="9"/>
              <w:spacing w:after="0" w:line="157" w:lineRule="exact"/>
              <w:rPr>
                <w:sz w:val="20"/>
                <w:szCs w:val="20"/>
                <w:color w:val="auto"/>
              </w:rPr>
            </w:pPr>
            <w:r>
              <w:rPr>
                <w:rFonts w:ascii="Arial" w:cs="Arial" w:eastAsia="Arial" w:hAnsi="Arial"/>
                <w:sz w:val="14"/>
                <w:szCs w:val="14"/>
                <w:color w:val="auto"/>
                <w:w w:val="99"/>
              </w:rPr>
              <w:t>TBD</w:t>
            </w: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60" w:type="dxa"/>
            <w:vAlign w:val="bottom"/>
            <w:gridSpan w:val="2"/>
          </w:tcPr>
          <w:p>
            <w:pPr>
              <w:ind w:left="20"/>
              <w:spacing w:after="0"/>
              <w:rPr>
                <w:sz w:val="20"/>
                <w:szCs w:val="20"/>
                <w:color w:val="auto"/>
              </w:rPr>
            </w:pPr>
            <w:r>
              <w:rPr>
                <w:rFonts w:ascii="Arial" w:cs="Arial" w:eastAsia="Arial" w:hAnsi="Arial"/>
                <w:sz w:val="14"/>
                <w:szCs w:val="14"/>
                <w:color w:val="auto"/>
              </w:rPr>
              <w:t>- 329 residential units</w:t>
            </w: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1"/>
        </w:trPr>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0" w:type="dxa"/>
            <w:vAlign w:val="bottom"/>
            <w:gridSpan w:val="2"/>
          </w:tcPr>
          <w:p>
            <w:pPr>
              <w:spacing w:after="0"/>
              <w:rPr>
                <w:sz w:val="24"/>
                <w:szCs w:val="24"/>
                <w:color w:val="auto"/>
              </w:rPr>
            </w:pPr>
          </w:p>
        </w:tc>
        <w:tc>
          <w:tcPr>
            <w:tcW w:w="3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CCEEFF"/>
          </w:tcPr>
          <w:p>
            <w:pPr>
              <w:spacing w:after="0"/>
              <w:rPr>
                <w:sz w:val="14"/>
                <w:szCs w:val="14"/>
                <w:color w:val="auto"/>
              </w:rPr>
            </w:pPr>
          </w:p>
        </w:tc>
        <w:tc>
          <w:tcPr>
            <w:tcW w:w="536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 xml:space="preserve">Pike &amp; Rose, </w:t>
            </w:r>
            <w:r>
              <w:rPr>
                <w:rFonts w:ascii="Arial" w:cs="Arial" w:eastAsia="Arial" w:hAnsi="Arial"/>
                <w:sz w:val="14"/>
                <w:szCs w:val="14"/>
                <w:b w:val="1"/>
                <w:bCs w:val="1"/>
                <w:i w:val="1"/>
                <w:iCs w:val="1"/>
                <w:color w:val="auto"/>
              </w:rPr>
              <w:t>North Bethesda, MD</w:t>
            </w:r>
          </w:p>
        </w:tc>
        <w:tc>
          <w:tcPr>
            <w:tcW w:w="8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Borders>
              <w:top w:val="single" w:sz="8" w:color="CCEEFF"/>
            </w:tcBorders>
            <w:shd w:val="clear" w:color="auto" w:fill="CCEEFF"/>
          </w:tcPr>
          <w:p>
            <w:pPr>
              <w:spacing w:after="0"/>
              <w:rPr>
                <w:sz w:val="7"/>
                <w:szCs w:val="7"/>
                <w:color w:val="auto"/>
              </w:rPr>
            </w:pPr>
          </w:p>
        </w:tc>
        <w:tc>
          <w:tcPr>
            <w:tcW w:w="168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3300" w:type="dxa"/>
            <w:vAlign w:val="bottom"/>
            <w:tcBorders>
              <w:top w:val="single" w:sz="8" w:color="CCEEFF"/>
            </w:tcBorders>
            <w:shd w:val="clear" w:color="auto" w:fill="CCEEFF"/>
          </w:tcPr>
          <w:p>
            <w:pPr>
              <w:spacing w:after="0"/>
              <w:rPr>
                <w:sz w:val="7"/>
                <w:szCs w:val="7"/>
                <w:color w:val="auto"/>
              </w:rPr>
            </w:pPr>
          </w:p>
        </w:tc>
        <w:tc>
          <w:tcPr>
            <w:tcW w:w="800" w:type="dxa"/>
            <w:vAlign w:val="bottom"/>
            <w:tcBorders>
              <w:top w:val="single" w:sz="8" w:color="CCEEFF"/>
            </w:tcBorders>
            <w:shd w:val="clear" w:color="auto" w:fill="CCEEFF"/>
          </w:tcPr>
          <w:p>
            <w:pPr>
              <w:spacing w:after="0"/>
              <w:rPr>
                <w:sz w:val="7"/>
                <w:szCs w:val="7"/>
                <w:color w:val="auto"/>
              </w:rPr>
            </w:pPr>
          </w:p>
        </w:tc>
        <w:tc>
          <w:tcPr>
            <w:tcW w:w="84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90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1900" w:type="dxa"/>
            <w:vAlign w:val="bottom"/>
            <w:gridSpan w:val="2"/>
          </w:tcPr>
          <w:p>
            <w:pPr>
              <w:spacing w:after="0" w:line="157" w:lineRule="exact"/>
              <w:rPr>
                <w:sz w:val="20"/>
                <w:szCs w:val="20"/>
                <w:color w:val="auto"/>
              </w:rPr>
            </w:pPr>
            <w:r>
              <w:rPr>
                <w:rFonts w:ascii="Arial" w:cs="Arial" w:eastAsia="Arial" w:hAnsi="Arial"/>
                <w:sz w:val="14"/>
                <w:szCs w:val="14"/>
                <w:color w:val="auto"/>
              </w:rPr>
              <w:t>Phase III</w:t>
            </w:r>
          </w:p>
        </w:tc>
        <w:tc>
          <w:tcPr>
            <w:tcW w:w="346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- 212,000 SF of office</w:t>
            </w:r>
          </w:p>
        </w:tc>
        <w:tc>
          <w:tcPr>
            <w:tcW w:w="800" w:type="dxa"/>
            <w:vAlign w:val="bottom"/>
          </w:tcPr>
          <w:p>
            <w:pPr>
              <w:jc w:val="center"/>
              <w:ind w:left="68"/>
              <w:spacing w:after="0" w:line="157" w:lineRule="exact"/>
              <w:rPr>
                <w:sz w:val="20"/>
                <w:szCs w:val="20"/>
                <w:color w:val="auto"/>
              </w:rPr>
            </w:pPr>
            <w:r>
              <w:rPr>
                <w:rFonts w:ascii="Arial" w:cs="Arial" w:eastAsia="Arial" w:hAnsi="Arial"/>
                <w:sz w:val="14"/>
                <w:szCs w:val="14"/>
                <w:color w:val="auto"/>
                <w:w w:val="91"/>
              </w:rPr>
              <w:t>6-7%</w:t>
            </w:r>
          </w:p>
        </w:tc>
        <w:tc>
          <w:tcPr>
            <w:tcW w:w="840" w:type="dxa"/>
            <w:vAlign w:val="bottom"/>
          </w:tcPr>
          <w:p>
            <w:pPr>
              <w:jc w:val="center"/>
              <w:ind w:left="9"/>
              <w:spacing w:after="0" w:line="157" w:lineRule="exact"/>
              <w:rPr>
                <w:sz w:val="20"/>
                <w:szCs w:val="20"/>
                <w:color w:val="auto"/>
              </w:rPr>
            </w:pPr>
            <w:r>
              <w:rPr>
                <w:rFonts w:ascii="Arial" w:cs="Arial" w:eastAsia="Arial" w:hAnsi="Arial"/>
                <w:sz w:val="14"/>
                <w:szCs w:val="14"/>
                <w:color w:val="auto"/>
                <w:w w:val="90"/>
              </w:rPr>
              <w:t>$128 -</w:t>
            </w:r>
          </w:p>
        </w:tc>
        <w:tc>
          <w:tcPr>
            <w:tcW w:w="700" w:type="dxa"/>
            <w:vAlign w:val="bottom"/>
          </w:tcPr>
          <w:p>
            <w:pPr>
              <w:jc w:val="center"/>
              <w:ind w:left="29"/>
              <w:spacing w:after="0" w:line="157" w:lineRule="exact"/>
              <w:rPr>
                <w:sz w:val="20"/>
                <w:szCs w:val="20"/>
                <w:color w:val="auto"/>
              </w:rPr>
            </w:pPr>
            <w:r>
              <w:rPr>
                <w:rFonts w:ascii="Arial" w:cs="Arial" w:eastAsia="Arial" w:hAnsi="Arial"/>
                <w:sz w:val="14"/>
                <w:szCs w:val="14"/>
                <w:color w:val="auto"/>
                <w:w w:val="85"/>
              </w:rPr>
              <w:t>$84</w:t>
            </w:r>
          </w:p>
        </w:tc>
        <w:tc>
          <w:tcPr>
            <w:tcW w:w="260" w:type="dxa"/>
            <w:vAlign w:val="bottom"/>
          </w:tcPr>
          <w:p>
            <w:pPr>
              <w:jc w:val="right"/>
              <w:spacing w:after="0" w:line="157" w:lineRule="exact"/>
              <w:rPr>
                <w:sz w:val="20"/>
                <w:szCs w:val="20"/>
                <w:color w:val="auto"/>
              </w:rPr>
            </w:pPr>
            <w:r>
              <w:rPr>
                <w:rFonts w:ascii="Arial" w:cs="Arial" w:eastAsia="Arial" w:hAnsi="Arial"/>
                <w:sz w:val="14"/>
                <w:szCs w:val="14"/>
                <w:color w:val="auto"/>
              </w:rPr>
              <w:t>(4)</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100" w:type="dxa"/>
            <w:vAlign w:val="bottom"/>
            <w:gridSpan w:val="3"/>
          </w:tcPr>
          <w:p>
            <w:pPr>
              <w:spacing w:after="0" w:line="157" w:lineRule="exact"/>
              <w:rPr>
                <w:sz w:val="20"/>
                <w:szCs w:val="20"/>
                <w:color w:val="auto"/>
              </w:rPr>
            </w:pPr>
            <w:r>
              <w:rPr>
                <w:rFonts w:ascii="Arial" w:cs="Arial" w:eastAsia="Arial" w:hAnsi="Arial"/>
                <w:sz w:val="14"/>
                <w:szCs w:val="14"/>
                <w:color w:val="auto"/>
              </w:rPr>
              <w:t>Opening projected to begin in 2020</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60" w:type="dxa"/>
            <w:vAlign w:val="bottom"/>
            <w:gridSpan w:val="2"/>
          </w:tcPr>
          <w:p>
            <w:pPr>
              <w:ind w:left="20"/>
              <w:spacing w:after="0"/>
              <w:rPr>
                <w:sz w:val="20"/>
                <w:szCs w:val="20"/>
                <w:color w:val="auto"/>
              </w:rPr>
            </w:pPr>
            <w:r>
              <w:rPr>
                <w:rFonts w:ascii="Arial" w:cs="Arial" w:eastAsia="Arial" w:hAnsi="Arial"/>
                <w:sz w:val="14"/>
                <w:szCs w:val="14"/>
                <w:color w:val="auto"/>
              </w:rPr>
              <w:t>- 4,000 SF of retail</w:t>
            </w:r>
          </w:p>
        </w:tc>
        <w:tc>
          <w:tcPr>
            <w:tcW w:w="800" w:type="dxa"/>
            <w:vAlign w:val="bottom"/>
          </w:tcPr>
          <w:p>
            <w:pPr>
              <w:spacing w:after="0"/>
              <w:rPr>
                <w:sz w:val="16"/>
                <w:szCs w:val="16"/>
                <w:color w:val="auto"/>
              </w:rPr>
            </w:pPr>
          </w:p>
        </w:tc>
        <w:tc>
          <w:tcPr>
            <w:tcW w:w="840" w:type="dxa"/>
            <w:vAlign w:val="bottom"/>
          </w:tcPr>
          <w:p>
            <w:pPr>
              <w:jc w:val="center"/>
              <w:ind w:left="29"/>
              <w:spacing w:after="0"/>
              <w:rPr>
                <w:sz w:val="20"/>
                <w:szCs w:val="20"/>
                <w:color w:val="auto"/>
              </w:rPr>
            </w:pPr>
            <w:r>
              <w:rPr>
                <w:rFonts w:ascii="Arial" w:cs="Arial" w:eastAsia="Arial" w:hAnsi="Arial"/>
                <w:sz w:val="14"/>
                <w:szCs w:val="14"/>
                <w:color w:val="auto"/>
                <w:w w:val="94"/>
              </w:rPr>
              <w:t>135</w:t>
            </w: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Future Phases</w:t>
            </w:r>
          </w:p>
        </w:tc>
        <w:tc>
          <w:tcPr>
            <w:tcW w:w="220" w:type="dxa"/>
            <w:vAlign w:val="bottom"/>
            <w:shd w:val="clear" w:color="auto" w:fill="CCEEFF"/>
          </w:tcPr>
          <w:p>
            <w:pPr>
              <w:spacing w:after="0"/>
              <w:rPr>
                <w:sz w:val="14"/>
                <w:szCs w:val="14"/>
                <w:color w:val="auto"/>
              </w:rPr>
            </w:pP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- 740,000 SF of commercial</w:t>
            </w:r>
          </w:p>
        </w:tc>
        <w:tc>
          <w:tcPr>
            <w:tcW w:w="80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shd w:val="clear" w:color="auto" w:fill="CCEEFF"/>
              </w:rPr>
              <w:t>TBD</w:t>
            </w:r>
          </w:p>
        </w:tc>
        <w:tc>
          <w:tcPr>
            <w:tcW w:w="840" w:type="dxa"/>
            <w:vAlign w:val="bottom"/>
            <w:shd w:val="clear" w:color="auto" w:fill="CCEEFF"/>
          </w:tcPr>
          <w:p>
            <w:pPr>
              <w:jc w:val="center"/>
              <w:ind w:left="9"/>
              <w:spacing w:after="0"/>
              <w:rPr>
                <w:sz w:val="20"/>
                <w:szCs w:val="20"/>
                <w:color w:val="auto"/>
              </w:rPr>
            </w:pPr>
            <w:r>
              <w:rPr>
                <w:rFonts w:ascii="Arial" w:cs="Arial" w:eastAsia="Arial" w:hAnsi="Arial"/>
                <w:sz w:val="14"/>
                <w:szCs w:val="14"/>
                <w:color w:val="auto"/>
                <w:w w:val="99"/>
                <w:shd w:val="clear" w:color="auto" w:fill="CCEEFF"/>
              </w:rPr>
              <w:t>TBD</w:t>
            </w: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- 741 residential units</w:t>
            </w:r>
          </w:p>
        </w:tc>
        <w:tc>
          <w:tcPr>
            <w:tcW w:w="8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4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3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90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Santana Row, </w:t>
            </w:r>
            <w:r>
              <w:rPr>
                <w:rFonts w:ascii="Arial" w:cs="Arial" w:eastAsia="Arial" w:hAnsi="Arial"/>
                <w:sz w:val="14"/>
                <w:szCs w:val="14"/>
                <w:b w:val="1"/>
                <w:bCs w:val="1"/>
                <w:i w:val="1"/>
                <w:iCs w:val="1"/>
                <w:color w:val="auto"/>
              </w:rPr>
              <w:t>San Jose, CA</w:t>
            </w:r>
          </w:p>
        </w:tc>
        <w:tc>
          <w:tcPr>
            <w:tcW w:w="1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16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shd w:val="clear" w:color="auto" w:fill="CCEEFF"/>
              </w:rPr>
              <w:t>700 Santana Row</w:t>
            </w:r>
          </w:p>
        </w:tc>
        <w:tc>
          <w:tcPr>
            <w:tcW w:w="220" w:type="dxa"/>
            <w:vAlign w:val="bottom"/>
            <w:shd w:val="clear" w:color="auto" w:fill="CCEEFF"/>
          </w:tcPr>
          <w:p>
            <w:pPr>
              <w:spacing w:after="0"/>
              <w:rPr>
                <w:sz w:val="13"/>
                <w:szCs w:val="13"/>
                <w:color w:val="auto"/>
              </w:rPr>
            </w:pPr>
          </w:p>
        </w:tc>
        <w:tc>
          <w:tcPr>
            <w:tcW w:w="346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- 301,000 SF of office</w:t>
            </w:r>
          </w:p>
        </w:tc>
        <w:tc>
          <w:tcPr>
            <w:tcW w:w="800" w:type="dxa"/>
            <w:vAlign w:val="bottom"/>
            <w:shd w:val="clear" w:color="auto" w:fill="CCEEFF"/>
          </w:tcPr>
          <w:p>
            <w:pPr>
              <w:jc w:val="center"/>
              <w:ind w:left="68"/>
              <w:spacing w:after="0" w:line="157" w:lineRule="exact"/>
              <w:rPr>
                <w:sz w:val="20"/>
                <w:szCs w:val="20"/>
                <w:color w:val="auto"/>
              </w:rPr>
            </w:pPr>
            <w:r>
              <w:rPr>
                <w:rFonts w:ascii="Arial" w:cs="Arial" w:eastAsia="Arial" w:hAnsi="Arial"/>
                <w:sz w:val="14"/>
                <w:szCs w:val="14"/>
                <w:color w:val="auto"/>
                <w:w w:val="91"/>
              </w:rPr>
              <w:t>7-8%</w:t>
            </w:r>
          </w:p>
        </w:tc>
        <w:tc>
          <w:tcPr>
            <w:tcW w:w="840" w:type="dxa"/>
            <w:vAlign w:val="bottom"/>
            <w:shd w:val="clear" w:color="auto" w:fill="CCEEFF"/>
          </w:tcPr>
          <w:p>
            <w:pPr>
              <w:jc w:val="center"/>
              <w:ind w:left="9"/>
              <w:spacing w:after="0" w:line="157" w:lineRule="exact"/>
              <w:rPr>
                <w:sz w:val="20"/>
                <w:szCs w:val="20"/>
                <w:color w:val="auto"/>
              </w:rPr>
            </w:pPr>
            <w:r>
              <w:rPr>
                <w:rFonts w:ascii="Arial" w:cs="Arial" w:eastAsia="Arial" w:hAnsi="Arial"/>
                <w:sz w:val="14"/>
                <w:szCs w:val="14"/>
                <w:color w:val="auto"/>
                <w:w w:val="90"/>
                <w:shd w:val="clear" w:color="auto" w:fill="CCEEFF"/>
              </w:rPr>
              <w:t>$210 -</w:t>
            </w:r>
          </w:p>
        </w:tc>
        <w:tc>
          <w:tcPr>
            <w:tcW w:w="700" w:type="dxa"/>
            <w:vAlign w:val="bottom"/>
            <w:shd w:val="clear" w:color="auto" w:fill="CCEEFF"/>
          </w:tcPr>
          <w:p>
            <w:pPr>
              <w:jc w:val="center"/>
              <w:ind w:left="29"/>
              <w:spacing w:after="0" w:line="157" w:lineRule="exact"/>
              <w:rPr>
                <w:sz w:val="20"/>
                <w:szCs w:val="20"/>
                <w:color w:val="auto"/>
              </w:rPr>
            </w:pPr>
            <w:r>
              <w:rPr>
                <w:rFonts w:ascii="Arial" w:cs="Arial" w:eastAsia="Arial" w:hAnsi="Arial"/>
                <w:sz w:val="14"/>
                <w:szCs w:val="14"/>
                <w:color w:val="auto"/>
                <w:w w:val="89"/>
              </w:rPr>
              <w:t>$198</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100" w:type="dxa"/>
            <w:vAlign w:val="bottom"/>
            <w:gridSpan w:val="3"/>
            <w:shd w:val="clear" w:color="auto" w:fill="CCEEFF"/>
          </w:tcPr>
          <w:p>
            <w:pPr>
              <w:spacing w:after="0" w:line="157" w:lineRule="exact"/>
              <w:rPr>
                <w:sz w:val="20"/>
                <w:szCs w:val="20"/>
                <w:color w:val="auto"/>
              </w:rPr>
            </w:pPr>
            <w:r>
              <w:rPr>
                <w:rFonts w:ascii="Arial" w:cs="Arial" w:eastAsia="Arial" w:hAnsi="Arial"/>
                <w:sz w:val="14"/>
                <w:szCs w:val="14"/>
                <w:color w:val="auto"/>
                <w:shd w:val="clear" w:color="auto" w:fill="CCEEFF"/>
              </w:rPr>
              <w:t>Office 100% pre-leased, delivered in Q1 2020</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- 18,000 SF of retail &amp; 1,300 parking spaces</w:t>
            </w:r>
          </w:p>
        </w:tc>
        <w:tc>
          <w:tcPr>
            <w:tcW w:w="800" w:type="dxa"/>
            <w:vAlign w:val="bottom"/>
            <w:shd w:val="clear" w:color="auto" w:fill="CCEEFF"/>
          </w:tcPr>
          <w:p>
            <w:pPr>
              <w:spacing w:after="0"/>
              <w:rPr>
                <w:sz w:val="12"/>
                <w:szCs w:val="12"/>
                <w:color w:val="auto"/>
              </w:rPr>
            </w:pPr>
          </w:p>
        </w:tc>
        <w:tc>
          <w:tcPr>
            <w:tcW w:w="840" w:type="dxa"/>
            <w:vAlign w:val="bottom"/>
            <w:shd w:val="clear" w:color="auto" w:fill="CCEEFF"/>
          </w:tcPr>
          <w:p>
            <w:pPr>
              <w:jc w:val="center"/>
              <w:ind w:left="29"/>
              <w:spacing w:after="0" w:line="149" w:lineRule="exact"/>
              <w:rPr>
                <w:sz w:val="20"/>
                <w:szCs w:val="20"/>
                <w:color w:val="auto"/>
              </w:rPr>
            </w:pPr>
            <w:r>
              <w:rPr>
                <w:rFonts w:ascii="Arial" w:cs="Arial" w:eastAsia="Arial" w:hAnsi="Arial"/>
                <w:sz w:val="14"/>
                <w:szCs w:val="14"/>
                <w:color w:val="auto"/>
                <w:w w:val="94"/>
                <w:shd w:val="clear" w:color="auto" w:fill="CCEEFF"/>
              </w:rPr>
              <w:t>220</w:t>
            </w: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 Redevelopment of Santana Row Park including the</w:t>
            </w:r>
          </w:p>
        </w:tc>
        <w:tc>
          <w:tcPr>
            <w:tcW w:w="8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w w:val="89"/>
                <w:shd w:val="clear" w:color="auto" w:fill="CCEEFF"/>
              </w:rPr>
              <w:t>11,000 square feet of retail has opened</w:t>
            </w: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40" w:type="dxa"/>
            <w:vAlign w:val="bottom"/>
            <w:shd w:val="clear" w:color="auto" w:fill="CCEEFF"/>
          </w:tcPr>
          <w:p>
            <w:pPr>
              <w:spacing w:after="0"/>
              <w:rPr>
                <w:sz w:val="6"/>
                <w:szCs w:val="6"/>
                <w:color w:val="auto"/>
              </w:rPr>
            </w:pPr>
          </w:p>
        </w:tc>
        <w:tc>
          <w:tcPr>
            <w:tcW w:w="16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34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installation of a new retail pavilion</w:t>
            </w:r>
          </w:p>
        </w:tc>
        <w:tc>
          <w:tcPr>
            <w:tcW w:w="8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200" w:type="dxa"/>
            <w:vAlign w:val="bottom"/>
            <w:gridSpan w:val="2"/>
            <w:vMerge w:val="continue"/>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40" w:type="dxa"/>
            <w:vAlign w:val="bottom"/>
            <w:shd w:val="clear" w:color="auto" w:fill="CCEEFF"/>
          </w:tcPr>
          <w:p>
            <w:pPr>
              <w:spacing w:after="0"/>
              <w:rPr>
                <w:sz w:val="8"/>
                <w:szCs w:val="8"/>
                <w:color w:val="auto"/>
              </w:rPr>
            </w:pPr>
          </w:p>
        </w:tc>
        <w:tc>
          <w:tcPr>
            <w:tcW w:w="16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460" w:type="dxa"/>
            <w:vAlign w:val="bottom"/>
            <w:gridSpan w:val="2"/>
            <w:vMerge w:val="continue"/>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4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3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1900" w:type="dxa"/>
            <w:vAlign w:val="bottom"/>
            <w:gridSpan w:val="2"/>
          </w:tcPr>
          <w:p>
            <w:pPr>
              <w:spacing w:after="0" w:line="157" w:lineRule="exact"/>
              <w:rPr>
                <w:sz w:val="20"/>
                <w:szCs w:val="20"/>
                <w:color w:val="auto"/>
              </w:rPr>
            </w:pPr>
            <w:r>
              <w:rPr>
                <w:rFonts w:ascii="Arial" w:cs="Arial" w:eastAsia="Arial" w:hAnsi="Arial"/>
                <w:sz w:val="14"/>
                <w:szCs w:val="14"/>
                <w:color w:val="auto"/>
              </w:rPr>
              <w:t>Santana West - Phase I</w:t>
            </w:r>
          </w:p>
        </w:tc>
        <w:tc>
          <w:tcPr>
            <w:tcW w:w="346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- 376,000 SF of office</w:t>
            </w:r>
          </w:p>
        </w:tc>
        <w:tc>
          <w:tcPr>
            <w:tcW w:w="800" w:type="dxa"/>
            <w:vAlign w:val="bottom"/>
          </w:tcPr>
          <w:p>
            <w:pPr>
              <w:jc w:val="center"/>
              <w:ind w:left="68"/>
              <w:spacing w:after="0" w:line="157" w:lineRule="exact"/>
              <w:rPr>
                <w:sz w:val="20"/>
                <w:szCs w:val="20"/>
                <w:color w:val="auto"/>
              </w:rPr>
            </w:pPr>
            <w:r>
              <w:rPr>
                <w:rFonts w:ascii="Arial" w:cs="Arial" w:eastAsia="Arial" w:hAnsi="Arial"/>
                <w:sz w:val="14"/>
                <w:szCs w:val="14"/>
                <w:color w:val="auto"/>
                <w:w w:val="88"/>
              </w:rPr>
              <w:t>7%</w:t>
            </w:r>
          </w:p>
        </w:tc>
        <w:tc>
          <w:tcPr>
            <w:tcW w:w="840" w:type="dxa"/>
            <w:vAlign w:val="bottom"/>
          </w:tcPr>
          <w:p>
            <w:pPr>
              <w:jc w:val="center"/>
              <w:ind w:left="9"/>
              <w:spacing w:after="0" w:line="157" w:lineRule="exact"/>
              <w:rPr>
                <w:sz w:val="20"/>
                <w:szCs w:val="20"/>
                <w:color w:val="auto"/>
              </w:rPr>
            </w:pPr>
            <w:r>
              <w:rPr>
                <w:rFonts w:ascii="Arial" w:cs="Arial" w:eastAsia="Arial" w:hAnsi="Arial"/>
                <w:sz w:val="14"/>
                <w:szCs w:val="14"/>
                <w:color w:val="auto"/>
                <w:w w:val="90"/>
              </w:rPr>
              <w:t>$250 -</w:t>
            </w:r>
          </w:p>
        </w:tc>
        <w:tc>
          <w:tcPr>
            <w:tcW w:w="700" w:type="dxa"/>
            <w:vAlign w:val="bottom"/>
          </w:tcPr>
          <w:p>
            <w:pPr>
              <w:jc w:val="center"/>
              <w:ind w:left="29"/>
              <w:spacing w:after="0" w:line="157" w:lineRule="exact"/>
              <w:rPr>
                <w:sz w:val="20"/>
                <w:szCs w:val="20"/>
                <w:color w:val="auto"/>
              </w:rPr>
            </w:pPr>
            <w:r>
              <w:rPr>
                <w:rFonts w:ascii="Arial" w:cs="Arial" w:eastAsia="Arial" w:hAnsi="Arial"/>
                <w:sz w:val="14"/>
                <w:szCs w:val="14"/>
                <w:color w:val="auto"/>
                <w:w w:val="85"/>
              </w:rPr>
              <w:t>$71</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100" w:type="dxa"/>
            <w:vAlign w:val="bottom"/>
            <w:gridSpan w:val="3"/>
          </w:tcPr>
          <w:p>
            <w:pPr>
              <w:spacing w:after="0" w:line="157" w:lineRule="exact"/>
              <w:rPr>
                <w:sz w:val="20"/>
                <w:szCs w:val="20"/>
                <w:color w:val="auto"/>
              </w:rPr>
            </w:pPr>
            <w:r>
              <w:rPr>
                <w:rFonts w:ascii="Arial" w:cs="Arial" w:eastAsia="Arial" w:hAnsi="Arial"/>
                <w:sz w:val="14"/>
                <w:szCs w:val="14"/>
                <w:color w:val="auto"/>
              </w:rPr>
              <w:t>Openings projected to begin in 2021</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60" w:type="dxa"/>
            <w:vAlign w:val="bottom"/>
            <w:gridSpan w:val="2"/>
          </w:tcPr>
          <w:p>
            <w:pPr>
              <w:ind w:left="20"/>
              <w:spacing w:after="0"/>
              <w:rPr>
                <w:sz w:val="20"/>
                <w:szCs w:val="20"/>
                <w:color w:val="auto"/>
              </w:rPr>
            </w:pPr>
            <w:r>
              <w:rPr>
                <w:rFonts w:ascii="Arial" w:cs="Arial" w:eastAsia="Arial" w:hAnsi="Arial"/>
                <w:sz w:val="14"/>
                <w:szCs w:val="14"/>
                <w:color w:val="auto"/>
              </w:rPr>
              <w:t>- 1,750 parking spaces</w:t>
            </w:r>
          </w:p>
        </w:tc>
        <w:tc>
          <w:tcPr>
            <w:tcW w:w="800" w:type="dxa"/>
            <w:vAlign w:val="bottom"/>
          </w:tcPr>
          <w:p>
            <w:pPr>
              <w:spacing w:after="0"/>
              <w:rPr>
                <w:sz w:val="16"/>
                <w:szCs w:val="16"/>
                <w:color w:val="auto"/>
              </w:rPr>
            </w:pPr>
          </w:p>
        </w:tc>
        <w:tc>
          <w:tcPr>
            <w:tcW w:w="840" w:type="dxa"/>
            <w:vAlign w:val="bottom"/>
          </w:tcPr>
          <w:p>
            <w:pPr>
              <w:jc w:val="center"/>
              <w:ind w:left="29"/>
              <w:spacing w:after="0"/>
              <w:rPr>
                <w:sz w:val="20"/>
                <w:szCs w:val="20"/>
                <w:color w:val="auto"/>
              </w:rPr>
            </w:pPr>
            <w:r>
              <w:rPr>
                <w:rFonts w:ascii="Arial" w:cs="Arial" w:eastAsia="Arial" w:hAnsi="Arial"/>
                <w:sz w:val="14"/>
                <w:szCs w:val="14"/>
                <w:color w:val="auto"/>
                <w:w w:val="94"/>
              </w:rPr>
              <w:t>270</w:t>
            </w: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Future Phases</w:t>
            </w:r>
          </w:p>
        </w:tc>
        <w:tc>
          <w:tcPr>
            <w:tcW w:w="220" w:type="dxa"/>
            <w:vAlign w:val="bottom"/>
            <w:shd w:val="clear" w:color="auto" w:fill="CCEEFF"/>
          </w:tcPr>
          <w:p>
            <w:pPr>
              <w:spacing w:after="0"/>
              <w:rPr>
                <w:sz w:val="14"/>
                <w:szCs w:val="14"/>
                <w:color w:val="auto"/>
              </w:rPr>
            </w:pP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-321,000 SF of commercial</w:t>
            </w:r>
          </w:p>
        </w:tc>
        <w:tc>
          <w:tcPr>
            <w:tcW w:w="80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shd w:val="clear" w:color="auto" w:fill="CCEEFF"/>
              </w:rPr>
              <w:t>TBD</w:t>
            </w:r>
          </w:p>
        </w:tc>
        <w:tc>
          <w:tcPr>
            <w:tcW w:w="840" w:type="dxa"/>
            <w:vAlign w:val="bottom"/>
            <w:shd w:val="clear" w:color="auto" w:fill="CCEEFF"/>
          </w:tcPr>
          <w:p>
            <w:pPr>
              <w:jc w:val="center"/>
              <w:ind w:left="9"/>
              <w:spacing w:after="0"/>
              <w:rPr>
                <w:sz w:val="20"/>
                <w:szCs w:val="20"/>
                <w:color w:val="auto"/>
              </w:rPr>
            </w:pPr>
            <w:r>
              <w:rPr>
                <w:rFonts w:ascii="Arial" w:cs="Arial" w:eastAsia="Arial" w:hAnsi="Arial"/>
                <w:sz w:val="14"/>
                <w:szCs w:val="14"/>
                <w:color w:val="auto"/>
                <w:w w:val="99"/>
                <w:shd w:val="clear" w:color="auto" w:fill="CCEEFF"/>
              </w:rPr>
              <w:t>TBD</w:t>
            </w: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-395 residential units</w:t>
            </w:r>
          </w:p>
        </w:tc>
        <w:tc>
          <w:tcPr>
            <w:tcW w:w="8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-604,000 SF of commercial across from Santana Row</w:t>
            </w:r>
          </w:p>
        </w:tc>
        <w:tc>
          <w:tcPr>
            <w:tcW w:w="8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190" w:lineRule="exact"/>
        <w:rPr>
          <w:sz w:val="20"/>
          <w:szCs w:val="20"/>
          <w:color w:val="auto"/>
        </w:rPr>
      </w:pPr>
    </w:p>
    <w:p>
      <w:pPr>
        <w:ind w:left="500" w:right="220" w:hanging="465"/>
        <w:spacing w:after="0" w:line="281" w:lineRule="auto"/>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Anticipated opening dates, total cost, and projected return on investment (ROI) are subject to adjustment as a result of factors inherent in the development process, some of which may not be under the direct control of the Company. Refer to the Company's filings with the Securities and Exchange Commission on Form 10-K and Form 10-Q for other risk factors.</w:t>
      </w:r>
    </w:p>
    <w:p>
      <w:pPr>
        <w:ind w:left="500" w:hanging="465"/>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Projected ROI for development projects reflects the unleveraged Property Operating Income (POI) generated by the development and is calculated as POI divided by cost.</w:t>
      </w:r>
    </w:p>
    <w:p>
      <w:pPr>
        <w:spacing w:after="0" w:line="41"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3"/>
          <w:szCs w:val="13"/>
          <w:color w:val="auto"/>
        </w:rPr>
        <w:t>Projected costs for Assembly Row and Pike &amp; Rose include an allocation of infrastructure costs for the entire project. Phase I of Santana West includes an allocation of infrastructure for</w:t>
      </w:r>
    </w:p>
    <w:p>
      <w:pPr>
        <w:spacing w:after="0" w:line="11" w:lineRule="exact"/>
        <w:rPr>
          <w:rFonts w:ascii="Arial" w:cs="Arial" w:eastAsia="Arial" w:hAnsi="Arial"/>
          <w:sz w:val="14"/>
          <w:szCs w:val="14"/>
          <w:color w:val="auto"/>
        </w:rPr>
      </w:pPr>
    </w:p>
    <w:p>
      <w:pPr>
        <w:ind w:left="500" w:hanging="465"/>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Santana West site.</w:t>
      </w:r>
    </w:p>
    <w:p>
      <w:pPr>
        <w:spacing w:after="0" w:line="29" w:lineRule="exact"/>
        <w:rPr>
          <w:rFonts w:ascii="Arial" w:cs="Arial" w:eastAsia="Arial" w:hAnsi="Arial"/>
          <w:sz w:val="14"/>
          <w:szCs w:val="14"/>
          <w:color w:val="auto"/>
        </w:rPr>
      </w:pPr>
    </w:p>
    <w:p>
      <w:pPr>
        <w:ind w:left="500" w:right="500" w:hanging="465"/>
        <w:spacing w:after="0" w:line="253" w:lineRule="auto"/>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Federal Realty Investment Trust is leasing 45,000 square feet of office space at a market rent in Pike &amp; Rose Phase III to be delivered in 2020. Revenue related to this rent will be eliminated in the consolidated financial statements.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733" w:right="339" w:bottom="1440" w:gutter="0" w:footer="0" w:header="0"/>
        </w:sectPr>
      </w:pPr>
    </w:p>
    <w:bookmarkStart w:id="20" w:name="page21"/>
    <w:bookmarkEnd w:id="20"/>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Future Redevelopment Opportunities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March 31, 2020</w:t>
      </w:r>
    </w:p>
    <w:p>
      <w:pPr>
        <w:spacing w:after="0" w:line="374" w:lineRule="exact"/>
        <w:rPr>
          <w:sz w:val="20"/>
          <w:szCs w:val="20"/>
          <w:color w:val="auto"/>
        </w:rPr>
      </w:pPr>
    </w:p>
    <w:p>
      <w:pPr>
        <w:ind w:left="40" w:right="180"/>
        <w:spacing w:after="0" w:line="273" w:lineRule="auto"/>
        <w:rPr>
          <w:sz w:val="20"/>
          <w:szCs w:val="20"/>
          <w:color w:val="auto"/>
        </w:rPr>
      </w:pPr>
      <w:r>
        <w:rPr>
          <w:rFonts w:ascii="Arial" w:cs="Arial" w:eastAsia="Arial" w:hAnsi="Arial"/>
          <w:sz w:val="16"/>
          <w:szCs w:val="16"/>
          <w:b w:val="1"/>
          <w:bCs w:val="1"/>
          <w:i w:val="1"/>
          <w:iCs w:val="1"/>
          <w:color w:val="auto"/>
        </w:rPr>
        <w:t>We have identified the following potential opportunities to create future shareholder value. Executing these opportunities could be subject to government approvals, tenant consents, market conditions, etc. Work on many of these new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p>
      <w:pPr>
        <w:spacing w:after="0" w:line="320" w:lineRule="exact"/>
        <w:rPr>
          <w:sz w:val="20"/>
          <w:szCs w:val="20"/>
          <w:color w:val="auto"/>
        </w:rPr>
      </w:pPr>
    </w:p>
    <w:p>
      <w:pPr>
        <w:ind w:left="40" w:right="800"/>
        <w:spacing w:after="0" w:line="290" w:lineRule="auto"/>
        <w:rPr>
          <w:sz w:val="20"/>
          <w:szCs w:val="20"/>
          <w:color w:val="auto"/>
        </w:rPr>
      </w:pPr>
      <w:r>
        <w:rPr>
          <w:rFonts w:ascii="Arial" w:cs="Arial" w:eastAsia="Arial" w:hAnsi="Arial"/>
          <w:sz w:val="16"/>
          <w:szCs w:val="16"/>
          <w:b w:val="1"/>
          <w:bCs w:val="1"/>
          <w:color w:val="auto"/>
        </w:rPr>
        <w:t>Pad Site Opportunities - Opportunities to add both single tenant and multi-tenant stand alone pad buildings at existing retail properties. Many of these opportunities are "by right" and construction is awaiting appropriate retailer demand.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6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b w:val="1"/>
                <w:bCs w:val="1"/>
                <w:color w:val="auto"/>
              </w:rPr>
              <w:t>Escondido Promenade</w:t>
            </w:r>
          </w:p>
        </w:tc>
        <w:tc>
          <w:tcPr>
            <w:tcW w:w="21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Escondido, CA</w:t>
            </w:r>
          </w:p>
        </w:tc>
        <w:tc>
          <w:tcPr>
            <w:tcW w:w="27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Mercer Mall</w:t>
            </w:r>
          </w:p>
        </w:tc>
        <w:tc>
          <w:tcPr>
            <w:tcW w:w="3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Lawrenceville, NJ</w:t>
            </w:r>
          </w:p>
        </w:tc>
      </w:tr>
      <w:tr>
        <w:trPr>
          <w:trHeight w:val="237"/>
        </w:trPr>
        <w:tc>
          <w:tcPr>
            <w:tcW w:w="2680" w:type="dxa"/>
            <w:vAlign w:val="bottom"/>
          </w:tcPr>
          <w:p>
            <w:pPr>
              <w:ind w:left="600"/>
              <w:spacing w:after="0"/>
              <w:rPr>
                <w:sz w:val="20"/>
                <w:szCs w:val="20"/>
                <w:color w:val="auto"/>
              </w:rPr>
            </w:pPr>
            <w:r>
              <w:rPr>
                <w:rFonts w:ascii="Arial" w:cs="Arial" w:eastAsia="Arial" w:hAnsi="Arial"/>
                <w:sz w:val="16"/>
                <w:szCs w:val="16"/>
                <w:b w:val="1"/>
                <w:bCs w:val="1"/>
                <w:color w:val="auto"/>
              </w:rPr>
              <w:t>Federal Plaza</w:t>
            </w:r>
          </w:p>
        </w:tc>
        <w:tc>
          <w:tcPr>
            <w:tcW w:w="2140" w:type="dxa"/>
            <w:vAlign w:val="bottom"/>
          </w:tcPr>
          <w:p>
            <w:pPr>
              <w:ind w:left="520"/>
              <w:spacing w:after="0"/>
              <w:rPr>
                <w:sz w:val="20"/>
                <w:szCs w:val="20"/>
                <w:color w:val="auto"/>
              </w:rPr>
            </w:pPr>
            <w:r>
              <w:rPr>
                <w:rFonts w:ascii="Arial" w:cs="Arial" w:eastAsia="Arial" w:hAnsi="Arial"/>
                <w:sz w:val="16"/>
                <w:szCs w:val="16"/>
                <w:color w:val="auto"/>
              </w:rPr>
              <w:t>Rockville, MD</w:t>
            </w:r>
          </w:p>
        </w:tc>
        <w:tc>
          <w:tcPr>
            <w:tcW w:w="2720" w:type="dxa"/>
            <w:vAlign w:val="bottom"/>
          </w:tcPr>
          <w:p>
            <w:pPr>
              <w:ind w:left="620"/>
              <w:spacing w:after="0"/>
              <w:rPr>
                <w:sz w:val="20"/>
                <w:szCs w:val="20"/>
                <w:color w:val="auto"/>
              </w:rPr>
            </w:pPr>
            <w:r>
              <w:rPr>
                <w:rFonts w:ascii="Arial" w:cs="Arial" w:eastAsia="Arial" w:hAnsi="Arial"/>
                <w:sz w:val="16"/>
                <w:szCs w:val="16"/>
                <w:b w:val="1"/>
                <w:bCs w:val="1"/>
                <w:color w:val="auto"/>
              </w:rPr>
              <w:t>Pan Am</w:t>
            </w:r>
          </w:p>
        </w:tc>
        <w:tc>
          <w:tcPr>
            <w:tcW w:w="3700" w:type="dxa"/>
            <w:vAlign w:val="bottom"/>
          </w:tcPr>
          <w:p>
            <w:pPr>
              <w:ind w:left="600"/>
              <w:spacing w:after="0"/>
              <w:rPr>
                <w:sz w:val="20"/>
                <w:szCs w:val="20"/>
                <w:color w:val="auto"/>
              </w:rPr>
            </w:pPr>
            <w:r>
              <w:rPr>
                <w:rFonts w:ascii="Arial" w:cs="Arial" w:eastAsia="Arial" w:hAnsi="Arial"/>
                <w:sz w:val="16"/>
                <w:szCs w:val="16"/>
                <w:color w:val="auto"/>
              </w:rPr>
              <w:t>Fairfax, VA</w:t>
            </w:r>
          </w:p>
        </w:tc>
      </w:tr>
      <w:tr>
        <w:trPr>
          <w:trHeight w:val="33"/>
        </w:trPr>
        <w:tc>
          <w:tcPr>
            <w:tcW w:w="26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37"/>
        </w:trPr>
        <w:tc>
          <w:tcPr>
            <w:tcW w:w="2680" w:type="dxa"/>
            <w:vAlign w:val="bottom"/>
            <w:shd w:val="clear" w:color="auto" w:fill="CCEEFF"/>
          </w:tcPr>
          <w:p>
            <w:pPr>
              <w:ind w:left="600"/>
              <w:spacing w:after="0"/>
              <w:rPr>
                <w:sz w:val="20"/>
                <w:szCs w:val="20"/>
                <w:color w:val="auto"/>
              </w:rPr>
            </w:pPr>
            <w:r>
              <w:rPr>
                <w:rFonts w:ascii="Arial" w:cs="Arial" w:eastAsia="Arial" w:hAnsi="Arial"/>
                <w:sz w:val="16"/>
                <w:szCs w:val="16"/>
                <w:b w:val="1"/>
                <w:bCs w:val="1"/>
                <w:color w:val="auto"/>
              </w:rPr>
              <w:t>Fresh Meadows</w:t>
            </w:r>
          </w:p>
        </w:tc>
        <w:tc>
          <w:tcPr>
            <w:tcW w:w="21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Queens, NY</w:t>
            </w:r>
          </w:p>
        </w:tc>
        <w:tc>
          <w:tcPr>
            <w:tcW w:w="2720" w:type="dxa"/>
            <w:vAlign w:val="bottom"/>
            <w:shd w:val="clear" w:color="auto" w:fill="CCEEFF"/>
          </w:tcPr>
          <w:p>
            <w:pPr>
              <w:ind w:left="620"/>
              <w:spacing w:after="0"/>
              <w:rPr>
                <w:sz w:val="20"/>
                <w:szCs w:val="20"/>
                <w:color w:val="auto"/>
              </w:rPr>
            </w:pPr>
            <w:r>
              <w:rPr>
                <w:rFonts w:ascii="Arial" w:cs="Arial" w:eastAsia="Arial" w:hAnsi="Arial"/>
                <w:sz w:val="16"/>
                <w:szCs w:val="16"/>
                <w:b w:val="1"/>
                <w:bCs w:val="1"/>
                <w:color w:val="auto"/>
              </w:rPr>
              <w:t>Sylmar Towne Center</w:t>
            </w:r>
          </w:p>
        </w:tc>
        <w:tc>
          <w:tcPr>
            <w:tcW w:w="37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Sylmar, CA</w:t>
            </w:r>
          </w:p>
        </w:tc>
      </w:tr>
      <w:tr>
        <w:trPr>
          <w:trHeight w:val="33"/>
        </w:trPr>
        <w:tc>
          <w:tcPr>
            <w:tcW w:w="268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37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291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63" w:lineRule="exact"/>
        <w:rPr>
          <w:sz w:val="20"/>
          <w:szCs w:val="20"/>
          <w:color w:val="auto"/>
        </w:rPr>
      </w:pPr>
    </w:p>
    <w:p>
      <w:pPr>
        <w:ind w:left="40" w:right="340"/>
        <w:spacing w:after="0" w:line="298" w:lineRule="auto"/>
        <w:rPr>
          <w:sz w:val="20"/>
          <w:szCs w:val="20"/>
          <w:color w:val="auto"/>
        </w:rPr>
      </w:pPr>
      <w:r>
        <w:rPr>
          <w:rFonts w:ascii="Arial" w:cs="Arial" w:eastAsia="Arial" w:hAnsi="Arial"/>
          <w:sz w:val="16"/>
          <w:szCs w:val="16"/>
          <w:b w:val="1"/>
          <w:bCs w:val="1"/>
          <w:color w:val="auto"/>
        </w:rPr>
        <w:t>Property Expansion or Conversion - Opportunities at successful retail properties to convert previously underutilized land into new GLA and to convert other existing uses into more productive uses for the property.</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60" w:type="dxa"/>
            <w:vAlign w:val="bottom"/>
          </w:tcPr>
          <w:p>
            <w:pPr>
              <w:ind w:left="600"/>
              <w:spacing w:after="0"/>
              <w:rPr>
                <w:sz w:val="20"/>
                <w:szCs w:val="20"/>
                <w:color w:val="auto"/>
              </w:rPr>
            </w:pPr>
            <w:r>
              <w:rPr>
                <w:rFonts w:ascii="Arial" w:cs="Arial" w:eastAsia="Arial" w:hAnsi="Arial"/>
                <w:sz w:val="16"/>
                <w:szCs w:val="16"/>
                <w:b w:val="1"/>
                <w:bCs w:val="1"/>
                <w:color w:val="auto"/>
              </w:rPr>
              <w:t>Barracks Road</w:t>
            </w:r>
          </w:p>
        </w:tc>
        <w:tc>
          <w:tcPr>
            <w:tcW w:w="2280" w:type="dxa"/>
            <w:vAlign w:val="bottom"/>
          </w:tcPr>
          <w:p>
            <w:pPr>
              <w:ind w:left="540"/>
              <w:spacing w:after="0"/>
              <w:rPr>
                <w:sz w:val="20"/>
                <w:szCs w:val="20"/>
                <w:color w:val="auto"/>
              </w:rPr>
            </w:pPr>
            <w:r>
              <w:rPr>
                <w:rFonts w:ascii="Arial" w:cs="Arial" w:eastAsia="Arial" w:hAnsi="Arial"/>
                <w:sz w:val="16"/>
                <w:szCs w:val="16"/>
                <w:color w:val="auto"/>
              </w:rPr>
              <w:t>Charlottesville, VA</w:t>
            </w:r>
          </w:p>
        </w:tc>
        <w:tc>
          <w:tcPr>
            <w:tcW w:w="2760" w:type="dxa"/>
            <w:vAlign w:val="bottom"/>
          </w:tcPr>
          <w:p>
            <w:pPr>
              <w:ind w:left="500"/>
              <w:spacing w:after="0"/>
              <w:rPr>
                <w:sz w:val="20"/>
                <w:szCs w:val="20"/>
                <w:color w:val="auto"/>
              </w:rPr>
            </w:pPr>
            <w:r>
              <w:rPr>
                <w:rFonts w:ascii="Arial" w:cs="Arial" w:eastAsia="Arial" w:hAnsi="Arial"/>
                <w:sz w:val="16"/>
                <w:szCs w:val="16"/>
                <w:b w:val="1"/>
                <w:bCs w:val="1"/>
                <w:color w:val="auto"/>
              </w:rPr>
              <w:t>Huntington</w:t>
            </w:r>
          </w:p>
        </w:tc>
        <w:tc>
          <w:tcPr>
            <w:tcW w:w="3540" w:type="dxa"/>
            <w:vAlign w:val="bottom"/>
          </w:tcPr>
          <w:p>
            <w:pPr>
              <w:ind w:left="440"/>
              <w:spacing w:after="0"/>
              <w:rPr>
                <w:sz w:val="20"/>
                <w:szCs w:val="20"/>
                <w:color w:val="auto"/>
              </w:rPr>
            </w:pPr>
            <w:r>
              <w:rPr>
                <w:rFonts w:ascii="Arial" w:cs="Arial" w:eastAsia="Arial" w:hAnsi="Arial"/>
                <w:sz w:val="16"/>
                <w:szCs w:val="16"/>
                <w:color w:val="auto"/>
              </w:rPr>
              <w:t>Huntington, NY</w:t>
            </w:r>
          </w:p>
        </w:tc>
      </w:tr>
      <w:tr>
        <w:trPr>
          <w:trHeight w:val="33"/>
        </w:trPr>
        <w:tc>
          <w:tcPr>
            <w:tcW w:w="26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54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b w:val="1"/>
                <w:bCs w:val="1"/>
                <w:color w:val="auto"/>
              </w:rPr>
              <w:t>Bethesda Row</w:t>
            </w:r>
          </w:p>
        </w:tc>
        <w:tc>
          <w:tcPr>
            <w:tcW w:w="22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Bethesda, MD</w:t>
            </w:r>
          </w:p>
        </w:tc>
        <w:tc>
          <w:tcPr>
            <w:tcW w:w="2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Plaza El Segundo</w:t>
            </w:r>
          </w:p>
        </w:tc>
        <w:tc>
          <w:tcPr>
            <w:tcW w:w="35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El Segundo, CA</w:t>
            </w:r>
          </w:p>
        </w:tc>
      </w:tr>
      <w:tr>
        <w:trPr>
          <w:trHeight w:val="237"/>
        </w:trPr>
        <w:tc>
          <w:tcPr>
            <w:tcW w:w="2660" w:type="dxa"/>
            <w:vAlign w:val="bottom"/>
          </w:tcPr>
          <w:p>
            <w:pPr>
              <w:ind w:left="600"/>
              <w:spacing w:after="0"/>
              <w:rPr>
                <w:sz w:val="20"/>
                <w:szCs w:val="20"/>
                <w:color w:val="auto"/>
              </w:rPr>
            </w:pPr>
            <w:r>
              <w:rPr>
                <w:rFonts w:ascii="Arial" w:cs="Arial" w:eastAsia="Arial" w:hAnsi="Arial"/>
                <w:sz w:val="16"/>
                <w:szCs w:val="16"/>
                <w:b w:val="1"/>
                <w:bCs w:val="1"/>
                <w:color w:val="auto"/>
              </w:rPr>
              <w:t>Dedham Plaza</w:t>
            </w:r>
          </w:p>
        </w:tc>
        <w:tc>
          <w:tcPr>
            <w:tcW w:w="2280" w:type="dxa"/>
            <w:vAlign w:val="bottom"/>
          </w:tcPr>
          <w:p>
            <w:pPr>
              <w:ind w:left="540"/>
              <w:spacing w:after="0"/>
              <w:rPr>
                <w:sz w:val="20"/>
                <w:szCs w:val="20"/>
                <w:color w:val="auto"/>
              </w:rPr>
            </w:pPr>
            <w:r>
              <w:rPr>
                <w:rFonts w:ascii="Arial" w:cs="Arial" w:eastAsia="Arial" w:hAnsi="Arial"/>
                <w:sz w:val="16"/>
                <w:szCs w:val="16"/>
                <w:color w:val="auto"/>
              </w:rPr>
              <w:t>Dedham, MA</w:t>
            </w:r>
          </w:p>
        </w:tc>
        <w:tc>
          <w:tcPr>
            <w:tcW w:w="2760" w:type="dxa"/>
            <w:vAlign w:val="bottom"/>
          </w:tcPr>
          <w:p>
            <w:pPr>
              <w:ind w:left="500"/>
              <w:spacing w:after="0"/>
              <w:rPr>
                <w:sz w:val="20"/>
                <w:szCs w:val="20"/>
                <w:color w:val="auto"/>
              </w:rPr>
            </w:pPr>
            <w:r>
              <w:rPr>
                <w:rFonts w:ascii="Arial" w:cs="Arial" w:eastAsia="Arial" w:hAnsi="Arial"/>
                <w:sz w:val="16"/>
                <w:szCs w:val="16"/>
                <w:b w:val="1"/>
                <w:bCs w:val="1"/>
                <w:color w:val="auto"/>
              </w:rPr>
              <w:t>Riverpoint Center</w:t>
            </w:r>
          </w:p>
        </w:tc>
        <w:tc>
          <w:tcPr>
            <w:tcW w:w="3540" w:type="dxa"/>
            <w:vAlign w:val="bottom"/>
          </w:tcPr>
          <w:p>
            <w:pPr>
              <w:ind w:left="440"/>
              <w:spacing w:after="0"/>
              <w:rPr>
                <w:sz w:val="20"/>
                <w:szCs w:val="20"/>
                <w:color w:val="auto"/>
              </w:rPr>
            </w:pPr>
            <w:r>
              <w:rPr>
                <w:rFonts w:ascii="Arial" w:cs="Arial" w:eastAsia="Arial" w:hAnsi="Arial"/>
                <w:sz w:val="16"/>
                <w:szCs w:val="16"/>
                <w:color w:val="auto"/>
              </w:rPr>
              <w:t>Chicago, IL</w:t>
            </w:r>
          </w:p>
        </w:tc>
      </w:tr>
      <w:tr>
        <w:trPr>
          <w:trHeight w:val="33"/>
        </w:trPr>
        <w:tc>
          <w:tcPr>
            <w:tcW w:w="26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54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b w:val="1"/>
                <w:bCs w:val="1"/>
                <w:color w:val="auto"/>
              </w:rPr>
              <w:t>Fairfax Junction</w:t>
            </w:r>
          </w:p>
        </w:tc>
        <w:tc>
          <w:tcPr>
            <w:tcW w:w="22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Fairfax, VA</w:t>
            </w:r>
          </w:p>
        </w:tc>
        <w:tc>
          <w:tcPr>
            <w:tcW w:w="2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The Shops at Sunset Place</w:t>
            </w:r>
          </w:p>
        </w:tc>
        <w:tc>
          <w:tcPr>
            <w:tcW w:w="35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South Miami, FL</w:t>
            </w:r>
          </w:p>
        </w:tc>
      </w:tr>
      <w:tr>
        <w:trPr>
          <w:trHeight w:val="237"/>
        </w:trPr>
        <w:tc>
          <w:tcPr>
            <w:tcW w:w="2660" w:type="dxa"/>
            <w:vAlign w:val="bottom"/>
          </w:tcPr>
          <w:p>
            <w:pPr>
              <w:ind w:left="600"/>
              <w:spacing w:after="0"/>
              <w:rPr>
                <w:sz w:val="20"/>
                <w:szCs w:val="20"/>
                <w:color w:val="auto"/>
              </w:rPr>
            </w:pPr>
            <w:r>
              <w:rPr>
                <w:rFonts w:ascii="Arial" w:cs="Arial" w:eastAsia="Arial" w:hAnsi="Arial"/>
                <w:sz w:val="16"/>
                <w:szCs w:val="16"/>
                <w:b w:val="1"/>
                <w:bCs w:val="1"/>
                <w:color w:val="auto"/>
              </w:rPr>
              <w:t>Fourth Street</w:t>
            </w:r>
          </w:p>
        </w:tc>
        <w:tc>
          <w:tcPr>
            <w:tcW w:w="2280" w:type="dxa"/>
            <w:vAlign w:val="bottom"/>
          </w:tcPr>
          <w:p>
            <w:pPr>
              <w:ind w:left="540"/>
              <w:spacing w:after="0"/>
              <w:rPr>
                <w:sz w:val="20"/>
                <w:szCs w:val="20"/>
                <w:color w:val="auto"/>
              </w:rPr>
            </w:pPr>
            <w:r>
              <w:rPr>
                <w:rFonts w:ascii="Arial" w:cs="Arial" w:eastAsia="Arial" w:hAnsi="Arial"/>
                <w:sz w:val="16"/>
                <w:szCs w:val="16"/>
                <w:color w:val="auto"/>
              </w:rPr>
              <w:t>Berkeley, CA</w:t>
            </w:r>
          </w:p>
        </w:tc>
        <w:tc>
          <w:tcPr>
            <w:tcW w:w="2760" w:type="dxa"/>
            <w:vAlign w:val="bottom"/>
          </w:tcPr>
          <w:p>
            <w:pPr>
              <w:ind w:left="500"/>
              <w:spacing w:after="0"/>
              <w:rPr>
                <w:sz w:val="20"/>
                <w:szCs w:val="20"/>
                <w:color w:val="auto"/>
              </w:rPr>
            </w:pPr>
            <w:r>
              <w:rPr>
                <w:rFonts w:ascii="Arial" w:cs="Arial" w:eastAsia="Arial" w:hAnsi="Arial"/>
                <w:sz w:val="16"/>
                <w:szCs w:val="16"/>
                <w:b w:val="1"/>
                <w:bCs w:val="1"/>
                <w:color w:val="auto"/>
              </w:rPr>
              <w:t>Third Street Promenade</w:t>
            </w:r>
          </w:p>
        </w:tc>
        <w:tc>
          <w:tcPr>
            <w:tcW w:w="3540" w:type="dxa"/>
            <w:vAlign w:val="bottom"/>
          </w:tcPr>
          <w:p>
            <w:pPr>
              <w:ind w:left="440"/>
              <w:spacing w:after="0"/>
              <w:rPr>
                <w:sz w:val="20"/>
                <w:szCs w:val="20"/>
                <w:color w:val="auto"/>
              </w:rPr>
            </w:pPr>
            <w:r>
              <w:rPr>
                <w:rFonts w:ascii="Arial" w:cs="Arial" w:eastAsia="Arial" w:hAnsi="Arial"/>
                <w:sz w:val="16"/>
                <w:szCs w:val="16"/>
                <w:color w:val="auto"/>
              </w:rPr>
              <w:t>Santa Monica, CA</w:t>
            </w:r>
          </w:p>
        </w:tc>
      </w:tr>
      <w:tr>
        <w:trPr>
          <w:trHeight w:val="33"/>
        </w:trPr>
        <w:tc>
          <w:tcPr>
            <w:tcW w:w="26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54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b w:val="1"/>
                <w:bCs w:val="1"/>
                <w:color w:val="auto"/>
              </w:rPr>
              <w:t>Fresh Meadows</w:t>
            </w:r>
          </w:p>
        </w:tc>
        <w:tc>
          <w:tcPr>
            <w:tcW w:w="22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Queens, NY</w:t>
            </w:r>
          </w:p>
        </w:tc>
        <w:tc>
          <w:tcPr>
            <w:tcW w:w="2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Wildwood</w:t>
            </w:r>
          </w:p>
        </w:tc>
        <w:tc>
          <w:tcPr>
            <w:tcW w:w="35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Bethesda, MD</w:t>
            </w:r>
          </w:p>
        </w:tc>
      </w:tr>
      <w:tr>
        <w:trPr>
          <w:trHeight w:val="237"/>
        </w:trPr>
        <w:tc>
          <w:tcPr>
            <w:tcW w:w="2660" w:type="dxa"/>
            <w:vAlign w:val="bottom"/>
          </w:tcPr>
          <w:p>
            <w:pPr>
              <w:ind w:left="600"/>
              <w:spacing w:after="0"/>
              <w:rPr>
                <w:sz w:val="20"/>
                <w:szCs w:val="20"/>
                <w:color w:val="auto"/>
              </w:rPr>
            </w:pPr>
            <w:r>
              <w:rPr>
                <w:rFonts w:ascii="Arial" w:cs="Arial" w:eastAsia="Arial" w:hAnsi="Arial"/>
                <w:sz w:val="16"/>
                <w:szCs w:val="16"/>
                <w:b w:val="1"/>
                <w:bCs w:val="1"/>
                <w:color w:val="auto"/>
              </w:rPr>
              <w:t>Hastings Ranch Plaza</w:t>
            </w:r>
          </w:p>
        </w:tc>
        <w:tc>
          <w:tcPr>
            <w:tcW w:w="2280" w:type="dxa"/>
            <w:vAlign w:val="bottom"/>
          </w:tcPr>
          <w:p>
            <w:pPr>
              <w:ind w:left="540"/>
              <w:spacing w:after="0"/>
              <w:rPr>
                <w:sz w:val="20"/>
                <w:szCs w:val="20"/>
                <w:color w:val="auto"/>
              </w:rPr>
            </w:pPr>
            <w:r>
              <w:rPr>
                <w:rFonts w:ascii="Arial" w:cs="Arial" w:eastAsia="Arial" w:hAnsi="Arial"/>
                <w:sz w:val="16"/>
                <w:szCs w:val="16"/>
                <w:color w:val="auto"/>
              </w:rPr>
              <w:t>Pasadena, CA</w:t>
            </w:r>
          </w:p>
        </w:tc>
        <w:tc>
          <w:tcPr>
            <w:tcW w:w="2760" w:type="dxa"/>
            <w:vAlign w:val="bottom"/>
          </w:tcPr>
          <w:p>
            <w:pPr>
              <w:ind w:left="500"/>
              <w:spacing w:after="0"/>
              <w:rPr>
                <w:sz w:val="20"/>
                <w:szCs w:val="20"/>
                <w:color w:val="auto"/>
              </w:rPr>
            </w:pPr>
            <w:r>
              <w:rPr>
                <w:rFonts w:ascii="Arial" w:cs="Arial" w:eastAsia="Arial" w:hAnsi="Arial"/>
                <w:sz w:val="16"/>
                <w:szCs w:val="16"/>
                <w:b w:val="1"/>
                <w:bCs w:val="1"/>
                <w:color w:val="auto"/>
              </w:rPr>
              <w:t>Willow Grove</w:t>
            </w:r>
          </w:p>
        </w:tc>
        <w:tc>
          <w:tcPr>
            <w:tcW w:w="3540" w:type="dxa"/>
            <w:vAlign w:val="bottom"/>
          </w:tcPr>
          <w:p>
            <w:pPr>
              <w:ind w:left="440"/>
              <w:spacing w:after="0"/>
              <w:rPr>
                <w:sz w:val="20"/>
                <w:szCs w:val="20"/>
                <w:color w:val="auto"/>
              </w:rPr>
            </w:pPr>
            <w:r>
              <w:rPr>
                <w:rFonts w:ascii="Arial" w:cs="Arial" w:eastAsia="Arial" w:hAnsi="Arial"/>
                <w:sz w:val="16"/>
                <w:szCs w:val="16"/>
                <w:color w:val="auto"/>
              </w:rPr>
              <w:t>Willow Grove, PA</w:t>
            </w:r>
          </w:p>
        </w:tc>
      </w:tr>
      <w:tr>
        <w:trPr>
          <w:trHeight w:val="33"/>
        </w:trPr>
        <w:tc>
          <w:tcPr>
            <w:tcW w:w="26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540" w:type="dxa"/>
            <w:vAlign w:val="bottom"/>
          </w:tcPr>
          <w:p>
            <w:pPr>
              <w:spacing w:after="0"/>
              <w:rPr>
                <w:sz w:val="2"/>
                <w:szCs w:val="2"/>
                <w:color w:val="auto"/>
              </w:rPr>
            </w:pPr>
          </w:p>
        </w:tc>
      </w:tr>
      <w:tr>
        <w:trPr>
          <w:trHeight w:val="284"/>
        </w:trPr>
        <w:tc>
          <w:tcPr>
            <w:tcW w:w="266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2760" w:type="dxa"/>
            <w:vAlign w:val="bottom"/>
            <w:shd w:val="clear" w:color="auto" w:fill="CCEEFF"/>
          </w:tcPr>
          <w:p>
            <w:pPr>
              <w:spacing w:after="0"/>
              <w:rPr>
                <w:sz w:val="24"/>
                <w:szCs w:val="24"/>
                <w:color w:val="auto"/>
              </w:rPr>
            </w:pPr>
          </w:p>
        </w:tc>
        <w:tc>
          <w:tcPr>
            <w:tcW w:w="3540" w:type="dxa"/>
            <w:vAlign w:val="bottom"/>
            <w:shd w:val="clear" w:color="auto" w:fill="CCEEFF"/>
          </w:tcPr>
          <w:p>
            <w:pPr>
              <w:spacing w:after="0"/>
              <w:rPr>
                <w:sz w:val="24"/>
                <w:szCs w:val="24"/>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Residential Opportunities - Opportunity to add residential units to existing retail and mixed-use properties.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Barracks Road</w:t>
            </w:r>
          </w:p>
        </w:tc>
        <w:tc>
          <w:tcPr>
            <w:tcW w:w="1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Charlottesville, VA</w:t>
            </w:r>
          </w:p>
        </w:tc>
        <w:tc>
          <w:tcPr>
            <w:tcW w:w="2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Graham Park Plaza</w:t>
            </w:r>
          </w:p>
        </w:tc>
        <w:tc>
          <w:tcPr>
            <w:tcW w:w="3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Falls Church, VA</w:t>
            </w:r>
          </w:p>
        </w:tc>
      </w:tr>
      <w:tr>
        <w:trPr>
          <w:trHeight w:val="237"/>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80" w:type="dxa"/>
            <w:vAlign w:val="bottom"/>
          </w:tcPr>
          <w:p>
            <w:pPr>
              <w:ind w:left="100"/>
              <w:spacing w:after="0"/>
              <w:rPr>
                <w:sz w:val="20"/>
                <w:szCs w:val="20"/>
                <w:color w:val="auto"/>
              </w:rPr>
            </w:pPr>
            <w:r>
              <w:rPr>
                <w:rFonts w:ascii="Arial" w:cs="Arial" w:eastAsia="Arial" w:hAnsi="Arial"/>
                <w:sz w:val="16"/>
                <w:szCs w:val="16"/>
                <w:b w:val="1"/>
                <w:bCs w:val="1"/>
                <w:color w:val="auto"/>
              </w:rPr>
              <w:t>Bala Cynwyd</w:t>
            </w:r>
          </w:p>
        </w:tc>
        <w:tc>
          <w:tcPr>
            <w:tcW w:w="1960" w:type="dxa"/>
            <w:vAlign w:val="bottom"/>
          </w:tcPr>
          <w:p>
            <w:pPr>
              <w:ind w:left="220"/>
              <w:spacing w:after="0"/>
              <w:rPr>
                <w:sz w:val="20"/>
                <w:szCs w:val="20"/>
                <w:color w:val="auto"/>
              </w:rPr>
            </w:pPr>
            <w:r>
              <w:rPr>
                <w:rFonts w:ascii="Arial" w:cs="Arial" w:eastAsia="Arial" w:hAnsi="Arial"/>
                <w:sz w:val="16"/>
                <w:szCs w:val="16"/>
                <w:color w:val="auto"/>
              </w:rPr>
              <w:t>Bala Cynwyd, PA</w:t>
            </w:r>
          </w:p>
        </w:tc>
        <w:tc>
          <w:tcPr>
            <w:tcW w:w="2980" w:type="dxa"/>
            <w:vAlign w:val="bottom"/>
          </w:tcPr>
          <w:p>
            <w:pPr>
              <w:ind w:left="500"/>
              <w:spacing w:after="0"/>
              <w:rPr>
                <w:sz w:val="20"/>
                <w:szCs w:val="20"/>
                <w:color w:val="auto"/>
              </w:rPr>
            </w:pPr>
            <w:r>
              <w:rPr>
                <w:rFonts w:ascii="Arial" w:cs="Arial" w:eastAsia="Arial" w:hAnsi="Arial"/>
                <w:sz w:val="16"/>
                <w:szCs w:val="16"/>
                <w:b w:val="1"/>
                <w:bCs w:val="1"/>
                <w:color w:val="auto"/>
              </w:rPr>
              <w:t>Village at Shirlington</w:t>
            </w:r>
          </w:p>
        </w:tc>
        <w:tc>
          <w:tcPr>
            <w:tcW w:w="3320" w:type="dxa"/>
            <w:vAlign w:val="bottom"/>
          </w:tcPr>
          <w:p>
            <w:pPr>
              <w:ind w:left="220"/>
              <w:spacing w:after="0"/>
              <w:rPr>
                <w:sz w:val="20"/>
                <w:szCs w:val="20"/>
                <w:color w:val="auto"/>
              </w:rPr>
            </w:pPr>
            <w:r>
              <w:rPr>
                <w:rFonts w:ascii="Arial" w:cs="Arial" w:eastAsia="Arial" w:hAnsi="Arial"/>
                <w:sz w:val="16"/>
                <w:szCs w:val="16"/>
                <w:color w:val="auto"/>
              </w:rPr>
              <w:t>Arlington, VA</w:t>
            </w: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560" w:type="dxa"/>
            <w:vAlign w:val="bottom"/>
            <w:gridSpan w:val="2"/>
          </w:tcPr>
          <w:p>
            <w:pPr>
              <w:spacing w:after="0"/>
              <w:rPr>
                <w:sz w:val="2"/>
                <w:szCs w:val="2"/>
                <w:color w:val="auto"/>
              </w:rPr>
            </w:pPr>
          </w:p>
        </w:tc>
        <w:tc>
          <w:tcPr>
            <w:tcW w:w="19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2560" w:type="dxa"/>
            <w:vAlign w:val="bottom"/>
            <w:gridSpan w:val="2"/>
            <w:shd w:val="clear" w:color="auto" w:fill="CCEEFF"/>
          </w:tcPr>
          <w:p>
            <w:pPr>
              <w:spacing w:after="0"/>
              <w:rPr>
                <w:sz w:val="23"/>
                <w:szCs w:val="23"/>
                <w:color w:val="auto"/>
              </w:rPr>
            </w:pPr>
          </w:p>
        </w:tc>
        <w:tc>
          <w:tcPr>
            <w:tcW w:w="1960" w:type="dxa"/>
            <w:vAlign w:val="bottom"/>
            <w:shd w:val="clear" w:color="auto" w:fill="CCEEFF"/>
          </w:tcPr>
          <w:p>
            <w:pPr>
              <w:spacing w:after="0"/>
              <w:rPr>
                <w:sz w:val="23"/>
                <w:szCs w:val="23"/>
                <w:color w:val="auto"/>
              </w:rPr>
            </w:pPr>
          </w:p>
        </w:tc>
        <w:tc>
          <w:tcPr>
            <w:tcW w:w="298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r>
      <w:tr>
        <w:trPr>
          <w:trHeight w:val="223"/>
        </w:trPr>
        <w:tc>
          <w:tcPr>
            <w:tcW w:w="40" w:type="dxa"/>
            <w:vAlign w:val="bottom"/>
          </w:tcPr>
          <w:p>
            <w:pPr>
              <w:spacing w:after="0"/>
              <w:rPr>
                <w:sz w:val="19"/>
                <w:szCs w:val="19"/>
                <w:color w:val="auto"/>
              </w:rPr>
            </w:pPr>
          </w:p>
        </w:tc>
        <w:tc>
          <w:tcPr>
            <w:tcW w:w="2940" w:type="dxa"/>
            <w:vAlign w:val="bottom"/>
            <w:gridSpan w:val="3"/>
          </w:tcPr>
          <w:p>
            <w:pPr>
              <w:spacing w:after="0"/>
              <w:rPr>
                <w:sz w:val="20"/>
                <w:szCs w:val="20"/>
                <w:color w:val="auto"/>
              </w:rPr>
            </w:pPr>
            <w:r>
              <w:rPr>
                <w:rFonts w:ascii="Arial" w:cs="Arial" w:eastAsia="Arial" w:hAnsi="Arial"/>
                <w:sz w:val="16"/>
                <w:szCs w:val="16"/>
                <w:b w:val="1"/>
                <w:bCs w:val="1"/>
                <w:color w:val="auto"/>
              </w:rPr>
              <w:t>Longer Term Mixed-Use Opportunities</w:t>
            </w:r>
          </w:p>
        </w:tc>
        <w:tc>
          <w:tcPr>
            <w:tcW w:w="19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320" w:type="dxa"/>
            <w:vAlign w:val="bottom"/>
          </w:tcPr>
          <w:p>
            <w:pPr>
              <w:spacing w:after="0"/>
              <w:rPr>
                <w:sz w:val="19"/>
                <w:szCs w:val="19"/>
                <w:color w:val="auto"/>
              </w:rPr>
            </w:pP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Assembly Row (1)</w:t>
            </w:r>
          </w:p>
        </w:tc>
        <w:tc>
          <w:tcPr>
            <w:tcW w:w="1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Somerville, MA</w:t>
            </w:r>
          </w:p>
        </w:tc>
        <w:tc>
          <w:tcPr>
            <w:tcW w:w="2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Pike &amp; Rose (2)</w:t>
            </w:r>
          </w:p>
        </w:tc>
        <w:tc>
          <w:tcPr>
            <w:tcW w:w="3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North Bethesda, MD</w:t>
            </w:r>
          </w:p>
        </w:tc>
      </w:tr>
      <w:tr>
        <w:trPr>
          <w:trHeight w:val="237"/>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80" w:type="dxa"/>
            <w:vAlign w:val="bottom"/>
          </w:tcPr>
          <w:p>
            <w:pPr>
              <w:ind w:left="100"/>
              <w:spacing w:after="0"/>
              <w:rPr>
                <w:sz w:val="20"/>
                <w:szCs w:val="20"/>
                <w:color w:val="auto"/>
              </w:rPr>
            </w:pPr>
            <w:r>
              <w:rPr>
                <w:rFonts w:ascii="Arial" w:cs="Arial" w:eastAsia="Arial" w:hAnsi="Arial"/>
                <w:sz w:val="16"/>
                <w:szCs w:val="16"/>
                <w:b w:val="1"/>
                <w:bCs w:val="1"/>
                <w:color w:val="auto"/>
              </w:rPr>
              <w:t>Bala Cynwyd</w:t>
            </w:r>
          </w:p>
        </w:tc>
        <w:tc>
          <w:tcPr>
            <w:tcW w:w="1960" w:type="dxa"/>
            <w:vAlign w:val="bottom"/>
          </w:tcPr>
          <w:p>
            <w:pPr>
              <w:ind w:left="220"/>
              <w:spacing w:after="0"/>
              <w:rPr>
                <w:sz w:val="20"/>
                <w:szCs w:val="20"/>
                <w:color w:val="auto"/>
              </w:rPr>
            </w:pPr>
            <w:r>
              <w:rPr>
                <w:rFonts w:ascii="Arial" w:cs="Arial" w:eastAsia="Arial" w:hAnsi="Arial"/>
                <w:sz w:val="16"/>
                <w:szCs w:val="16"/>
                <w:color w:val="auto"/>
              </w:rPr>
              <w:t>Bala Cynwyd, PA</w:t>
            </w:r>
          </w:p>
        </w:tc>
        <w:tc>
          <w:tcPr>
            <w:tcW w:w="2980" w:type="dxa"/>
            <w:vAlign w:val="bottom"/>
          </w:tcPr>
          <w:p>
            <w:pPr>
              <w:ind w:left="500"/>
              <w:spacing w:after="0"/>
              <w:rPr>
                <w:sz w:val="20"/>
                <w:szCs w:val="20"/>
                <w:color w:val="auto"/>
              </w:rPr>
            </w:pPr>
            <w:r>
              <w:rPr>
                <w:rFonts w:ascii="Arial" w:cs="Arial" w:eastAsia="Arial" w:hAnsi="Arial"/>
                <w:sz w:val="16"/>
                <w:szCs w:val="16"/>
                <w:b w:val="1"/>
                <w:bCs w:val="1"/>
                <w:color w:val="auto"/>
              </w:rPr>
              <w:t>Santana Row (3)</w:t>
            </w:r>
          </w:p>
        </w:tc>
        <w:tc>
          <w:tcPr>
            <w:tcW w:w="3320" w:type="dxa"/>
            <w:vAlign w:val="bottom"/>
          </w:tcPr>
          <w:p>
            <w:pPr>
              <w:ind w:left="220"/>
              <w:spacing w:after="0"/>
              <w:rPr>
                <w:sz w:val="20"/>
                <w:szCs w:val="20"/>
                <w:color w:val="auto"/>
              </w:rPr>
            </w:pPr>
            <w:r>
              <w:rPr>
                <w:rFonts w:ascii="Arial" w:cs="Arial" w:eastAsia="Arial" w:hAnsi="Arial"/>
                <w:sz w:val="16"/>
                <w:szCs w:val="16"/>
                <w:color w:val="auto"/>
              </w:rPr>
              <w:t>San Jose, CA</w:t>
            </w: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Pike 7 Plaza</w:t>
            </w:r>
          </w:p>
        </w:tc>
        <w:tc>
          <w:tcPr>
            <w:tcW w:w="1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Vienna, VA</w:t>
            </w:r>
          </w:p>
        </w:tc>
        <w:tc>
          <w:tcPr>
            <w:tcW w:w="2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Santana Row - Santana West (3)</w:t>
            </w:r>
          </w:p>
        </w:tc>
        <w:tc>
          <w:tcPr>
            <w:tcW w:w="3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San Jose, CA</w:t>
            </w:r>
          </w:p>
        </w:tc>
      </w:tr>
      <w:tr>
        <w:trPr>
          <w:trHeight w:val="270"/>
        </w:trPr>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3320" w:type="dxa"/>
            <w:vAlign w:val="bottom"/>
          </w:tcPr>
          <w:p>
            <w:pPr>
              <w:spacing w:after="0"/>
              <w:rPr>
                <w:sz w:val="23"/>
                <w:szCs w:val="2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w w:val="88"/>
              </w:rPr>
              <w:t>Notes:</w:t>
            </w:r>
          </w:p>
        </w:tc>
        <w:tc>
          <w:tcPr>
            <w:tcW w:w="8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shd w:val="clear" w:color="auto" w:fill="CCEEFF"/>
          </w:tcPr>
          <w:p>
            <w:pPr>
              <w:spacing w:after="0"/>
              <w:rPr>
                <w:sz w:val="21"/>
                <w:szCs w:val="21"/>
                <w:color w:val="auto"/>
              </w:rPr>
            </w:pPr>
          </w:p>
        </w:tc>
      </w:tr>
      <w:tr>
        <w:trPr>
          <w:trHeight w:val="157"/>
        </w:trPr>
        <w:tc>
          <w:tcPr>
            <w:tcW w:w="4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3"/>
                <w:szCs w:val="13"/>
                <w:color w:val="auto"/>
              </w:rPr>
            </w:pPr>
          </w:p>
        </w:tc>
        <w:tc>
          <w:tcPr>
            <w:tcW w:w="2480" w:type="dxa"/>
            <w:vAlign w:val="bottom"/>
          </w:tcPr>
          <w:p>
            <w:pPr>
              <w:ind w:left="100"/>
              <w:spacing w:after="0" w:line="157" w:lineRule="exact"/>
              <w:rPr>
                <w:sz w:val="20"/>
                <w:szCs w:val="20"/>
                <w:color w:val="auto"/>
              </w:rPr>
            </w:pPr>
            <w:r>
              <w:rPr>
                <w:rFonts w:ascii="Arial" w:cs="Arial" w:eastAsia="Arial" w:hAnsi="Arial"/>
                <w:sz w:val="14"/>
                <w:szCs w:val="14"/>
                <w:color w:val="auto"/>
              </w:rPr>
              <w:t>Assembly Row</w:t>
            </w:r>
          </w:p>
        </w:tc>
        <w:tc>
          <w:tcPr>
            <w:tcW w:w="8260" w:type="dxa"/>
            <w:vAlign w:val="bottom"/>
            <w:gridSpan w:val="3"/>
          </w:tcPr>
          <w:p>
            <w:pPr>
              <w:ind w:left="220"/>
              <w:spacing w:after="0" w:line="157" w:lineRule="exact"/>
              <w:rPr>
                <w:sz w:val="20"/>
                <w:szCs w:val="20"/>
                <w:color w:val="auto"/>
              </w:rPr>
            </w:pPr>
            <w:r>
              <w:rPr>
                <w:rFonts w:ascii="Arial" w:cs="Arial" w:eastAsia="Arial" w:hAnsi="Arial"/>
                <w:sz w:val="14"/>
                <w:szCs w:val="14"/>
                <w:color w:val="auto"/>
                <w:w w:val="98"/>
              </w:rPr>
              <w:t>Remaining entitlements after Phase III include approximately 1.5 million square feet of commercial-use buildings and 329 residential</w:t>
            </w:r>
          </w:p>
        </w:tc>
      </w:tr>
      <w:tr>
        <w:trPr>
          <w:trHeight w:val="188"/>
        </w:trPr>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960" w:type="dxa"/>
            <w:vAlign w:val="bottom"/>
          </w:tcPr>
          <w:p>
            <w:pPr>
              <w:ind w:left="220"/>
              <w:spacing w:after="0"/>
              <w:rPr>
                <w:sz w:val="20"/>
                <w:szCs w:val="20"/>
                <w:color w:val="auto"/>
              </w:rPr>
            </w:pPr>
            <w:r>
              <w:rPr>
                <w:rFonts w:ascii="Arial" w:cs="Arial" w:eastAsia="Arial" w:hAnsi="Arial"/>
                <w:sz w:val="14"/>
                <w:szCs w:val="14"/>
                <w:color w:val="auto"/>
              </w:rPr>
              <w:t>units.</w:t>
            </w:r>
          </w:p>
        </w:tc>
        <w:tc>
          <w:tcPr>
            <w:tcW w:w="2980" w:type="dxa"/>
            <w:vAlign w:val="bottom"/>
          </w:tcPr>
          <w:p>
            <w:pPr>
              <w:spacing w:after="0"/>
              <w:rPr>
                <w:sz w:val="16"/>
                <w:szCs w:val="16"/>
                <w:color w:val="auto"/>
              </w:rPr>
            </w:pPr>
          </w:p>
        </w:tc>
        <w:tc>
          <w:tcPr>
            <w:tcW w:w="3320" w:type="dxa"/>
            <w:vAlign w:val="bottom"/>
          </w:tcPr>
          <w:p>
            <w:pPr>
              <w:spacing w:after="0"/>
              <w:rPr>
                <w:sz w:val="16"/>
                <w:szCs w:val="16"/>
                <w:color w:val="auto"/>
              </w:rPr>
            </w:pPr>
          </w:p>
        </w:tc>
      </w:tr>
      <w:tr>
        <w:trPr>
          <w:trHeight w:val="208"/>
        </w:trPr>
        <w:tc>
          <w:tcPr>
            <w:tcW w:w="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8"/>
                <w:szCs w:val="18"/>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Pike &amp; Rose</w:t>
            </w:r>
          </w:p>
        </w:tc>
        <w:tc>
          <w:tcPr>
            <w:tcW w:w="826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w w:val="94"/>
              </w:rPr>
              <w:t>Remaining entitlements after Phase III include approximately 740,000 square feet of commercial-use buildings, and 741 residential units.</w:t>
            </w:r>
          </w:p>
        </w:tc>
      </w:tr>
      <w:tr>
        <w:trPr>
          <w:trHeight w:val="157"/>
        </w:trPr>
        <w:tc>
          <w:tcPr>
            <w:tcW w:w="4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3"/>
                <w:szCs w:val="13"/>
                <w:color w:val="auto"/>
              </w:rPr>
            </w:pPr>
          </w:p>
        </w:tc>
        <w:tc>
          <w:tcPr>
            <w:tcW w:w="2480" w:type="dxa"/>
            <w:vAlign w:val="bottom"/>
          </w:tcPr>
          <w:p>
            <w:pPr>
              <w:ind w:left="100"/>
              <w:spacing w:after="0" w:line="157" w:lineRule="exact"/>
              <w:rPr>
                <w:sz w:val="20"/>
                <w:szCs w:val="20"/>
                <w:color w:val="auto"/>
              </w:rPr>
            </w:pPr>
            <w:r>
              <w:rPr>
                <w:rFonts w:ascii="Arial" w:cs="Arial" w:eastAsia="Arial" w:hAnsi="Arial"/>
                <w:sz w:val="14"/>
                <w:szCs w:val="14"/>
                <w:color w:val="auto"/>
              </w:rPr>
              <w:t>Santana Row</w:t>
            </w:r>
          </w:p>
        </w:tc>
        <w:tc>
          <w:tcPr>
            <w:tcW w:w="8260" w:type="dxa"/>
            <w:vAlign w:val="bottom"/>
            <w:gridSpan w:val="3"/>
          </w:tcPr>
          <w:p>
            <w:pPr>
              <w:ind w:left="220"/>
              <w:spacing w:after="0" w:line="157" w:lineRule="exact"/>
              <w:rPr>
                <w:sz w:val="20"/>
                <w:szCs w:val="20"/>
                <w:color w:val="auto"/>
              </w:rPr>
            </w:pPr>
            <w:r>
              <w:rPr>
                <w:rFonts w:ascii="Arial" w:cs="Arial" w:eastAsia="Arial" w:hAnsi="Arial"/>
                <w:sz w:val="14"/>
                <w:szCs w:val="14"/>
                <w:color w:val="auto"/>
              </w:rPr>
              <w:t>Remaining entitlements include approximately 321,000 square feet of commercial space and 395 residential units, as well as</w:t>
            </w:r>
          </w:p>
        </w:tc>
      </w:tr>
      <w:tr>
        <w:trPr>
          <w:trHeight w:val="182"/>
        </w:trPr>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8260" w:type="dxa"/>
            <w:vAlign w:val="bottom"/>
            <w:gridSpan w:val="3"/>
          </w:tcPr>
          <w:p>
            <w:pPr>
              <w:ind w:left="220"/>
              <w:spacing w:after="0"/>
              <w:rPr>
                <w:sz w:val="20"/>
                <w:szCs w:val="20"/>
                <w:color w:val="auto"/>
              </w:rPr>
            </w:pPr>
            <w:r>
              <w:rPr>
                <w:rFonts w:ascii="Arial" w:cs="Arial" w:eastAsia="Arial" w:hAnsi="Arial"/>
                <w:sz w:val="14"/>
                <w:szCs w:val="14"/>
                <w:color w:val="auto"/>
              </w:rPr>
              <w:t>approximately 604,000 square feet of commercial space on land we control across from Santana Row.</w:t>
            </w:r>
          </w:p>
        </w:tc>
      </w:tr>
      <w:tr>
        <w:trPr>
          <w:trHeight w:val="444"/>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980" w:type="dxa"/>
            <w:vAlign w:val="bottom"/>
          </w:tcPr>
          <w:p>
            <w:pPr>
              <w:ind w:left="600"/>
              <w:spacing w:after="0"/>
              <w:rPr>
                <w:sz w:val="20"/>
                <w:szCs w:val="20"/>
                <w:color w:val="auto"/>
              </w:rPr>
            </w:pPr>
            <w:r>
              <w:rPr>
                <w:rFonts w:ascii="Arial" w:cs="Arial" w:eastAsia="Arial" w:hAnsi="Arial"/>
                <w:sz w:val="18"/>
                <w:szCs w:val="18"/>
                <w:color w:val="auto"/>
              </w:rPr>
              <w:t>18</w:t>
            </w:r>
          </w:p>
        </w:tc>
        <w:tc>
          <w:tcPr>
            <w:tcW w:w="3320" w:type="dxa"/>
            <w:vAlign w:val="bottom"/>
          </w:tcPr>
          <w:p>
            <w:pPr>
              <w:spacing w:after="0"/>
              <w:rPr>
                <w:sz w:val="24"/>
                <w:szCs w:val="24"/>
                <w:color w:val="auto"/>
              </w:rPr>
            </w:pPr>
          </w:p>
        </w:tc>
      </w:tr>
    </w:tbl>
    <w:p>
      <w:pPr>
        <w:sectPr>
          <w:pgSz w:w="11900" w:h="16838" w:orient="portrait"/>
          <w:cols w:equalWidth="0" w:num="1">
            <w:col w:w="11240"/>
          </w:cols>
          <w:pgMar w:left="320" w:top="720" w:right="339" w:bottom="1440" w:gutter="0" w:footer="0" w:header="0"/>
        </w:sectPr>
      </w:pPr>
    </w:p>
    <w:bookmarkStart w:id="21" w:name="page22"/>
    <w:bookmarkEnd w:id="2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Significant Property Acquisitions &amp; Disposition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2020</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Significant Acquisitions</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1460" w:type="dxa"/>
            <w:vAlign w:val="bottom"/>
          </w:tcPr>
          <w:p>
            <w:pPr>
              <w:ind w:left="20"/>
              <w:spacing w:after="0"/>
              <w:rPr>
                <w:sz w:val="20"/>
                <w:szCs w:val="20"/>
                <w:color w:val="auto"/>
              </w:rPr>
            </w:pPr>
            <w:r>
              <w:rPr>
                <w:rFonts w:ascii="Arial" w:cs="Arial" w:eastAsia="Arial" w:hAnsi="Arial"/>
                <w:sz w:val="16"/>
                <w:szCs w:val="16"/>
                <w:b w:val="1"/>
                <w:bCs w:val="1"/>
                <w:color w:val="auto"/>
              </w:rPr>
              <w:t>Date</w:t>
            </w:r>
          </w:p>
        </w:tc>
        <w:tc>
          <w:tcPr>
            <w:tcW w:w="2200" w:type="dxa"/>
            <w:vAlign w:val="bottom"/>
          </w:tcPr>
          <w:p>
            <w:pPr>
              <w:ind w:left="20"/>
              <w:spacing w:after="0"/>
              <w:rPr>
                <w:sz w:val="20"/>
                <w:szCs w:val="20"/>
                <w:color w:val="auto"/>
              </w:rPr>
            </w:pPr>
            <w:r>
              <w:rPr>
                <w:rFonts w:ascii="Arial" w:cs="Arial" w:eastAsia="Arial" w:hAnsi="Arial"/>
                <w:sz w:val="16"/>
                <w:szCs w:val="16"/>
                <w:b w:val="1"/>
                <w:bCs w:val="1"/>
                <w:color w:val="auto"/>
              </w:rPr>
              <w:t>Property</w:t>
            </w:r>
          </w:p>
        </w:tc>
        <w:tc>
          <w:tcPr>
            <w:tcW w:w="2240" w:type="dxa"/>
            <w:vAlign w:val="bottom"/>
          </w:tcPr>
          <w:p>
            <w:pPr>
              <w:ind w:left="400"/>
              <w:spacing w:after="0"/>
              <w:rPr>
                <w:sz w:val="20"/>
                <w:szCs w:val="20"/>
                <w:color w:val="auto"/>
              </w:rPr>
            </w:pPr>
            <w:r>
              <w:rPr>
                <w:rFonts w:ascii="Arial" w:cs="Arial" w:eastAsia="Arial" w:hAnsi="Arial"/>
                <w:sz w:val="16"/>
                <w:szCs w:val="16"/>
                <w:b w:val="1"/>
                <w:bCs w:val="1"/>
                <w:color w:val="auto"/>
              </w:rPr>
              <w:t>City/State</w:t>
            </w:r>
          </w:p>
        </w:tc>
        <w:tc>
          <w:tcPr>
            <w:tcW w:w="1360" w:type="dxa"/>
            <w:vAlign w:val="bottom"/>
          </w:tcPr>
          <w:p>
            <w:pPr>
              <w:jc w:val="right"/>
              <w:ind w:right="319"/>
              <w:spacing w:after="0"/>
              <w:rPr>
                <w:sz w:val="20"/>
                <w:szCs w:val="20"/>
                <w:color w:val="auto"/>
              </w:rPr>
            </w:pPr>
            <w:r>
              <w:rPr>
                <w:rFonts w:ascii="Arial" w:cs="Arial" w:eastAsia="Arial" w:hAnsi="Arial"/>
                <w:sz w:val="16"/>
                <w:szCs w:val="16"/>
                <w:b w:val="1"/>
                <w:bCs w:val="1"/>
                <w:color w:val="auto"/>
              </w:rPr>
              <w:t>GLA</w:t>
            </w:r>
          </w:p>
        </w:tc>
        <w:tc>
          <w:tcPr>
            <w:tcW w:w="20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w w:val="91"/>
              </w:rPr>
              <w:t>Purchase Price</w:t>
            </w:r>
          </w:p>
        </w:tc>
        <w:tc>
          <w:tcPr>
            <w:tcW w:w="1880" w:type="dxa"/>
            <w:vAlign w:val="bottom"/>
          </w:tcPr>
          <w:p>
            <w:pPr>
              <w:ind w:left="440"/>
              <w:spacing w:after="0"/>
              <w:rPr>
                <w:sz w:val="20"/>
                <w:szCs w:val="20"/>
                <w:color w:val="auto"/>
              </w:rPr>
            </w:pPr>
            <w:r>
              <w:rPr>
                <w:rFonts w:ascii="Arial" w:cs="Arial" w:eastAsia="Arial" w:hAnsi="Arial"/>
                <w:sz w:val="16"/>
                <w:szCs w:val="16"/>
                <w:b w:val="1"/>
                <w:bCs w:val="1"/>
                <w:color w:val="auto"/>
              </w:rPr>
              <w:t>Principal Tenants</w:t>
            </w:r>
          </w:p>
        </w:tc>
        <w:tc>
          <w:tcPr>
            <w:tcW w:w="620" w:type="dxa"/>
            <w:vAlign w:val="bottom"/>
          </w:tcPr>
          <w:p>
            <w:pPr>
              <w:spacing w:after="0"/>
              <w:rPr>
                <w:sz w:val="18"/>
                <w:szCs w:val="18"/>
                <w:color w:val="auto"/>
              </w:rPr>
            </w:pPr>
          </w:p>
        </w:tc>
      </w:tr>
      <w:tr>
        <w:trPr>
          <w:trHeight w:val="33"/>
        </w:trPr>
        <w:tc>
          <w:tcPr>
            <w:tcW w:w="14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8"/>
        </w:trPr>
        <w:tc>
          <w:tcPr>
            <w:tcW w:w="146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4"/>
                <w:szCs w:val="14"/>
                <w:b w:val="1"/>
                <w:bCs w:val="1"/>
                <w:color w:val="auto"/>
              </w:rPr>
              <w:t>(in square feet)</w:t>
            </w:r>
          </w:p>
        </w:tc>
        <w:tc>
          <w:tcPr>
            <w:tcW w:w="200" w:type="dxa"/>
            <w:vAlign w:val="bottom"/>
          </w:tcPr>
          <w:p>
            <w:pPr>
              <w:spacing w:after="0"/>
              <w:rPr>
                <w:sz w:val="22"/>
                <w:szCs w:val="22"/>
                <w:color w:val="auto"/>
              </w:rPr>
            </w:pPr>
          </w:p>
        </w:tc>
        <w:tc>
          <w:tcPr>
            <w:tcW w:w="1240" w:type="dxa"/>
            <w:vAlign w:val="bottom"/>
          </w:tcPr>
          <w:p>
            <w:pPr>
              <w:jc w:val="right"/>
              <w:ind w:right="219"/>
              <w:spacing w:after="0"/>
              <w:rPr>
                <w:sz w:val="20"/>
                <w:szCs w:val="20"/>
                <w:color w:val="auto"/>
              </w:rPr>
            </w:pPr>
            <w:r>
              <w:rPr>
                <w:rFonts w:ascii="Arial" w:cs="Arial" w:eastAsia="Arial" w:hAnsi="Arial"/>
                <w:sz w:val="14"/>
                <w:szCs w:val="14"/>
                <w:b w:val="1"/>
                <w:bCs w:val="1"/>
                <w:color w:val="auto"/>
              </w:rPr>
              <w:t>(in millions)</w:t>
            </w:r>
          </w:p>
        </w:tc>
        <w:tc>
          <w:tcPr>
            <w:tcW w:w="18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42"/>
        </w:trPr>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January 10, 2020</w:t>
            </w:r>
          </w:p>
        </w:tc>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Westfair Shopping Center</w:t>
            </w:r>
          </w:p>
        </w:tc>
        <w:tc>
          <w:tcPr>
            <w:tcW w:w="22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7"/>
                <w:szCs w:val="17"/>
                <w:color w:val="auto"/>
              </w:rPr>
              <w:t>Fairfax, Virginia</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18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Guitar Center</w:t>
            </w:r>
          </w:p>
        </w:tc>
        <w:tc>
          <w:tcPr>
            <w:tcW w:w="6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(1)</w:t>
            </w:r>
          </w:p>
        </w:tc>
      </w:tr>
      <w:tr>
        <w:trPr>
          <w:trHeight w:val="239"/>
        </w:trPr>
        <w:tc>
          <w:tcPr>
            <w:tcW w:w="1460" w:type="dxa"/>
            <w:vAlign w:val="bottom"/>
          </w:tcPr>
          <w:p>
            <w:pPr>
              <w:ind w:left="20"/>
              <w:spacing w:after="0"/>
              <w:rPr>
                <w:sz w:val="20"/>
                <w:szCs w:val="20"/>
                <w:color w:val="auto"/>
              </w:rPr>
            </w:pPr>
            <w:r>
              <w:rPr>
                <w:rFonts w:ascii="Arial" w:cs="Arial" w:eastAsia="Arial" w:hAnsi="Arial"/>
                <w:sz w:val="17"/>
                <w:szCs w:val="17"/>
                <w:color w:val="auto"/>
              </w:rPr>
              <w:t>February 12, 2020</w:t>
            </w:r>
          </w:p>
        </w:tc>
        <w:tc>
          <w:tcPr>
            <w:tcW w:w="2200" w:type="dxa"/>
            <w:vAlign w:val="bottom"/>
          </w:tcPr>
          <w:p>
            <w:pPr>
              <w:ind w:left="20"/>
              <w:spacing w:after="0"/>
              <w:rPr>
                <w:sz w:val="20"/>
                <w:szCs w:val="20"/>
                <w:color w:val="auto"/>
              </w:rPr>
            </w:pPr>
            <w:r>
              <w:rPr>
                <w:rFonts w:ascii="Arial" w:cs="Arial" w:eastAsia="Arial" w:hAnsi="Arial"/>
                <w:sz w:val="17"/>
                <w:szCs w:val="17"/>
                <w:color w:val="auto"/>
              </w:rPr>
              <w:t>Hoboken (2 buildings)</w:t>
            </w:r>
          </w:p>
        </w:tc>
        <w:tc>
          <w:tcPr>
            <w:tcW w:w="2240" w:type="dxa"/>
            <w:vAlign w:val="bottom"/>
          </w:tcPr>
          <w:p>
            <w:pPr>
              <w:ind w:left="400"/>
              <w:spacing w:after="0"/>
              <w:rPr>
                <w:sz w:val="20"/>
                <w:szCs w:val="20"/>
                <w:color w:val="auto"/>
              </w:rPr>
            </w:pPr>
            <w:r>
              <w:rPr>
                <w:rFonts w:ascii="Arial" w:cs="Arial" w:eastAsia="Arial" w:hAnsi="Arial"/>
                <w:sz w:val="17"/>
                <w:szCs w:val="17"/>
                <w:color w:val="auto"/>
              </w:rPr>
              <w:t>Hoboken, New Jersey</w:t>
            </w:r>
          </w:p>
        </w:tc>
        <w:tc>
          <w:tcPr>
            <w:tcW w:w="1360" w:type="dxa"/>
            <w:vAlign w:val="bottom"/>
          </w:tcPr>
          <w:p>
            <w:pPr>
              <w:jc w:val="right"/>
              <w:spacing w:after="0"/>
              <w:rPr>
                <w:sz w:val="20"/>
                <w:szCs w:val="20"/>
                <w:color w:val="auto"/>
              </w:rPr>
            </w:pPr>
            <w:r>
              <w:rPr>
                <w:rFonts w:ascii="Arial" w:cs="Arial" w:eastAsia="Arial" w:hAnsi="Arial"/>
                <w:sz w:val="17"/>
                <w:szCs w:val="17"/>
                <w:color w:val="auto"/>
              </w:rPr>
              <w:t>12,000</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14.3</w:t>
            </w:r>
          </w:p>
        </w:tc>
        <w:tc>
          <w:tcPr>
            <w:tcW w:w="1880" w:type="dxa"/>
            <w:vAlign w:val="bottom"/>
          </w:tcPr>
          <w:p>
            <w:pPr>
              <w:spacing w:after="0"/>
              <w:rPr>
                <w:sz w:val="20"/>
                <w:szCs w:val="20"/>
                <w:color w:val="auto"/>
              </w:rPr>
            </w:pPr>
          </w:p>
        </w:tc>
        <w:tc>
          <w:tcPr>
            <w:tcW w:w="620" w:type="dxa"/>
            <w:vAlign w:val="bottom"/>
          </w:tcPr>
          <w:p>
            <w:pPr>
              <w:jc w:val="right"/>
              <w:ind w:right="135"/>
              <w:spacing w:after="0"/>
              <w:rPr>
                <w:sz w:val="20"/>
                <w:szCs w:val="20"/>
                <w:color w:val="auto"/>
              </w:rPr>
            </w:pPr>
            <w:r>
              <w:rPr>
                <w:rFonts w:ascii="Arial" w:cs="Arial" w:eastAsia="Arial" w:hAnsi="Arial"/>
                <w:sz w:val="17"/>
                <w:szCs w:val="17"/>
                <w:color w:val="auto"/>
              </w:rPr>
              <w:t>(2)</w:t>
            </w:r>
          </w:p>
        </w:tc>
      </w:tr>
      <w:tr>
        <w:trPr>
          <w:trHeight w:val="31"/>
        </w:trPr>
        <w:tc>
          <w:tcPr>
            <w:tcW w:w="1460" w:type="dxa"/>
            <w:vAlign w:val="bottom"/>
            <w:tcBorders>
              <w:bottom w:val="single" w:sz="8" w:color="auto"/>
            </w:tcBorders>
          </w:tcPr>
          <w:p>
            <w:pPr>
              <w:spacing w:after="0"/>
              <w:rPr>
                <w:sz w:val="2"/>
                <w:szCs w:val="2"/>
                <w:color w:val="auto"/>
              </w:rPr>
            </w:pPr>
          </w:p>
        </w:tc>
        <w:tc>
          <w:tcPr>
            <w:tcW w:w="22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20" w:type="dxa"/>
            <w:vAlign w:val="bottom"/>
          </w:tcPr>
          <w:p>
            <w:pPr>
              <w:spacing w:after="0"/>
              <w:rPr>
                <w:sz w:val="2"/>
                <w:szCs w:val="2"/>
                <w:color w:val="auto"/>
              </w:rPr>
            </w:pPr>
          </w:p>
        </w:tc>
      </w:tr>
    </w:tbl>
    <w:p>
      <w:pPr>
        <w:spacing w:after="0" w:line="144" w:lineRule="exact"/>
        <w:rPr>
          <w:sz w:val="20"/>
          <w:szCs w:val="20"/>
          <w:color w:val="auto"/>
        </w:rPr>
      </w:pPr>
    </w:p>
    <w:p>
      <w:pPr>
        <w:ind w:left="260" w:right="340" w:hanging="252"/>
        <w:spacing w:after="0" w:line="257" w:lineRule="auto"/>
        <w:tabs>
          <w:tab w:leader="none" w:pos="259"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This acquisition was primarily funded by 163,322 downREIT operating partnership units. This property is adjacent to, and is operated as part of our Fairfax Junction property.</w:t>
      </w:r>
    </w:p>
    <w:p>
      <w:pPr>
        <w:ind w:left="260" w:right="80" w:hanging="252"/>
        <w:spacing w:after="0" w:line="252" w:lineRule="auto"/>
        <w:tabs>
          <w:tab w:leader="none" w:pos="259"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This acquisition is in addition to the 37 buildings previously acquired, and was completed through the joint venture that was formed in 2019, for which we own a 90% interest. The purchase price includes the assumption of $8.9 million of mortgage debt. These buildings include 6 residential units in addition to the commercial GLA listed above.</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Significant Disposition</w:t>
      </w:r>
    </w:p>
    <w:p>
      <w:pPr>
        <w:spacing w:after="0" w:line="351" w:lineRule="exact"/>
        <w:rPr>
          <w:sz w:val="20"/>
          <w:szCs w:val="20"/>
          <w:color w:val="auto"/>
        </w:rPr>
      </w:pPr>
    </w:p>
    <w:tbl>
      <w:tblPr>
        <w:tblLayout w:type="fixed"/>
        <w:tblInd w:w="260" w:type="dxa"/>
        <w:tblCellMar>
          <w:top w:w="0" w:type="dxa"/>
          <w:left w:w="0" w:type="dxa"/>
          <w:bottom w:w="0" w:type="dxa"/>
          <w:right w:w="0" w:type="dxa"/>
        </w:tblCellMar>
      </w:tblPr>
      <w:tr>
        <w:trPr>
          <w:trHeight w:val="210"/>
        </w:trPr>
        <w:tc>
          <w:tcPr>
            <w:tcW w:w="1340" w:type="dxa"/>
            <w:vAlign w:val="bottom"/>
          </w:tcPr>
          <w:p>
            <w:pPr>
              <w:ind w:left="20"/>
              <w:spacing w:after="0"/>
              <w:rPr>
                <w:sz w:val="20"/>
                <w:szCs w:val="20"/>
                <w:color w:val="auto"/>
              </w:rPr>
            </w:pPr>
            <w:r>
              <w:rPr>
                <w:rFonts w:ascii="Arial" w:cs="Arial" w:eastAsia="Arial" w:hAnsi="Arial"/>
                <w:sz w:val="16"/>
                <w:szCs w:val="16"/>
                <w:b w:val="1"/>
                <w:bCs w:val="1"/>
                <w:color w:val="auto"/>
              </w:rPr>
              <w:t>Date</w:t>
            </w:r>
          </w:p>
        </w:tc>
        <w:tc>
          <w:tcPr>
            <w:tcW w:w="2480" w:type="dxa"/>
            <w:vAlign w:val="bottom"/>
          </w:tcPr>
          <w:p>
            <w:pPr>
              <w:ind w:left="340"/>
              <w:spacing w:after="0"/>
              <w:rPr>
                <w:sz w:val="20"/>
                <w:szCs w:val="20"/>
                <w:color w:val="auto"/>
              </w:rPr>
            </w:pPr>
            <w:r>
              <w:rPr>
                <w:rFonts w:ascii="Arial" w:cs="Arial" w:eastAsia="Arial" w:hAnsi="Arial"/>
                <w:sz w:val="16"/>
                <w:szCs w:val="16"/>
                <w:b w:val="1"/>
                <w:bCs w:val="1"/>
                <w:color w:val="auto"/>
              </w:rPr>
              <w:t>Property</w:t>
            </w:r>
          </w:p>
        </w:tc>
        <w:tc>
          <w:tcPr>
            <w:tcW w:w="2580" w:type="dxa"/>
            <w:vAlign w:val="bottom"/>
          </w:tcPr>
          <w:p>
            <w:pPr>
              <w:ind w:left="280"/>
              <w:spacing w:after="0"/>
              <w:rPr>
                <w:sz w:val="20"/>
                <w:szCs w:val="20"/>
                <w:color w:val="auto"/>
              </w:rPr>
            </w:pPr>
            <w:r>
              <w:rPr>
                <w:rFonts w:ascii="Arial" w:cs="Arial" w:eastAsia="Arial" w:hAnsi="Arial"/>
                <w:sz w:val="16"/>
                <w:szCs w:val="16"/>
                <w:b w:val="1"/>
                <w:bCs w:val="1"/>
                <w:color w:val="auto"/>
              </w:rPr>
              <w:t>City/State</w:t>
            </w:r>
          </w:p>
        </w:tc>
        <w:tc>
          <w:tcPr>
            <w:tcW w:w="1080" w:type="dxa"/>
            <w:vAlign w:val="bottom"/>
          </w:tcPr>
          <w:p>
            <w:pPr>
              <w:spacing w:after="0"/>
              <w:rPr>
                <w:sz w:val="18"/>
                <w:szCs w:val="18"/>
                <w:color w:val="auto"/>
              </w:rPr>
            </w:pPr>
          </w:p>
        </w:tc>
        <w:tc>
          <w:tcPr>
            <w:tcW w:w="3500" w:type="dxa"/>
            <w:vAlign w:val="bottom"/>
          </w:tcPr>
          <w:p>
            <w:pPr>
              <w:ind w:left="120"/>
              <w:spacing w:after="0"/>
              <w:rPr>
                <w:sz w:val="20"/>
                <w:szCs w:val="20"/>
                <w:color w:val="auto"/>
              </w:rPr>
            </w:pPr>
            <w:r>
              <w:rPr>
                <w:rFonts w:ascii="Arial" w:cs="Arial" w:eastAsia="Arial" w:hAnsi="Arial"/>
                <w:sz w:val="16"/>
                <w:szCs w:val="16"/>
                <w:b w:val="1"/>
                <w:bCs w:val="1"/>
                <w:color w:val="auto"/>
              </w:rPr>
              <w:t>Sales Price</w:t>
            </w:r>
          </w:p>
        </w:tc>
      </w:tr>
      <w:tr>
        <w:trPr>
          <w:trHeight w:val="33"/>
        </w:trPr>
        <w:tc>
          <w:tcPr>
            <w:tcW w:w="13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r>
      <w:tr>
        <w:trPr>
          <w:trHeight w:val="257"/>
        </w:trPr>
        <w:tc>
          <w:tcPr>
            <w:tcW w:w="134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500" w:type="dxa"/>
            <w:vAlign w:val="bottom"/>
          </w:tcPr>
          <w:p>
            <w:pPr>
              <w:ind w:left="120"/>
              <w:spacing w:after="0"/>
              <w:rPr>
                <w:sz w:val="20"/>
                <w:szCs w:val="20"/>
                <w:color w:val="auto"/>
              </w:rPr>
            </w:pPr>
            <w:r>
              <w:rPr>
                <w:rFonts w:ascii="Arial" w:cs="Arial" w:eastAsia="Arial" w:hAnsi="Arial"/>
                <w:sz w:val="14"/>
                <w:szCs w:val="14"/>
                <w:b w:val="1"/>
                <w:bCs w:val="1"/>
                <w:color w:val="auto"/>
              </w:rPr>
              <w:t>(in millions)</w:t>
            </w:r>
          </w:p>
        </w:tc>
      </w:tr>
      <w:tr>
        <w:trPr>
          <w:trHeight w:val="245"/>
        </w:trPr>
        <w:tc>
          <w:tcPr>
            <w:tcW w:w="1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April 21, 2020</w:t>
            </w:r>
          </w:p>
        </w:tc>
        <w:tc>
          <w:tcPr>
            <w:tcW w:w="24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Colorado Blvd (1 building)</w:t>
            </w:r>
          </w:p>
        </w:tc>
        <w:tc>
          <w:tcPr>
            <w:tcW w:w="25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Pasadena, California</w:t>
            </w: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3500" w:type="dxa"/>
            <w:vAlign w:val="bottom"/>
            <w:shd w:val="clear" w:color="auto" w:fill="CCEEFF"/>
          </w:tcPr>
          <w:p>
            <w:pPr>
              <w:jc w:val="right"/>
              <w:ind w:right="2321"/>
              <w:spacing w:after="0"/>
              <w:rPr>
                <w:sz w:val="20"/>
                <w:szCs w:val="20"/>
                <w:color w:val="auto"/>
              </w:rPr>
            </w:pPr>
            <w:r>
              <w:rPr>
                <w:rFonts w:ascii="Arial" w:cs="Arial" w:eastAsia="Arial" w:hAnsi="Arial"/>
                <w:sz w:val="17"/>
                <w:szCs w:val="17"/>
                <w:color w:val="auto"/>
              </w:rPr>
              <w:t>16.1</w:t>
            </w:r>
          </w:p>
        </w:tc>
      </w:tr>
      <w:tr>
        <w:trPr>
          <w:trHeight w:val="31"/>
        </w:trPr>
        <w:tc>
          <w:tcPr>
            <w:tcW w:w="134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5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715" w:right="339" w:bottom="1440" w:gutter="0" w:footer="0" w:header="0"/>
        </w:sectPr>
      </w:pPr>
    </w:p>
    <w:bookmarkStart w:id="22" w:name="page23"/>
    <w:bookmarkEnd w:id="22"/>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March 31, 2020</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7"/>
              </w:rPr>
              <w:t>Real</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9"/>
              </w:rPr>
              <w:t>Mortgage/Finance</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17"/>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3"/>
                <w:szCs w:val="13"/>
                <w:b w:val="1"/>
                <w:bCs w:val="1"/>
                <w:color w:val="auto"/>
              </w:rPr>
              <w:t>Grocery</w:t>
            </w:r>
          </w:p>
        </w:tc>
        <w:tc>
          <w:tcPr>
            <w:tcW w:w="82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90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Property</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Estate at</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Lease Liabilities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Leased</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6"/>
              </w:rPr>
              <w:t>Residential</w:t>
            </w: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Anchor</w:t>
            </w:r>
          </w:p>
        </w:tc>
        <w:tc>
          <w:tcPr>
            <w:tcW w:w="82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060" w:type="dxa"/>
            <w:vAlign w:val="bottom"/>
          </w:tcPr>
          <w:p>
            <w:pPr>
              <w:spacing w:after="0"/>
              <w:rPr>
                <w:sz w:val="11"/>
                <w:szCs w:val="11"/>
                <w:color w:val="auto"/>
              </w:rPr>
            </w:pPr>
          </w:p>
        </w:tc>
      </w:tr>
      <w:tr>
        <w:trPr>
          <w:trHeight w:val="174"/>
        </w:trPr>
        <w:tc>
          <w:tcPr>
            <w:tcW w:w="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ind w:left="240"/>
              <w:spacing w:after="0"/>
              <w:rPr>
                <w:sz w:val="20"/>
                <w:szCs w:val="20"/>
                <w:color w:val="auto"/>
              </w:rPr>
            </w:pPr>
            <w:r>
              <w:rPr>
                <w:rFonts w:ascii="Arial" w:cs="Arial" w:eastAsia="Arial" w:hAnsi="Arial"/>
                <w:sz w:val="13"/>
                <w:szCs w:val="13"/>
                <w:b w:val="1"/>
                <w:bCs w:val="1"/>
                <w:color w:val="auto"/>
              </w:rPr>
              <w:t>Name</w:t>
            </w:r>
          </w:p>
        </w:tc>
        <w:tc>
          <w:tcPr>
            <w:tcW w:w="3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MSA Description</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Cost (1)</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w:t>
            </w:r>
          </w:p>
        </w:tc>
        <w:tc>
          <w:tcPr>
            <w:tcW w:w="5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3"/>
              </w:rPr>
              <w:t>Acreage</w:t>
            </w:r>
          </w:p>
        </w:tc>
        <w:tc>
          <w:tcPr>
            <w:tcW w:w="7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GLA (3)</w:t>
            </w:r>
          </w:p>
        </w:tc>
        <w:tc>
          <w:tcPr>
            <w:tcW w:w="4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(3)</w:t>
            </w:r>
          </w:p>
        </w:tc>
        <w:tc>
          <w:tcPr>
            <w:tcW w:w="6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Units</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GLA</w:t>
            </w: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0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Other Retail Tenants</w:t>
            </w:r>
          </w:p>
        </w:tc>
      </w:tr>
      <w:tr>
        <w:trPr>
          <w:trHeight w:val="139"/>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104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6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3580" w:type="dxa"/>
            <w:vAlign w:val="bottom"/>
            <w:gridSpan w:val="5"/>
            <w:shd w:val="clear" w:color="auto" w:fill="CCEEFF"/>
          </w:tcPr>
          <w:p>
            <w:pPr>
              <w:ind w:left="60"/>
              <w:spacing w:after="0"/>
              <w:rPr>
                <w:sz w:val="20"/>
                <w:szCs w:val="20"/>
                <w:color w:val="auto"/>
              </w:rPr>
            </w:pPr>
            <w:r>
              <w:rPr>
                <w:rFonts w:ascii="Arial" w:cs="Arial" w:eastAsia="Arial" w:hAnsi="Arial"/>
                <w:sz w:val="13"/>
                <w:szCs w:val="13"/>
                <w:b w:val="1"/>
                <w:bCs w:val="1"/>
                <w:color w:val="auto"/>
              </w:rPr>
              <w:t>Washington Metropolitan Area</w:t>
            </w: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84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04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2060" w:type="dxa"/>
            <w:vAlign w:val="bottom"/>
            <w:tcBorders>
              <w:top w:val="single" w:sz="8" w:color="CCEEFF"/>
            </w:tcBorders>
            <w:shd w:val="clear" w:color="auto" w:fill="CCEEFF"/>
          </w:tcPr>
          <w:p>
            <w:pPr>
              <w:spacing w:after="0"/>
              <w:rPr>
                <w:sz w:val="8"/>
                <w:szCs w:val="8"/>
                <w:color w:val="auto"/>
              </w:rPr>
            </w:pPr>
          </w:p>
        </w:tc>
      </w:tr>
      <w:tr>
        <w:trPr>
          <w:trHeight w:val="148"/>
        </w:trPr>
        <w:tc>
          <w:tcPr>
            <w:tcW w:w="40" w:type="dxa"/>
            <w:vAlign w:val="bottom"/>
          </w:tcPr>
          <w:p>
            <w:pPr>
              <w:spacing w:after="0"/>
              <w:rPr>
                <w:sz w:val="12"/>
                <w:szCs w:val="12"/>
                <w:color w:val="auto"/>
              </w:rPr>
            </w:pPr>
          </w:p>
        </w:tc>
        <w:tc>
          <w:tcPr>
            <w:tcW w:w="900" w:type="dxa"/>
            <w:vAlign w:val="bottom"/>
            <w:gridSpan w:val="2"/>
          </w:tcPr>
          <w:p>
            <w:pPr>
              <w:spacing w:after="0" w:line="148" w:lineRule="exact"/>
              <w:rPr>
                <w:sz w:val="20"/>
                <w:szCs w:val="20"/>
                <w:color w:val="auto"/>
              </w:rPr>
            </w:pPr>
            <w:r>
              <w:rPr>
                <w:rFonts w:ascii="Arial" w:cs="Arial" w:eastAsia="Arial" w:hAnsi="Arial"/>
                <w:sz w:val="13"/>
                <w:szCs w:val="13"/>
                <w:color w:val="auto"/>
              </w:rPr>
              <w:t>Barcroft Plaza</w:t>
            </w:r>
          </w:p>
        </w:tc>
        <w:tc>
          <w:tcPr>
            <w:tcW w:w="300" w:type="dxa"/>
            <w:vAlign w:val="bottom"/>
          </w:tcPr>
          <w:p>
            <w:pPr>
              <w:spacing w:after="0"/>
              <w:rPr>
                <w:sz w:val="12"/>
                <w:szCs w:val="12"/>
                <w:color w:val="auto"/>
              </w:rPr>
            </w:pPr>
          </w:p>
        </w:tc>
        <w:tc>
          <w:tcPr>
            <w:tcW w:w="238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3"/>
              </w:rPr>
              <w:t>Washington-Arlington-Alexandria, DC-VA-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w w:val="95"/>
              </w:rPr>
              <w:t>$  48,981</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10</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114,000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93%</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46,000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w w:val="94"/>
              </w:rPr>
              <w:t>Harris Teeter</w:t>
            </w:r>
          </w:p>
        </w:tc>
        <w:tc>
          <w:tcPr>
            <w:tcW w:w="2060" w:type="dxa"/>
            <w:vAlign w:val="bottom"/>
          </w:tcPr>
          <w:p>
            <w:pPr>
              <w:spacing w:after="0"/>
              <w:rPr>
                <w:sz w:val="12"/>
                <w:szCs w:val="12"/>
                <w:color w:val="auto"/>
              </w:rPr>
            </w:pP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2"/>
          </w:tcPr>
          <w:p>
            <w:pPr>
              <w:ind w:left="100"/>
              <w:spacing w:after="0"/>
              <w:rPr>
                <w:sz w:val="20"/>
                <w:szCs w:val="20"/>
                <w:color w:val="auto"/>
              </w:rPr>
            </w:pPr>
            <w:r>
              <w:rPr>
                <w:rFonts w:ascii="Arial" w:cs="Arial" w:eastAsia="Arial" w:hAnsi="Arial"/>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56"/>
        </w:trPr>
        <w:tc>
          <w:tcPr>
            <w:tcW w:w="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Bethesda Row</w:t>
            </w:r>
          </w:p>
        </w:tc>
        <w:tc>
          <w:tcPr>
            <w:tcW w:w="3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3"/>
              </w:rPr>
              <w:t>Washington-Arlington-Alexandria, DC-VA-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234,879</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534,000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180</w:t>
            </w: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40,000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Apple / Equinox / Anthropologie /</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Multiple Restaurants</w:t>
            </w:r>
          </w:p>
        </w:tc>
      </w:tr>
      <w:tr>
        <w:trPr>
          <w:trHeight w:val="148"/>
        </w:trPr>
        <w:tc>
          <w:tcPr>
            <w:tcW w:w="40" w:type="dxa"/>
            <w:vAlign w:val="bottom"/>
          </w:tcPr>
          <w:p>
            <w:pPr>
              <w:spacing w:after="0"/>
              <w:rPr>
                <w:sz w:val="12"/>
                <w:szCs w:val="12"/>
                <w:color w:val="auto"/>
              </w:rPr>
            </w:pPr>
          </w:p>
        </w:tc>
        <w:tc>
          <w:tcPr>
            <w:tcW w:w="900" w:type="dxa"/>
            <w:vAlign w:val="bottom"/>
            <w:gridSpan w:val="2"/>
          </w:tcPr>
          <w:p>
            <w:pPr>
              <w:spacing w:after="0" w:line="148" w:lineRule="exact"/>
              <w:rPr>
                <w:sz w:val="20"/>
                <w:szCs w:val="20"/>
                <w:color w:val="auto"/>
              </w:rPr>
            </w:pPr>
            <w:r>
              <w:rPr>
                <w:rFonts w:ascii="Arial" w:cs="Arial" w:eastAsia="Arial" w:hAnsi="Arial"/>
                <w:sz w:val="13"/>
                <w:szCs w:val="13"/>
                <w:color w:val="auto"/>
              </w:rPr>
              <w:t>Congressional</w:t>
            </w:r>
          </w:p>
        </w:tc>
        <w:tc>
          <w:tcPr>
            <w:tcW w:w="300" w:type="dxa"/>
            <w:vAlign w:val="bottom"/>
          </w:tcPr>
          <w:p>
            <w:pPr>
              <w:ind w:left="80"/>
              <w:spacing w:after="0" w:line="148" w:lineRule="exact"/>
              <w:rPr>
                <w:sz w:val="20"/>
                <w:szCs w:val="20"/>
                <w:color w:val="auto"/>
              </w:rPr>
            </w:pPr>
            <w:r>
              <w:rPr>
                <w:rFonts w:ascii="Arial" w:cs="Arial" w:eastAsia="Arial" w:hAnsi="Arial"/>
                <w:sz w:val="13"/>
                <w:szCs w:val="13"/>
                <w:color w:val="auto"/>
              </w:rPr>
              <w:t>(4)</w:t>
            </w:r>
          </w:p>
        </w:tc>
        <w:tc>
          <w:tcPr>
            <w:tcW w:w="238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3"/>
              </w:rPr>
              <w:t>Washington-Arlington-Alexandria, DC-VA-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105,487</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21</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324,000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680" w:type="dxa"/>
            <w:vAlign w:val="bottom"/>
          </w:tcPr>
          <w:p>
            <w:pPr>
              <w:jc w:val="right"/>
              <w:ind w:right="77"/>
              <w:spacing w:after="0" w:line="148" w:lineRule="exact"/>
              <w:rPr>
                <w:sz w:val="20"/>
                <w:szCs w:val="20"/>
                <w:color w:val="auto"/>
              </w:rPr>
            </w:pPr>
            <w:r>
              <w:rPr>
                <w:rFonts w:ascii="Arial" w:cs="Arial" w:eastAsia="Arial" w:hAnsi="Arial"/>
                <w:sz w:val="13"/>
                <w:szCs w:val="13"/>
                <w:color w:val="auto"/>
              </w:rPr>
              <w:t>194</w:t>
            </w: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25,000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The Fresh</w:t>
            </w:r>
          </w:p>
        </w:tc>
        <w:tc>
          <w:tcPr>
            <w:tcW w:w="2060" w:type="dxa"/>
            <w:vAlign w:val="bottom"/>
          </w:tcPr>
          <w:p>
            <w:pPr>
              <w:ind w:left="40"/>
              <w:spacing w:after="0" w:line="148" w:lineRule="exact"/>
              <w:rPr>
                <w:sz w:val="20"/>
                <w:szCs w:val="20"/>
                <w:color w:val="auto"/>
              </w:rPr>
            </w:pPr>
            <w:r>
              <w:rPr>
                <w:rFonts w:ascii="Arial" w:cs="Arial" w:eastAsia="Arial" w:hAnsi="Arial"/>
                <w:sz w:val="13"/>
                <w:szCs w:val="13"/>
                <w:color w:val="auto"/>
                <w:w w:val="91"/>
              </w:rPr>
              <w:t>Buy Buy Baby / Container Store / Ulta</w:t>
            </w:r>
          </w:p>
        </w:tc>
      </w:tr>
      <w:tr>
        <w:trPr>
          <w:trHeight w:val="168"/>
        </w:trPr>
        <w:tc>
          <w:tcPr>
            <w:tcW w:w="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Plaza</w:t>
            </w:r>
          </w:p>
        </w:tc>
        <w:tc>
          <w:tcPr>
            <w:tcW w:w="300" w:type="dxa"/>
            <w:vAlign w:val="bottom"/>
          </w:tcPr>
          <w:p>
            <w:pPr>
              <w:spacing w:after="0"/>
              <w:rPr>
                <w:sz w:val="14"/>
                <w:szCs w:val="14"/>
                <w:color w:val="auto"/>
              </w:rPr>
            </w:pPr>
          </w:p>
        </w:tc>
        <w:tc>
          <w:tcPr>
            <w:tcW w:w="2380" w:type="dxa"/>
            <w:vAlign w:val="bottom"/>
            <w:gridSpan w:val="2"/>
          </w:tcPr>
          <w:p>
            <w:pPr>
              <w:ind w:left="100"/>
              <w:spacing w:after="0"/>
              <w:rPr>
                <w:sz w:val="20"/>
                <w:szCs w:val="20"/>
                <w:color w:val="auto"/>
              </w:rPr>
            </w:pPr>
            <w:r>
              <w:rPr>
                <w:rFonts w:ascii="Arial" w:cs="Arial" w:eastAsia="Arial" w:hAnsi="Arial"/>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3"/>
                <w:szCs w:val="13"/>
                <w:color w:val="auto"/>
              </w:rPr>
              <w:t>Market</w:t>
            </w:r>
          </w:p>
        </w:tc>
        <w:tc>
          <w:tcPr>
            <w:tcW w:w="2060" w:type="dxa"/>
            <w:vAlign w:val="bottom"/>
          </w:tcPr>
          <w:p>
            <w:pPr>
              <w:spacing w:after="0"/>
              <w:rPr>
                <w:sz w:val="14"/>
                <w:szCs w:val="14"/>
                <w:color w:val="auto"/>
              </w:rPr>
            </w:pPr>
          </w:p>
        </w:tc>
      </w:tr>
      <w:tr>
        <w:trPr>
          <w:trHeight w:val="156"/>
        </w:trPr>
        <w:tc>
          <w:tcPr>
            <w:tcW w:w="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Courthouse</w:t>
            </w:r>
          </w:p>
        </w:tc>
        <w:tc>
          <w:tcPr>
            <w:tcW w:w="3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3"/>
              </w:rPr>
              <w:t>Washington-Arlington-Alexandria, DC-VA-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6,979</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r>
      <w:tr>
        <w:trPr>
          <w:trHeight w:val="176"/>
        </w:trPr>
        <w:tc>
          <w:tcPr>
            <w:tcW w:w="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Center</w:t>
            </w:r>
          </w:p>
        </w:tc>
        <w:tc>
          <w:tcPr>
            <w:tcW w:w="3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900" w:type="dxa"/>
            <w:vAlign w:val="bottom"/>
            <w:gridSpan w:val="2"/>
          </w:tcPr>
          <w:p>
            <w:pPr>
              <w:spacing w:after="0" w:line="148" w:lineRule="exact"/>
              <w:rPr>
                <w:sz w:val="20"/>
                <w:szCs w:val="20"/>
                <w:color w:val="auto"/>
              </w:rPr>
            </w:pPr>
            <w:r>
              <w:rPr>
                <w:rFonts w:ascii="Arial" w:cs="Arial" w:eastAsia="Arial" w:hAnsi="Arial"/>
                <w:sz w:val="13"/>
                <w:szCs w:val="13"/>
                <w:color w:val="auto"/>
                <w:w w:val="95"/>
              </w:rPr>
              <w:t>Fairfax Junction</w:t>
            </w:r>
          </w:p>
        </w:tc>
        <w:tc>
          <w:tcPr>
            <w:tcW w:w="300" w:type="dxa"/>
            <w:vAlign w:val="bottom"/>
          </w:tcPr>
          <w:p>
            <w:pPr>
              <w:ind w:left="80"/>
              <w:spacing w:after="0" w:line="148" w:lineRule="exact"/>
              <w:rPr>
                <w:sz w:val="20"/>
                <w:szCs w:val="20"/>
                <w:color w:val="auto"/>
              </w:rPr>
            </w:pPr>
            <w:r>
              <w:rPr>
                <w:rFonts w:ascii="Arial" w:cs="Arial" w:eastAsia="Arial" w:hAnsi="Arial"/>
                <w:sz w:val="13"/>
                <w:szCs w:val="13"/>
                <w:color w:val="auto"/>
              </w:rPr>
              <w:t>(5)</w:t>
            </w:r>
          </w:p>
        </w:tc>
        <w:tc>
          <w:tcPr>
            <w:tcW w:w="238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3"/>
              </w:rPr>
              <w:t>Washington-Arlington-Alexandria, DC-VA-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40,674</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11</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124,000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23,000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Aldi</w:t>
            </w:r>
          </w:p>
        </w:tc>
        <w:tc>
          <w:tcPr>
            <w:tcW w:w="2060" w:type="dxa"/>
            <w:vAlign w:val="bottom"/>
          </w:tcPr>
          <w:p>
            <w:pPr>
              <w:ind w:left="40"/>
              <w:spacing w:after="0" w:line="148" w:lineRule="exact"/>
              <w:rPr>
                <w:sz w:val="20"/>
                <w:szCs w:val="20"/>
                <w:color w:val="auto"/>
              </w:rPr>
            </w:pPr>
            <w:r>
              <w:rPr>
                <w:rFonts w:ascii="Arial" w:cs="Arial" w:eastAsia="Arial" w:hAnsi="Arial"/>
                <w:sz w:val="13"/>
                <w:szCs w:val="13"/>
                <w:color w:val="auto"/>
              </w:rPr>
              <w:t>CVS / Planet Fitness</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2"/>
          </w:tcPr>
          <w:p>
            <w:pPr>
              <w:ind w:left="100"/>
              <w:spacing w:after="0"/>
              <w:rPr>
                <w:sz w:val="20"/>
                <w:szCs w:val="20"/>
                <w:color w:val="auto"/>
              </w:rPr>
            </w:pPr>
            <w:r>
              <w:rPr>
                <w:rFonts w:ascii="Arial" w:cs="Arial" w:eastAsia="Arial" w:hAnsi="Arial"/>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56"/>
        </w:trPr>
        <w:tc>
          <w:tcPr>
            <w:tcW w:w="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Falls</w:t>
            </w:r>
          </w:p>
        </w:tc>
        <w:tc>
          <w:tcPr>
            <w:tcW w:w="3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3"/>
              </w:rPr>
              <w:t>Washington-Arlington-Alexandria, DC-VA-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14,692</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144,000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51,000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CVS / Staples</w:t>
            </w:r>
          </w:p>
        </w:tc>
      </w:tr>
      <w:tr>
        <w:trPr>
          <w:trHeight w:val="135"/>
        </w:trPr>
        <w:tc>
          <w:tcPr>
            <w:tcW w:w="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Plaza/Falls</w:t>
            </w:r>
          </w:p>
        </w:tc>
        <w:tc>
          <w:tcPr>
            <w:tcW w:w="300" w:type="dxa"/>
            <w:vAlign w:val="bottom"/>
            <w:shd w:val="clear" w:color="auto" w:fill="CCEEFF"/>
          </w:tcPr>
          <w:p>
            <w:pPr>
              <w:spacing w:after="0"/>
              <w:rPr>
                <w:sz w:val="11"/>
                <w:szCs w:val="11"/>
                <w:color w:val="auto"/>
              </w:rPr>
            </w:pPr>
          </w:p>
        </w:tc>
        <w:tc>
          <w:tcPr>
            <w:tcW w:w="23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Plaza-East</w:t>
            </w:r>
          </w:p>
        </w:tc>
        <w:tc>
          <w:tcPr>
            <w:tcW w:w="3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900" w:type="dxa"/>
            <w:vAlign w:val="bottom"/>
            <w:gridSpan w:val="2"/>
          </w:tcPr>
          <w:p>
            <w:pPr>
              <w:spacing w:after="0" w:line="148" w:lineRule="exact"/>
              <w:rPr>
                <w:sz w:val="20"/>
                <w:szCs w:val="20"/>
                <w:color w:val="auto"/>
              </w:rPr>
            </w:pPr>
            <w:r>
              <w:rPr>
                <w:rFonts w:ascii="Arial" w:cs="Arial" w:eastAsia="Arial" w:hAnsi="Arial"/>
                <w:sz w:val="13"/>
                <w:szCs w:val="13"/>
                <w:color w:val="auto"/>
              </w:rPr>
              <w:t>Federal Plaza</w:t>
            </w:r>
          </w:p>
        </w:tc>
        <w:tc>
          <w:tcPr>
            <w:tcW w:w="300" w:type="dxa"/>
            <w:vAlign w:val="bottom"/>
          </w:tcPr>
          <w:p>
            <w:pPr>
              <w:spacing w:after="0"/>
              <w:rPr>
                <w:sz w:val="12"/>
                <w:szCs w:val="12"/>
                <w:color w:val="auto"/>
              </w:rPr>
            </w:pPr>
          </w:p>
        </w:tc>
        <w:tc>
          <w:tcPr>
            <w:tcW w:w="238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3"/>
              </w:rPr>
              <w:t>Washington-Arlington-Alexandria, DC-VA-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70,374</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18</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250,000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93%</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14,000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Trader Joe's</w:t>
            </w:r>
          </w:p>
        </w:tc>
        <w:tc>
          <w:tcPr>
            <w:tcW w:w="2060" w:type="dxa"/>
            <w:vAlign w:val="bottom"/>
          </w:tcPr>
          <w:p>
            <w:pPr>
              <w:ind w:left="40"/>
              <w:spacing w:after="0" w:line="148" w:lineRule="exact"/>
              <w:rPr>
                <w:sz w:val="20"/>
                <w:szCs w:val="20"/>
                <w:color w:val="auto"/>
              </w:rPr>
            </w:pPr>
            <w:r>
              <w:rPr>
                <w:rFonts w:ascii="Arial" w:cs="Arial" w:eastAsia="Arial" w:hAnsi="Arial"/>
                <w:sz w:val="13"/>
                <w:szCs w:val="13"/>
                <w:color w:val="auto"/>
                <w:w w:val="94"/>
              </w:rPr>
              <w:t>TJ Maxx / Micro Center / Ross Dress</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2"/>
          </w:tcPr>
          <w:p>
            <w:pPr>
              <w:ind w:left="100"/>
              <w:spacing w:after="0"/>
              <w:rPr>
                <w:sz w:val="20"/>
                <w:szCs w:val="20"/>
                <w:color w:val="auto"/>
              </w:rPr>
            </w:pPr>
            <w:r>
              <w:rPr>
                <w:rFonts w:ascii="Arial" w:cs="Arial" w:eastAsia="Arial" w:hAnsi="Arial"/>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ind w:left="40"/>
              <w:spacing w:after="0"/>
              <w:rPr>
                <w:sz w:val="20"/>
                <w:szCs w:val="20"/>
                <w:color w:val="auto"/>
              </w:rPr>
            </w:pPr>
            <w:r>
              <w:rPr>
                <w:rFonts w:ascii="Arial" w:cs="Arial" w:eastAsia="Arial" w:hAnsi="Arial"/>
                <w:sz w:val="13"/>
                <w:szCs w:val="13"/>
                <w:color w:val="auto"/>
              </w:rPr>
              <w:t>For Less</w:t>
            </w:r>
          </w:p>
        </w:tc>
      </w:tr>
      <w:tr>
        <w:trPr>
          <w:trHeight w:val="156"/>
        </w:trPr>
        <w:tc>
          <w:tcPr>
            <w:tcW w:w="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Friendship</w:t>
            </w:r>
          </w:p>
        </w:tc>
        <w:tc>
          <w:tcPr>
            <w:tcW w:w="3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3"/>
              </w:rPr>
              <w:t>Washington-Arlington-Alexandria, DC-VA-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38,161</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119,000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5"/>
              </w:rPr>
              <w:t>Marshalls / Nordstrom Rack / DSW /</w:t>
            </w:r>
          </w:p>
        </w:tc>
      </w:tr>
      <w:tr>
        <w:trPr>
          <w:trHeight w:val="176"/>
        </w:trPr>
        <w:tc>
          <w:tcPr>
            <w:tcW w:w="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Center</w:t>
            </w:r>
          </w:p>
        </w:tc>
        <w:tc>
          <w:tcPr>
            <w:tcW w:w="3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Maggiano's</w:t>
            </w:r>
          </w:p>
        </w:tc>
      </w:tr>
      <w:tr>
        <w:trPr>
          <w:trHeight w:val="148"/>
        </w:trPr>
        <w:tc>
          <w:tcPr>
            <w:tcW w:w="40" w:type="dxa"/>
            <w:vAlign w:val="bottom"/>
          </w:tcPr>
          <w:p>
            <w:pPr>
              <w:spacing w:after="0"/>
              <w:rPr>
                <w:sz w:val="12"/>
                <w:szCs w:val="12"/>
                <w:color w:val="auto"/>
              </w:rPr>
            </w:pPr>
          </w:p>
        </w:tc>
        <w:tc>
          <w:tcPr>
            <w:tcW w:w="900" w:type="dxa"/>
            <w:vAlign w:val="bottom"/>
            <w:gridSpan w:val="2"/>
          </w:tcPr>
          <w:p>
            <w:pPr>
              <w:spacing w:after="0" w:line="148" w:lineRule="exact"/>
              <w:rPr>
                <w:sz w:val="20"/>
                <w:szCs w:val="20"/>
                <w:color w:val="auto"/>
              </w:rPr>
            </w:pPr>
            <w:r>
              <w:rPr>
                <w:rFonts w:ascii="Arial" w:cs="Arial" w:eastAsia="Arial" w:hAnsi="Arial"/>
                <w:sz w:val="13"/>
                <w:szCs w:val="13"/>
                <w:color w:val="auto"/>
              </w:rPr>
              <w:t>Gaithersburg</w:t>
            </w:r>
          </w:p>
        </w:tc>
        <w:tc>
          <w:tcPr>
            <w:tcW w:w="300" w:type="dxa"/>
            <w:vAlign w:val="bottom"/>
          </w:tcPr>
          <w:p>
            <w:pPr>
              <w:spacing w:after="0"/>
              <w:rPr>
                <w:sz w:val="12"/>
                <w:szCs w:val="12"/>
                <w:color w:val="auto"/>
              </w:rPr>
            </w:pPr>
          </w:p>
        </w:tc>
        <w:tc>
          <w:tcPr>
            <w:tcW w:w="238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3"/>
              </w:rPr>
              <w:t>Washington-Arlington-Alexandria, DC-VA-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28,925</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16</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207,000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60" w:type="dxa"/>
            <w:vAlign w:val="bottom"/>
          </w:tcPr>
          <w:p>
            <w:pPr>
              <w:ind w:left="40"/>
              <w:spacing w:after="0" w:line="148" w:lineRule="exact"/>
              <w:rPr>
                <w:sz w:val="20"/>
                <w:szCs w:val="20"/>
                <w:color w:val="auto"/>
              </w:rPr>
            </w:pPr>
            <w:r>
              <w:rPr>
                <w:rFonts w:ascii="Arial" w:cs="Arial" w:eastAsia="Arial" w:hAnsi="Arial"/>
                <w:sz w:val="13"/>
                <w:szCs w:val="13"/>
                <w:color w:val="auto"/>
                <w:w w:val="91"/>
              </w:rPr>
              <w:t>Bed, Bath &amp; Beyond / Ross Dress For</w:t>
            </w:r>
          </w:p>
        </w:tc>
      </w:tr>
      <w:tr>
        <w:trPr>
          <w:trHeight w:val="135"/>
        </w:trPr>
        <w:tc>
          <w:tcPr>
            <w:tcW w:w="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3"/>
                <w:szCs w:val="13"/>
                <w:color w:val="auto"/>
              </w:rPr>
              <w:t>Square</w:t>
            </w:r>
          </w:p>
        </w:tc>
        <w:tc>
          <w:tcPr>
            <w:tcW w:w="300" w:type="dxa"/>
            <w:vAlign w:val="bottom"/>
          </w:tcPr>
          <w:p>
            <w:pPr>
              <w:spacing w:after="0"/>
              <w:rPr>
                <w:sz w:val="11"/>
                <w:szCs w:val="11"/>
                <w:color w:val="auto"/>
              </w:rPr>
            </w:pPr>
          </w:p>
        </w:tc>
        <w:tc>
          <w:tcPr>
            <w:tcW w:w="238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MD-WV</w:t>
            </w: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60" w:type="dxa"/>
            <w:vAlign w:val="bottom"/>
          </w:tcPr>
          <w:p>
            <w:pPr>
              <w:ind w:left="40"/>
              <w:spacing w:after="0" w:line="135" w:lineRule="exact"/>
              <w:rPr>
                <w:sz w:val="20"/>
                <w:szCs w:val="20"/>
                <w:color w:val="auto"/>
              </w:rPr>
            </w:pPr>
            <w:r>
              <w:rPr>
                <w:rFonts w:ascii="Arial" w:cs="Arial" w:eastAsia="Arial" w:hAnsi="Arial"/>
                <w:sz w:val="13"/>
                <w:szCs w:val="13"/>
                <w:color w:val="auto"/>
                <w:w w:val="95"/>
              </w:rPr>
              <w:t>Less / Ashley Furniture HomeStore /</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ind w:left="40"/>
              <w:spacing w:after="0"/>
              <w:rPr>
                <w:sz w:val="20"/>
                <w:szCs w:val="20"/>
                <w:color w:val="auto"/>
              </w:rPr>
            </w:pPr>
            <w:r>
              <w:rPr>
                <w:rFonts w:ascii="Arial" w:cs="Arial" w:eastAsia="Arial" w:hAnsi="Arial"/>
                <w:sz w:val="13"/>
                <w:szCs w:val="13"/>
                <w:color w:val="auto"/>
              </w:rPr>
              <w:t>CVS</w:t>
            </w:r>
          </w:p>
        </w:tc>
      </w:tr>
      <w:tr>
        <w:trPr>
          <w:trHeight w:val="156"/>
        </w:trPr>
        <w:tc>
          <w:tcPr>
            <w:tcW w:w="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Graham Park</w:t>
            </w:r>
          </w:p>
        </w:tc>
        <w:tc>
          <w:tcPr>
            <w:tcW w:w="3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3"/>
              </w:rPr>
              <w:t>Washington-Arlington-Alexandria, DC-VA-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36,920</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132,000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58,000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060" w:type="dxa"/>
            <w:vAlign w:val="bottom"/>
            <w:shd w:val="clear" w:color="auto" w:fill="CCEEFF"/>
          </w:tcPr>
          <w:p>
            <w:pPr>
              <w:spacing w:after="0"/>
              <w:rPr>
                <w:sz w:val="13"/>
                <w:szCs w:val="13"/>
                <w:color w:val="auto"/>
              </w:rPr>
            </w:pPr>
          </w:p>
        </w:tc>
      </w:tr>
      <w:tr>
        <w:trPr>
          <w:trHeight w:val="176"/>
        </w:trPr>
        <w:tc>
          <w:tcPr>
            <w:tcW w:w="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Plaza</w:t>
            </w:r>
          </w:p>
        </w:tc>
        <w:tc>
          <w:tcPr>
            <w:tcW w:w="3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900" w:type="dxa"/>
            <w:vAlign w:val="bottom"/>
            <w:gridSpan w:val="2"/>
          </w:tcPr>
          <w:p>
            <w:pPr>
              <w:spacing w:after="0" w:line="148" w:lineRule="exact"/>
              <w:rPr>
                <w:sz w:val="20"/>
                <w:szCs w:val="20"/>
                <w:color w:val="auto"/>
              </w:rPr>
            </w:pPr>
            <w:r>
              <w:rPr>
                <w:rFonts w:ascii="Arial" w:cs="Arial" w:eastAsia="Arial" w:hAnsi="Arial"/>
                <w:sz w:val="13"/>
                <w:szCs w:val="13"/>
                <w:color w:val="auto"/>
              </w:rPr>
              <w:t>Idylwood Plaza</w:t>
            </w:r>
          </w:p>
        </w:tc>
        <w:tc>
          <w:tcPr>
            <w:tcW w:w="300" w:type="dxa"/>
            <w:vAlign w:val="bottom"/>
          </w:tcPr>
          <w:p>
            <w:pPr>
              <w:spacing w:after="0"/>
              <w:rPr>
                <w:sz w:val="12"/>
                <w:szCs w:val="12"/>
                <w:color w:val="auto"/>
              </w:rPr>
            </w:pPr>
          </w:p>
        </w:tc>
        <w:tc>
          <w:tcPr>
            <w:tcW w:w="238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3"/>
              </w:rPr>
              <w:t>Washington-Arlington-Alexandria, DC-VA-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17,127</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7</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73,000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30,000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w w:val="93"/>
              </w:rPr>
              <w:t>Whole Foods</w:t>
            </w:r>
          </w:p>
        </w:tc>
        <w:tc>
          <w:tcPr>
            <w:tcW w:w="2060" w:type="dxa"/>
            <w:vAlign w:val="bottom"/>
          </w:tcPr>
          <w:p>
            <w:pPr>
              <w:spacing w:after="0"/>
              <w:rPr>
                <w:sz w:val="12"/>
                <w:szCs w:val="12"/>
                <w:color w:val="auto"/>
              </w:rPr>
            </w:pP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2"/>
          </w:tcPr>
          <w:p>
            <w:pPr>
              <w:ind w:left="100"/>
              <w:spacing w:after="0"/>
              <w:rPr>
                <w:sz w:val="20"/>
                <w:szCs w:val="20"/>
                <w:color w:val="auto"/>
              </w:rPr>
            </w:pPr>
            <w:r>
              <w:rPr>
                <w:rFonts w:ascii="Arial" w:cs="Arial" w:eastAsia="Arial" w:hAnsi="Arial"/>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56"/>
        </w:trPr>
        <w:tc>
          <w:tcPr>
            <w:tcW w:w="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Laurel</w:t>
            </w:r>
          </w:p>
        </w:tc>
        <w:tc>
          <w:tcPr>
            <w:tcW w:w="3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3"/>
              </w:rPr>
              <w:t>Washington-Arlington-Alexandria, DC-VA-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58,456</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359,000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61,000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Marshalls / L.A. Fitness</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900" w:type="dxa"/>
            <w:vAlign w:val="bottom"/>
            <w:gridSpan w:val="2"/>
          </w:tcPr>
          <w:p>
            <w:pPr>
              <w:spacing w:after="0" w:line="148" w:lineRule="exact"/>
              <w:rPr>
                <w:sz w:val="20"/>
                <w:szCs w:val="20"/>
                <w:color w:val="auto"/>
              </w:rPr>
            </w:pPr>
            <w:r>
              <w:rPr>
                <w:rFonts w:ascii="Arial" w:cs="Arial" w:eastAsia="Arial" w:hAnsi="Arial"/>
                <w:sz w:val="13"/>
                <w:szCs w:val="13"/>
                <w:color w:val="auto"/>
                <w:w w:val="97"/>
              </w:rPr>
              <w:t>Leesburg Plaza</w:t>
            </w:r>
          </w:p>
        </w:tc>
        <w:tc>
          <w:tcPr>
            <w:tcW w:w="300" w:type="dxa"/>
            <w:vAlign w:val="bottom"/>
          </w:tcPr>
          <w:p>
            <w:pPr>
              <w:spacing w:after="0"/>
              <w:rPr>
                <w:sz w:val="12"/>
                <w:szCs w:val="12"/>
                <w:color w:val="auto"/>
              </w:rPr>
            </w:pPr>
          </w:p>
        </w:tc>
        <w:tc>
          <w:tcPr>
            <w:tcW w:w="238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3"/>
              </w:rPr>
              <w:t>Washington-Arlington-Alexandria, DC-VA-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37,211</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26</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236,000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87%</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55,000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Giant Food</w:t>
            </w:r>
          </w:p>
        </w:tc>
        <w:tc>
          <w:tcPr>
            <w:tcW w:w="2060" w:type="dxa"/>
            <w:vAlign w:val="bottom"/>
          </w:tcPr>
          <w:p>
            <w:pPr>
              <w:ind w:left="40"/>
              <w:spacing w:after="0" w:line="148" w:lineRule="exact"/>
              <w:rPr>
                <w:sz w:val="20"/>
                <w:szCs w:val="20"/>
                <w:color w:val="auto"/>
              </w:rPr>
            </w:pPr>
            <w:r>
              <w:rPr>
                <w:rFonts w:ascii="Arial" w:cs="Arial" w:eastAsia="Arial" w:hAnsi="Arial"/>
                <w:sz w:val="13"/>
                <w:szCs w:val="13"/>
                <w:color w:val="auto"/>
              </w:rPr>
              <w:t>Petsmart / Office Depot</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2"/>
          </w:tcPr>
          <w:p>
            <w:pPr>
              <w:ind w:left="100"/>
              <w:spacing w:after="0"/>
              <w:rPr>
                <w:sz w:val="20"/>
                <w:szCs w:val="20"/>
                <w:color w:val="auto"/>
              </w:rPr>
            </w:pPr>
            <w:r>
              <w:rPr>
                <w:rFonts w:ascii="Arial" w:cs="Arial" w:eastAsia="Arial" w:hAnsi="Arial"/>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56"/>
        </w:trPr>
        <w:tc>
          <w:tcPr>
            <w:tcW w:w="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Montrose</w:t>
            </w:r>
          </w:p>
        </w:tc>
        <w:tc>
          <w:tcPr>
            <w:tcW w:w="3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3"/>
              </w:rPr>
              <w:t>Washington-Arlington-Alexandria, DC-VA-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162,499</w:t>
            </w:r>
          </w:p>
        </w:tc>
        <w:tc>
          <w:tcPr>
            <w:tcW w:w="104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67,025</w:t>
            </w: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370,000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73,000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Marshalls / Old Navy / Barnes &amp;</w:t>
            </w:r>
          </w:p>
        </w:tc>
      </w:tr>
      <w:tr>
        <w:trPr>
          <w:trHeight w:val="176"/>
        </w:trPr>
        <w:tc>
          <w:tcPr>
            <w:tcW w:w="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Crossing</w:t>
            </w:r>
          </w:p>
        </w:tc>
        <w:tc>
          <w:tcPr>
            <w:tcW w:w="3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Noble / Bob's Discount Furniture</w:t>
            </w:r>
          </w:p>
        </w:tc>
      </w:tr>
      <w:tr>
        <w:trPr>
          <w:trHeight w:val="148"/>
        </w:trPr>
        <w:tc>
          <w:tcPr>
            <w:tcW w:w="40" w:type="dxa"/>
            <w:vAlign w:val="bottom"/>
          </w:tcPr>
          <w:p>
            <w:pPr>
              <w:spacing w:after="0"/>
              <w:rPr>
                <w:sz w:val="12"/>
                <w:szCs w:val="12"/>
                <w:color w:val="auto"/>
              </w:rPr>
            </w:pPr>
          </w:p>
        </w:tc>
        <w:tc>
          <w:tcPr>
            <w:tcW w:w="900" w:type="dxa"/>
            <w:vAlign w:val="bottom"/>
            <w:gridSpan w:val="2"/>
          </w:tcPr>
          <w:p>
            <w:pPr>
              <w:spacing w:after="0" w:line="148" w:lineRule="exact"/>
              <w:rPr>
                <w:sz w:val="20"/>
                <w:szCs w:val="20"/>
                <w:color w:val="auto"/>
              </w:rPr>
            </w:pPr>
            <w:r>
              <w:rPr>
                <w:rFonts w:ascii="Arial" w:cs="Arial" w:eastAsia="Arial" w:hAnsi="Arial"/>
                <w:sz w:val="13"/>
                <w:szCs w:val="13"/>
                <w:color w:val="auto"/>
              </w:rPr>
              <w:t>Mount</w:t>
            </w:r>
          </w:p>
        </w:tc>
        <w:tc>
          <w:tcPr>
            <w:tcW w:w="300" w:type="dxa"/>
            <w:vAlign w:val="bottom"/>
          </w:tcPr>
          <w:p>
            <w:pPr>
              <w:ind w:left="80"/>
              <w:spacing w:after="0" w:line="148" w:lineRule="exact"/>
              <w:rPr>
                <w:sz w:val="20"/>
                <w:szCs w:val="20"/>
                <w:color w:val="auto"/>
              </w:rPr>
            </w:pPr>
            <w:r>
              <w:rPr>
                <w:rFonts w:ascii="Arial" w:cs="Arial" w:eastAsia="Arial" w:hAnsi="Arial"/>
                <w:sz w:val="13"/>
                <w:szCs w:val="13"/>
                <w:color w:val="auto"/>
              </w:rPr>
              <w:t>(5)</w:t>
            </w:r>
          </w:p>
        </w:tc>
        <w:tc>
          <w:tcPr>
            <w:tcW w:w="238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3"/>
              </w:rPr>
              <w:t>Washington-Arlington-Alexandria, DC-VA-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85,713</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29</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569,000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62,000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Shoppers</w:t>
            </w:r>
          </w:p>
        </w:tc>
        <w:tc>
          <w:tcPr>
            <w:tcW w:w="2060" w:type="dxa"/>
            <w:vAlign w:val="bottom"/>
          </w:tcPr>
          <w:p>
            <w:pPr>
              <w:ind w:left="40"/>
              <w:spacing w:after="0" w:line="148" w:lineRule="exact"/>
              <w:rPr>
                <w:sz w:val="20"/>
                <w:szCs w:val="20"/>
                <w:color w:val="auto"/>
              </w:rPr>
            </w:pPr>
            <w:r>
              <w:rPr>
                <w:rFonts w:ascii="Arial" w:cs="Arial" w:eastAsia="Arial" w:hAnsi="Arial"/>
                <w:sz w:val="13"/>
                <w:szCs w:val="13"/>
                <w:color w:val="auto"/>
                <w:w w:val="93"/>
              </w:rPr>
              <w:t>TJ Maxx / Home Depot / Bed, Bath &amp;</w:t>
            </w:r>
          </w:p>
        </w:tc>
      </w:tr>
      <w:tr>
        <w:trPr>
          <w:trHeight w:val="135"/>
        </w:trPr>
        <w:tc>
          <w:tcPr>
            <w:tcW w:w="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3"/>
                <w:szCs w:val="13"/>
                <w:color w:val="auto"/>
              </w:rPr>
              <w:t>Vernon/South</w:t>
            </w:r>
          </w:p>
        </w:tc>
        <w:tc>
          <w:tcPr>
            <w:tcW w:w="300" w:type="dxa"/>
            <w:vAlign w:val="bottom"/>
          </w:tcPr>
          <w:p>
            <w:pPr>
              <w:spacing w:after="0"/>
              <w:rPr>
                <w:sz w:val="11"/>
                <w:szCs w:val="11"/>
                <w:color w:val="auto"/>
              </w:rPr>
            </w:pPr>
          </w:p>
        </w:tc>
        <w:tc>
          <w:tcPr>
            <w:tcW w:w="238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MD-WV</w:t>
            </w: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3"/>
                <w:szCs w:val="13"/>
                <w:color w:val="auto"/>
              </w:rPr>
              <w:t>Food</w:t>
            </w:r>
          </w:p>
        </w:tc>
        <w:tc>
          <w:tcPr>
            <w:tcW w:w="2060" w:type="dxa"/>
            <w:vAlign w:val="bottom"/>
          </w:tcPr>
          <w:p>
            <w:pPr>
              <w:ind w:left="40"/>
              <w:spacing w:after="0" w:line="135" w:lineRule="exact"/>
              <w:rPr>
                <w:sz w:val="20"/>
                <w:szCs w:val="20"/>
                <w:color w:val="auto"/>
              </w:rPr>
            </w:pPr>
            <w:r>
              <w:rPr>
                <w:rFonts w:ascii="Arial" w:cs="Arial" w:eastAsia="Arial" w:hAnsi="Arial"/>
                <w:sz w:val="13"/>
                <w:szCs w:val="13"/>
                <w:color w:val="auto"/>
              </w:rPr>
              <w:t>Beyond / Results Fitness</w:t>
            </w:r>
          </w:p>
        </w:tc>
      </w:tr>
      <w:tr>
        <w:trPr>
          <w:trHeight w:val="135"/>
        </w:trPr>
        <w:tc>
          <w:tcPr>
            <w:tcW w:w="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3"/>
                <w:szCs w:val="13"/>
                <w:color w:val="auto"/>
              </w:rPr>
              <w:t>Valley/7770</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3"/>
                <w:szCs w:val="13"/>
                <w:color w:val="auto"/>
              </w:rPr>
              <w:t>Warehouse</w:t>
            </w:r>
          </w:p>
        </w:tc>
        <w:tc>
          <w:tcPr>
            <w:tcW w:w="2060" w:type="dxa"/>
            <w:vAlign w:val="bottom"/>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Richmond Hwy</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56"/>
        </w:trPr>
        <w:tc>
          <w:tcPr>
            <w:tcW w:w="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Old Keene Mill</w:t>
            </w:r>
          </w:p>
        </w:tc>
        <w:tc>
          <w:tcPr>
            <w:tcW w:w="3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3"/>
              </w:rPr>
              <w:t>Washington-Arlington-Alexandria, DC-VA-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12,986</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92,000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24,000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3"/>
              </w:rPr>
              <w:t>Whole Foods</w:t>
            </w: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Walgreens / Planet Fitness</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900" w:type="dxa"/>
            <w:vAlign w:val="bottom"/>
            <w:gridSpan w:val="2"/>
          </w:tcPr>
          <w:p>
            <w:pPr>
              <w:spacing w:after="0" w:line="148" w:lineRule="exact"/>
              <w:rPr>
                <w:sz w:val="20"/>
                <w:szCs w:val="20"/>
                <w:color w:val="auto"/>
              </w:rPr>
            </w:pPr>
            <w:r>
              <w:rPr>
                <w:rFonts w:ascii="Arial" w:cs="Arial" w:eastAsia="Arial" w:hAnsi="Arial"/>
                <w:sz w:val="13"/>
                <w:szCs w:val="13"/>
                <w:color w:val="auto"/>
              </w:rPr>
              <w:t>Pan Am</w:t>
            </w:r>
          </w:p>
        </w:tc>
        <w:tc>
          <w:tcPr>
            <w:tcW w:w="300" w:type="dxa"/>
            <w:vAlign w:val="bottom"/>
          </w:tcPr>
          <w:p>
            <w:pPr>
              <w:spacing w:after="0"/>
              <w:rPr>
                <w:sz w:val="12"/>
                <w:szCs w:val="12"/>
                <w:color w:val="auto"/>
              </w:rPr>
            </w:pPr>
          </w:p>
        </w:tc>
        <w:tc>
          <w:tcPr>
            <w:tcW w:w="238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3"/>
              </w:rPr>
              <w:t>Washington-Arlington-Alexandria, DC-VA-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29,960</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25</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227,000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65,000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Safeway</w:t>
            </w:r>
          </w:p>
        </w:tc>
        <w:tc>
          <w:tcPr>
            <w:tcW w:w="2060" w:type="dxa"/>
            <w:vAlign w:val="bottom"/>
          </w:tcPr>
          <w:p>
            <w:pPr>
              <w:ind w:left="40"/>
              <w:spacing w:after="0" w:line="148" w:lineRule="exact"/>
              <w:rPr>
                <w:sz w:val="20"/>
                <w:szCs w:val="20"/>
                <w:color w:val="auto"/>
              </w:rPr>
            </w:pPr>
            <w:r>
              <w:rPr>
                <w:rFonts w:ascii="Arial" w:cs="Arial" w:eastAsia="Arial" w:hAnsi="Arial"/>
                <w:sz w:val="13"/>
                <w:szCs w:val="13"/>
                <w:color w:val="auto"/>
              </w:rPr>
              <w:t>Micro Center / CVS / Michaels</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2"/>
          </w:tcPr>
          <w:p>
            <w:pPr>
              <w:ind w:left="100"/>
              <w:spacing w:after="0"/>
              <w:rPr>
                <w:sz w:val="20"/>
                <w:szCs w:val="20"/>
                <w:color w:val="auto"/>
              </w:rPr>
            </w:pPr>
            <w:r>
              <w:rPr>
                <w:rFonts w:ascii="Arial" w:cs="Arial" w:eastAsia="Arial" w:hAnsi="Arial"/>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56"/>
        </w:trPr>
        <w:tc>
          <w:tcPr>
            <w:tcW w:w="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Pentagon Row</w:t>
            </w:r>
          </w:p>
        </w:tc>
        <w:tc>
          <w:tcPr>
            <w:tcW w:w="3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3"/>
              </w:rPr>
              <w:t>Washington-Arlington-Alexandria, DC-VA-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105,875</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297,000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45,000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4"/>
              </w:rPr>
              <w:t>Harris Teeter</w:t>
            </w: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TJ Maxx / Bed, Bath &amp; Beyond / DSW</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900" w:type="dxa"/>
            <w:vAlign w:val="bottom"/>
            <w:gridSpan w:val="2"/>
          </w:tcPr>
          <w:p>
            <w:pPr>
              <w:spacing w:after="0" w:line="148" w:lineRule="exact"/>
              <w:rPr>
                <w:sz w:val="20"/>
                <w:szCs w:val="20"/>
                <w:color w:val="auto"/>
              </w:rPr>
            </w:pPr>
            <w:r>
              <w:rPr>
                <w:rFonts w:ascii="Arial" w:cs="Arial" w:eastAsia="Arial" w:hAnsi="Arial"/>
                <w:sz w:val="13"/>
                <w:szCs w:val="13"/>
                <w:color w:val="auto"/>
              </w:rPr>
              <w:t>Pike &amp; Rose</w:t>
            </w:r>
          </w:p>
        </w:tc>
        <w:tc>
          <w:tcPr>
            <w:tcW w:w="300" w:type="dxa"/>
            <w:vAlign w:val="bottom"/>
          </w:tcPr>
          <w:p>
            <w:pPr>
              <w:ind w:left="80"/>
              <w:spacing w:after="0" w:line="148" w:lineRule="exact"/>
              <w:rPr>
                <w:sz w:val="20"/>
                <w:szCs w:val="20"/>
                <w:color w:val="auto"/>
              </w:rPr>
            </w:pPr>
            <w:r>
              <w:rPr>
                <w:rFonts w:ascii="Arial" w:cs="Arial" w:eastAsia="Arial" w:hAnsi="Arial"/>
                <w:sz w:val="13"/>
                <w:szCs w:val="13"/>
                <w:color w:val="auto"/>
              </w:rPr>
              <w:t>(6)</w:t>
            </w:r>
          </w:p>
        </w:tc>
        <w:tc>
          <w:tcPr>
            <w:tcW w:w="238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3"/>
              </w:rPr>
              <w:t>Washington-Arlington-Alexandria, DC-VA-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633,778</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24</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469,000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680" w:type="dxa"/>
            <w:vAlign w:val="bottom"/>
          </w:tcPr>
          <w:p>
            <w:pPr>
              <w:jc w:val="right"/>
              <w:ind w:right="77"/>
              <w:spacing w:after="0" w:line="148" w:lineRule="exact"/>
              <w:rPr>
                <w:sz w:val="20"/>
                <w:szCs w:val="20"/>
                <w:color w:val="auto"/>
              </w:rPr>
            </w:pPr>
            <w:r>
              <w:rPr>
                <w:rFonts w:ascii="Arial" w:cs="Arial" w:eastAsia="Arial" w:hAnsi="Arial"/>
                <w:sz w:val="13"/>
                <w:szCs w:val="13"/>
                <w:color w:val="auto"/>
              </w:rPr>
              <w:t>765</w:t>
            </w: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60" w:type="dxa"/>
            <w:vAlign w:val="bottom"/>
          </w:tcPr>
          <w:p>
            <w:pPr>
              <w:ind w:left="40"/>
              <w:spacing w:after="0" w:line="148" w:lineRule="exact"/>
              <w:rPr>
                <w:sz w:val="20"/>
                <w:szCs w:val="20"/>
                <w:color w:val="auto"/>
              </w:rPr>
            </w:pPr>
            <w:r>
              <w:rPr>
                <w:rFonts w:ascii="Arial" w:cs="Arial" w:eastAsia="Arial" w:hAnsi="Arial"/>
                <w:sz w:val="13"/>
                <w:szCs w:val="13"/>
                <w:color w:val="auto"/>
                <w:w w:val="92"/>
              </w:rPr>
              <w:t>iPic Theater / Porsche / Uniqlo / REI /</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2"/>
          </w:tcPr>
          <w:p>
            <w:pPr>
              <w:ind w:left="100"/>
              <w:spacing w:after="0"/>
              <w:rPr>
                <w:sz w:val="20"/>
                <w:szCs w:val="20"/>
                <w:color w:val="auto"/>
              </w:rPr>
            </w:pPr>
            <w:r>
              <w:rPr>
                <w:rFonts w:ascii="Arial" w:cs="Arial" w:eastAsia="Arial" w:hAnsi="Arial"/>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ind w:left="40"/>
              <w:spacing w:after="0"/>
              <w:rPr>
                <w:sz w:val="20"/>
                <w:szCs w:val="20"/>
                <w:color w:val="auto"/>
              </w:rPr>
            </w:pPr>
            <w:r>
              <w:rPr>
                <w:rFonts w:ascii="Arial" w:cs="Arial" w:eastAsia="Arial" w:hAnsi="Arial"/>
                <w:sz w:val="13"/>
                <w:szCs w:val="13"/>
                <w:color w:val="auto"/>
              </w:rPr>
              <w:t>Pinstripes / Multiple Restaurants</w:t>
            </w:r>
          </w:p>
        </w:tc>
      </w:tr>
      <w:tr>
        <w:trPr>
          <w:trHeight w:val="156"/>
        </w:trPr>
        <w:tc>
          <w:tcPr>
            <w:tcW w:w="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Pike 7 Plaza</w:t>
            </w:r>
          </w:p>
        </w:tc>
        <w:tc>
          <w:tcPr>
            <w:tcW w:w="3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3"/>
              </w:rPr>
              <w:t>Washington-Arlington-Alexandria, DC-VA-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49,398</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172,000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TJ Maxx / DSW / Crunch Fitness /</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Staples</w:t>
            </w:r>
          </w:p>
        </w:tc>
      </w:tr>
      <w:tr>
        <w:trPr>
          <w:trHeight w:val="148"/>
        </w:trPr>
        <w:tc>
          <w:tcPr>
            <w:tcW w:w="40" w:type="dxa"/>
            <w:vAlign w:val="bottom"/>
          </w:tcPr>
          <w:p>
            <w:pPr>
              <w:spacing w:after="0"/>
              <w:rPr>
                <w:sz w:val="12"/>
                <w:szCs w:val="12"/>
                <w:color w:val="auto"/>
              </w:rPr>
            </w:pPr>
          </w:p>
        </w:tc>
        <w:tc>
          <w:tcPr>
            <w:tcW w:w="900" w:type="dxa"/>
            <w:vAlign w:val="bottom"/>
            <w:gridSpan w:val="2"/>
          </w:tcPr>
          <w:p>
            <w:pPr>
              <w:spacing w:after="0" w:line="148" w:lineRule="exact"/>
              <w:rPr>
                <w:sz w:val="20"/>
                <w:szCs w:val="20"/>
                <w:color w:val="auto"/>
              </w:rPr>
            </w:pPr>
            <w:r>
              <w:rPr>
                <w:rFonts w:ascii="Arial" w:cs="Arial" w:eastAsia="Arial" w:hAnsi="Arial"/>
                <w:sz w:val="13"/>
                <w:szCs w:val="13"/>
                <w:color w:val="auto"/>
              </w:rPr>
              <w:t>Plaza del</w:t>
            </w:r>
          </w:p>
        </w:tc>
        <w:tc>
          <w:tcPr>
            <w:tcW w:w="300" w:type="dxa"/>
            <w:vAlign w:val="bottom"/>
          </w:tcPr>
          <w:p>
            <w:pPr>
              <w:spacing w:after="0"/>
              <w:rPr>
                <w:sz w:val="12"/>
                <w:szCs w:val="12"/>
                <w:color w:val="auto"/>
              </w:rPr>
            </w:pPr>
          </w:p>
        </w:tc>
        <w:tc>
          <w:tcPr>
            <w:tcW w:w="238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3"/>
              </w:rPr>
              <w:t>Washington-Arlington-Alexandria, DC-VA-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46,733</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10</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117,000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18,000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Aldi</w:t>
            </w:r>
          </w:p>
        </w:tc>
        <w:tc>
          <w:tcPr>
            <w:tcW w:w="2060" w:type="dxa"/>
            <w:vAlign w:val="bottom"/>
          </w:tcPr>
          <w:p>
            <w:pPr>
              <w:ind w:left="40"/>
              <w:spacing w:after="0" w:line="148" w:lineRule="exact"/>
              <w:rPr>
                <w:sz w:val="20"/>
                <w:szCs w:val="20"/>
                <w:color w:val="auto"/>
              </w:rPr>
            </w:pPr>
            <w:r>
              <w:rPr>
                <w:rFonts w:ascii="Arial" w:cs="Arial" w:eastAsia="Arial" w:hAnsi="Arial"/>
                <w:sz w:val="13"/>
                <w:szCs w:val="13"/>
                <w:color w:val="auto"/>
              </w:rPr>
              <w:t>CVS / L.A. Fitness</w:t>
            </w:r>
          </w:p>
        </w:tc>
      </w:tr>
      <w:tr>
        <w:trPr>
          <w:trHeight w:val="168"/>
        </w:trPr>
        <w:tc>
          <w:tcPr>
            <w:tcW w:w="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Mercado</w:t>
            </w:r>
          </w:p>
        </w:tc>
        <w:tc>
          <w:tcPr>
            <w:tcW w:w="300" w:type="dxa"/>
            <w:vAlign w:val="bottom"/>
          </w:tcPr>
          <w:p>
            <w:pPr>
              <w:spacing w:after="0"/>
              <w:rPr>
                <w:sz w:val="14"/>
                <w:szCs w:val="14"/>
                <w:color w:val="auto"/>
              </w:rPr>
            </w:pPr>
          </w:p>
        </w:tc>
        <w:tc>
          <w:tcPr>
            <w:tcW w:w="2380" w:type="dxa"/>
            <w:vAlign w:val="bottom"/>
            <w:gridSpan w:val="2"/>
          </w:tcPr>
          <w:p>
            <w:pPr>
              <w:ind w:left="100"/>
              <w:spacing w:after="0"/>
              <w:rPr>
                <w:sz w:val="20"/>
                <w:szCs w:val="20"/>
                <w:color w:val="auto"/>
              </w:rPr>
            </w:pPr>
            <w:r>
              <w:rPr>
                <w:rFonts w:ascii="Arial" w:cs="Arial" w:eastAsia="Arial" w:hAnsi="Arial"/>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56"/>
        </w:trPr>
        <w:tc>
          <w:tcPr>
            <w:tcW w:w="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5"/>
              </w:rPr>
              <w:t>Quince Orchard</w:t>
            </w:r>
          </w:p>
        </w:tc>
        <w:tc>
          <w:tcPr>
            <w:tcW w:w="3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3"/>
              </w:rPr>
              <w:t>Washington-Arlington-Alexandria, DC-VA-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40,786</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266,000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19,000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Aldi</w:t>
            </w: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HomeGoods / L.A. Fitness / Staples</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900" w:type="dxa"/>
            <w:vAlign w:val="bottom"/>
            <w:gridSpan w:val="2"/>
          </w:tcPr>
          <w:p>
            <w:pPr>
              <w:spacing w:after="0" w:line="148" w:lineRule="exact"/>
              <w:rPr>
                <w:sz w:val="20"/>
                <w:szCs w:val="20"/>
                <w:color w:val="auto"/>
              </w:rPr>
            </w:pPr>
            <w:r>
              <w:rPr>
                <w:rFonts w:ascii="Arial" w:cs="Arial" w:eastAsia="Arial" w:hAnsi="Arial"/>
                <w:sz w:val="13"/>
                <w:szCs w:val="13"/>
                <w:color w:val="auto"/>
              </w:rPr>
              <w:t>Rockville Town</w:t>
            </w:r>
          </w:p>
        </w:tc>
        <w:tc>
          <w:tcPr>
            <w:tcW w:w="300" w:type="dxa"/>
            <w:vAlign w:val="bottom"/>
          </w:tcPr>
          <w:p>
            <w:pPr>
              <w:ind w:left="80"/>
              <w:spacing w:after="0" w:line="148" w:lineRule="exact"/>
              <w:rPr>
                <w:sz w:val="20"/>
                <w:szCs w:val="20"/>
                <w:color w:val="auto"/>
              </w:rPr>
            </w:pPr>
            <w:r>
              <w:rPr>
                <w:rFonts w:ascii="Arial" w:cs="Arial" w:eastAsia="Arial" w:hAnsi="Arial"/>
                <w:sz w:val="13"/>
                <w:szCs w:val="13"/>
                <w:color w:val="auto"/>
              </w:rPr>
              <w:t>(7)</w:t>
            </w:r>
          </w:p>
        </w:tc>
        <w:tc>
          <w:tcPr>
            <w:tcW w:w="238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3"/>
              </w:rPr>
              <w:t>Washington-Arlington-Alexandria, DC-VA-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50,027</w:t>
            </w:r>
          </w:p>
        </w:tc>
        <w:tc>
          <w:tcPr>
            <w:tcW w:w="1040" w:type="dxa"/>
            <w:vAlign w:val="bottom"/>
          </w:tcPr>
          <w:p>
            <w:pPr>
              <w:jc w:val="right"/>
              <w:ind w:right="98"/>
              <w:spacing w:after="0" w:line="148" w:lineRule="exact"/>
              <w:rPr>
                <w:sz w:val="20"/>
                <w:szCs w:val="20"/>
                <w:color w:val="auto"/>
              </w:rPr>
            </w:pPr>
            <w:r>
              <w:rPr>
                <w:rFonts w:ascii="Arial" w:cs="Arial" w:eastAsia="Arial" w:hAnsi="Arial"/>
                <w:sz w:val="13"/>
                <w:szCs w:val="13"/>
                <w:color w:val="auto"/>
              </w:rPr>
              <w:t>4,409</w:t>
            </w: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12</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186,000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80%</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25,000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Dawson's</w:t>
            </w:r>
          </w:p>
        </w:tc>
        <w:tc>
          <w:tcPr>
            <w:tcW w:w="2060" w:type="dxa"/>
            <w:vAlign w:val="bottom"/>
          </w:tcPr>
          <w:p>
            <w:pPr>
              <w:ind w:left="40"/>
              <w:spacing w:after="0" w:line="148" w:lineRule="exact"/>
              <w:rPr>
                <w:sz w:val="20"/>
                <w:szCs w:val="20"/>
                <w:color w:val="auto"/>
              </w:rPr>
            </w:pPr>
            <w:r>
              <w:rPr>
                <w:rFonts w:ascii="Arial" w:cs="Arial" w:eastAsia="Arial" w:hAnsi="Arial"/>
                <w:sz w:val="13"/>
                <w:szCs w:val="13"/>
                <w:color w:val="auto"/>
              </w:rPr>
              <w:t>CVS / Gold's Gym / Multiple</w:t>
            </w:r>
          </w:p>
        </w:tc>
      </w:tr>
      <w:tr>
        <w:trPr>
          <w:trHeight w:val="168"/>
        </w:trPr>
        <w:tc>
          <w:tcPr>
            <w:tcW w:w="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Square</w:t>
            </w:r>
          </w:p>
        </w:tc>
        <w:tc>
          <w:tcPr>
            <w:tcW w:w="300" w:type="dxa"/>
            <w:vAlign w:val="bottom"/>
          </w:tcPr>
          <w:p>
            <w:pPr>
              <w:spacing w:after="0"/>
              <w:rPr>
                <w:sz w:val="14"/>
                <w:szCs w:val="14"/>
                <w:color w:val="auto"/>
              </w:rPr>
            </w:pPr>
          </w:p>
        </w:tc>
        <w:tc>
          <w:tcPr>
            <w:tcW w:w="2380" w:type="dxa"/>
            <w:vAlign w:val="bottom"/>
            <w:gridSpan w:val="2"/>
          </w:tcPr>
          <w:p>
            <w:pPr>
              <w:ind w:left="100"/>
              <w:spacing w:after="0"/>
              <w:rPr>
                <w:sz w:val="20"/>
                <w:szCs w:val="20"/>
                <w:color w:val="auto"/>
              </w:rPr>
            </w:pPr>
            <w:r>
              <w:rPr>
                <w:rFonts w:ascii="Arial" w:cs="Arial" w:eastAsia="Arial" w:hAnsi="Arial"/>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3"/>
                <w:szCs w:val="13"/>
                <w:color w:val="auto"/>
              </w:rPr>
              <w:t>Market</w:t>
            </w:r>
          </w:p>
        </w:tc>
        <w:tc>
          <w:tcPr>
            <w:tcW w:w="2060" w:type="dxa"/>
            <w:vAlign w:val="bottom"/>
          </w:tcPr>
          <w:p>
            <w:pPr>
              <w:ind w:left="40"/>
              <w:spacing w:after="0"/>
              <w:rPr>
                <w:sz w:val="20"/>
                <w:szCs w:val="20"/>
                <w:color w:val="auto"/>
              </w:rPr>
            </w:pPr>
            <w:r>
              <w:rPr>
                <w:rFonts w:ascii="Arial" w:cs="Arial" w:eastAsia="Arial" w:hAnsi="Arial"/>
                <w:sz w:val="13"/>
                <w:szCs w:val="13"/>
                <w:color w:val="auto"/>
              </w:rPr>
              <w:t>Restaurants</w:t>
            </w:r>
          </w:p>
        </w:tc>
      </w:tr>
      <w:tr>
        <w:trPr>
          <w:trHeight w:val="156"/>
        </w:trPr>
        <w:tc>
          <w:tcPr>
            <w:tcW w:w="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Rollingwood</w:t>
            </w:r>
          </w:p>
        </w:tc>
        <w:tc>
          <w:tcPr>
            <w:tcW w:w="3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3"/>
              </w:rPr>
              <w:t>Washington-Arlington-Alexandria, DC-VA-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11,349</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N/A</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282</w:t>
            </w: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r>
      <w:tr>
        <w:trPr>
          <w:trHeight w:val="176"/>
        </w:trPr>
        <w:tc>
          <w:tcPr>
            <w:tcW w:w="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Apartments</w:t>
            </w:r>
          </w:p>
        </w:tc>
        <w:tc>
          <w:tcPr>
            <w:tcW w:w="3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900" w:type="dxa"/>
            <w:vAlign w:val="bottom"/>
            <w:gridSpan w:val="2"/>
          </w:tcPr>
          <w:p>
            <w:pPr>
              <w:spacing w:after="0" w:line="148" w:lineRule="exact"/>
              <w:rPr>
                <w:sz w:val="20"/>
                <w:szCs w:val="20"/>
                <w:color w:val="auto"/>
              </w:rPr>
            </w:pPr>
            <w:r>
              <w:rPr>
                <w:rFonts w:ascii="Arial" w:cs="Arial" w:eastAsia="Arial" w:hAnsi="Arial"/>
                <w:sz w:val="13"/>
                <w:szCs w:val="13"/>
                <w:color w:val="auto"/>
              </w:rPr>
              <w:t>Sam's Park &amp;</w:t>
            </w:r>
          </w:p>
        </w:tc>
        <w:tc>
          <w:tcPr>
            <w:tcW w:w="300" w:type="dxa"/>
            <w:vAlign w:val="bottom"/>
          </w:tcPr>
          <w:p>
            <w:pPr>
              <w:spacing w:after="0"/>
              <w:rPr>
                <w:sz w:val="12"/>
                <w:szCs w:val="12"/>
                <w:color w:val="auto"/>
              </w:rPr>
            </w:pPr>
          </w:p>
        </w:tc>
        <w:tc>
          <w:tcPr>
            <w:tcW w:w="238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3"/>
              </w:rPr>
              <w:t>Washington-Arlington-Alexandria, DC-VA-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14,159</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51,000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60" w:type="dxa"/>
            <w:vAlign w:val="bottom"/>
          </w:tcPr>
          <w:p>
            <w:pPr>
              <w:ind w:left="40"/>
              <w:spacing w:after="0" w:line="148" w:lineRule="exact"/>
              <w:rPr>
                <w:sz w:val="20"/>
                <w:szCs w:val="20"/>
                <w:color w:val="auto"/>
              </w:rPr>
            </w:pPr>
            <w:r>
              <w:rPr>
                <w:rFonts w:ascii="Arial" w:cs="Arial" w:eastAsia="Arial" w:hAnsi="Arial"/>
                <w:sz w:val="13"/>
                <w:szCs w:val="13"/>
                <w:color w:val="auto"/>
              </w:rPr>
              <w:t>Target</w:t>
            </w:r>
          </w:p>
        </w:tc>
      </w:tr>
      <w:tr>
        <w:trPr>
          <w:trHeight w:val="168"/>
        </w:trPr>
        <w:tc>
          <w:tcPr>
            <w:tcW w:w="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Shop</w:t>
            </w:r>
          </w:p>
        </w:tc>
        <w:tc>
          <w:tcPr>
            <w:tcW w:w="300" w:type="dxa"/>
            <w:vAlign w:val="bottom"/>
          </w:tcPr>
          <w:p>
            <w:pPr>
              <w:spacing w:after="0"/>
              <w:rPr>
                <w:sz w:val="14"/>
                <w:szCs w:val="14"/>
                <w:color w:val="auto"/>
              </w:rPr>
            </w:pPr>
          </w:p>
        </w:tc>
        <w:tc>
          <w:tcPr>
            <w:tcW w:w="2380" w:type="dxa"/>
            <w:vAlign w:val="bottom"/>
            <w:gridSpan w:val="2"/>
          </w:tcPr>
          <w:p>
            <w:pPr>
              <w:ind w:left="100"/>
              <w:spacing w:after="0"/>
              <w:rPr>
                <w:sz w:val="20"/>
                <w:szCs w:val="20"/>
                <w:color w:val="auto"/>
              </w:rPr>
            </w:pPr>
            <w:r>
              <w:rPr>
                <w:rFonts w:ascii="Arial" w:cs="Arial" w:eastAsia="Arial" w:hAnsi="Arial"/>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56"/>
        </w:trPr>
        <w:tc>
          <w:tcPr>
            <w:tcW w:w="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Tower</w:t>
            </w:r>
          </w:p>
        </w:tc>
        <w:tc>
          <w:tcPr>
            <w:tcW w:w="3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3"/>
              </w:rPr>
              <w:t>Washington-Arlington-Alexandria, DC-VA-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22,715</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112,000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26,000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L.A. Mart</w:t>
            </w: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Talbots / Total Wine &amp; More</w:t>
            </w:r>
          </w:p>
        </w:tc>
      </w:tr>
      <w:tr>
        <w:trPr>
          <w:trHeight w:val="135"/>
        </w:trPr>
        <w:tc>
          <w:tcPr>
            <w:tcW w:w="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Shopping</w:t>
            </w:r>
          </w:p>
        </w:tc>
        <w:tc>
          <w:tcPr>
            <w:tcW w:w="300" w:type="dxa"/>
            <w:vAlign w:val="bottom"/>
            <w:shd w:val="clear" w:color="auto" w:fill="CCEEFF"/>
          </w:tcPr>
          <w:p>
            <w:pPr>
              <w:spacing w:after="0"/>
              <w:rPr>
                <w:sz w:val="11"/>
                <w:szCs w:val="11"/>
                <w:color w:val="auto"/>
              </w:rPr>
            </w:pPr>
          </w:p>
        </w:tc>
        <w:tc>
          <w:tcPr>
            <w:tcW w:w="23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Center</w:t>
            </w:r>
          </w:p>
        </w:tc>
        <w:tc>
          <w:tcPr>
            <w:tcW w:w="3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900" w:type="dxa"/>
            <w:vAlign w:val="bottom"/>
            <w:gridSpan w:val="2"/>
          </w:tcPr>
          <w:p>
            <w:pPr>
              <w:spacing w:after="0" w:line="148" w:lineRule="exact"/>
              <w:rPr>
                <w:sz w:val="20"/>
                <w:szCs w:val="20"/>
                <w:color w:val="auto"/>
              </w:rPr>
            </w:pPr>
            <w:r>
              <w:rPr>
                <w:rFonts w:ascii="Arial" w:cs="Arial" w:eastAsia="Arial" w:hAnsi="Arial"/>
                <w:sz w:val="13"/>
                <w:szCs w:val="13"/>
                <w:color w:val="auto"/>
                <w:w w:val="99"/>
              </w:rPr>
              <w:t>Tyson's Station</w:t>
            </w:r>
          </w:p>
        </w:tc>
        <w:tc>
          <w:tcPr>
            <w:tcW w:w="300" w:type="dxa"/>
            <w:vAlign w:val="bottom"/>
          </w:tcPr>
          <w:p>
            <w:pPr>
              <w:spacing w:after="0"/>
              <w:rPr>
                <w:sz w:val="12"/>
                <w:szCs w:val="12"/>
                <w:color w:val="auto"/>
              </w:rPr>
            </w:pPr>
          </w:p>
        </w:tc>
        <w:tc>
          <w:tcPr>
            <w:tcW w:w="238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3"/>
              </w:rPr>
              <w:t>Washington-Arlington-Alexandria, DC-VA-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5,340</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5</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50,000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11,000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Trader Joe's</w:t>
            </w:r>
          </w:p>
        </w:tc>
        <w:tc>
          <w:tcPr>
            <w:tcW w:w="2060" w:type="dxa"/>
            <w:vAlign w:val="bottom"/>
          </w:tcPr>
          <w:p>
            <w:pPr>
              <w:spacing w:after="0"/>
              <w:rPr>
                <w:sz w:val="12"/>
                <w:szCs w:val="12"/>
                <w:color w:val="auto"/>
              </w:rPr>
            </w:pP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2"/>
          </w:tcPr>
          <w:p>
            <w:pPr>
              <w:ind w:left="100"/>
              <w:spacing w:after="0"/>
              <w:rPr>
                <w:sz w:val="20"/>
                <w:szCs w:val="20"/>
                <w:color w:val="auto"/>
              </w:rPr>
            </w:pPr>
            <w:r>
              <w:rPr>
                <w:rFonts w:ascii="Arial" w:cs="Arial" w:eastAsia="Arial" w:hAnsi="Arial"/>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56"/>
        </w:trPr>
        <w:tc>
          <w:tcPr>
            <w:tcW w:w="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Village at</w:t>
            </w:r>
          </w:p>
        </w:tc>
        <w:tc>
          <w:tcPr>
            <w:tcW w:w="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(7)</w:t>
            </w: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3"/>
              </w:rPr>
              <w:t>Washington-Arlington-Alexandria, DC-VA-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69,906</w:t>
            </w:r>
          </w:p>
        </w:tc>
        <w:tc>
          <w:tcPr>
            <w:tcW w:w="104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6,783</w:t>
            </w: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258,000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28,000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4"/>
              </w:rPr>
              <w:t>Harris Teeter</w:t>
            </w: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AMC / Carlyle Grand Café</w:t>
            </w:r>
          </w:p>
        </w:tc>
      </w:tr>
      <w:tr>
        <w:trPr>
          <w:trHeight w:val="176"/>
        </w:trPr>
        <w:tc>
          <w:tcPr>
            <w:tcW w:w="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Shirlington</w:t>
            </w:r>
          </w:p>
        </w:tc>
        <w:tc>
          <w:tcPr>
            <w:tcW w:w="3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900" w:type="dxa"/>
            <w:vAlign w:val="bottom"/>
            <w:gridSpan w:val="2"/>
          </w:tcPr>
          <w:p>
            <w:pPr>
              <w:spacing w:after="0" w:line="148" w:lineRule="exact"/>
              <w:rPr>
                <w:sz w:val="20"/>
                <w:szCs w:val="20"/>
                <w:color w:val="auto"/>
              </w:rPr>
            </w:pPr>
            <w:r>
              <w:rPr>
                <w:rFonts w:ascii="Arial" w:cs="Arial" w:eastAsia="Arial" w:hAnsi="Arial"/>
                <w:sz w:val="13"/>
                <w:szCs w:val="13"/>
                <w:color w:val="auto"/>
              </w:rPr>
              <w:t>Wildwood</w:t>
            </w:r>
          </w:p>
        </w:tc>
        <w:tc>
          <w:tcPr>
            <w:tcW w:w="300" w:type="dxa"/>
            <w:vAlign w:val="bottom"/>
          </w:tcPr>
          <w:p>
            <w:pPr>
              <w:spacing w:after="0"/>
              <w:rPr>
                <w:sz w:val="12"/>
                <w:szCs w:val="12"/>
                <w:color w:val="auto"/>
              </w:rPr>
            </w:pPr>
          </w:p>
        </w:tc>
        <w:tc>
          <w:tcPr>
            <w:tcW w:w="238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3"/>
              </w:rPr>
              <w:t>Washington-Arlington-Alexandria, DC-VA-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25,999</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12</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87,000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20,000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Balducci's</w:t>
            </w:r>
          </w:p>
        </w:tc>
        <w:tc>
          <w:tcPr>
            <w:tcW w:w="2060" w:type="dxa"/>
            <w:vAlign w:val="bottom"/>
          </w:tcPr>
          <w:p>
            <w:pPr>
              <w:ind w:left="40"/>
              <w:spacing w:after="0" w:line="148" w:lineRule="exact"/>
              <w:rPr>
                <w:sz w:val="20"/>
                <w:szCs w:val="20"/>
                <w:color w:val="auto"/>
              </w:rPr>
            </w:pPr>
            <w:r>
              <w:rPr>
                <w:rFonts w:ascii="Arial" w:cs="Arial" w:eastAsia="Arial" w:hAnsi="Arial"/>
                <w:sz w:val="13"/>
                <w:szCs w:val="13"/>
                <w:color w:val="auto"/>
              </w:rPr>
              <w:t>CVS / Flower Child</w:t>
            </w:r>
          </w:p>
        </w:tc>
      </w:tr>
      <w:tr>
        <w:trPr>
          <w:trHeight w:val="135"/>
        </w:trPr>
        <w:tc>
          <w:tcPr>
            <w:tcW w:w="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3"/>
                <w:szCs w:val="13"/>
                <w:color w:val="auto"/>
              </w:rPr>
              <w:t>Shopping</w:t>
            </w:r>
          </w:p>
        </w:tc>
        <w:tc>
          <w:tcPr>
            <w:tcW w:w="300" w:type="dxa"/>
            <w:vAlign w:val="bottom"/>
          </w:tcPr>
          <w:p>
            <w:pPr>
              <w:spacing w:after="0"/>
              <w:rPr>
                <w:sz w:val="11"/>
                <w:szCs w:val="11"/>
                <w:color w:val="auto"/>
              </w:rPr>
            </w:pPr>
          </w:p>
        </w:tc>
        <w:tc>
          <w:tcPr>
            <w:tcW w:w="238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MD-WV</w:t>
            </w: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60" w:type="dxa"/>
            <w:vAlign w:val="bottom"/>
          </w:tcPr>
          <w:p>
            <w:pPr>
              <w:spacing w:after="0"/>
              <w:rPr>
                <w:sz w:val="11"/>
                <w:szCs w:val="11"/>
                <w:color w:val="auto"/>
              </w:rPr>
            </w:pPr>
          </w:p>
        </w:tc>
      </w:tr>
      <w:tr>
        <w:trPr>
          <w:trHeight w:val="170"/>
        </w:trPr>
        <w:tc>
          <w:tcPr>
            <w:tcW w:w="4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Center</w:t>
            </w:r>
          </w:p>
        </w:tc>
        <w:tc>
          <w:tcPr>
            <w:tcW w:w="30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2060" w:type="dxa"/>
            <w:vAlign w:val="bottom"/>
            <w:tcBorders>
              <w:bottom w:val="single" w:sz="8" w:color="CCEEFF"/>
            </w:tcBorders>
          </w:tcPr>
          <w:p>
            <w:pPr>
              <w:spacing w:after="0"/>
              <w:rPr>
                <w:sz w:val="14"/>
                <w:szCs w:val="14"/>
                <w:color w:val="auto"/>
              </w:rPr>
            </w:pPr>
          </w:p>
        </w:tc>
      </w:tr>
      <w:tr>
        <w:trPr>
          <w:trHeight w:val="173"/>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b w:val="1"/>
                <w:bCs w:val="1"/>
                <w:color w:val="auto"/>
              </w:rPr>
              <w:t>Total Washington Metropolitan Area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w w:val="89"/>
              </w:rPr>
              <w:t>2,106,089</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433</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3"/>
              </w:rPr>
              <w:t>5,977,000</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84"/>
        </w:trPr>
        <w:tc>
          <w:tcPr>
            <w:tcW w:w="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8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060" w:type="dxa"/>
            <w:vAlign w:val="bottom"/>
            <w:shd w:val="clear" w:color="auto" w:fill="CCEEFF"/>
          </w:tcPr>
          <w:p>
            <w:pPr>
              <w:spacing w:after="0"/>
              <w:rPr>
                <w:sz w:val="7"/>
                <w:szCs w:val="7"/>
                <w:color w:val="auto"/>
              </w:rPr>
            </w:pPr>
          </w:p>
        </w:tc>
      </w:tr>
      <w:tr>
        <w:trPr>
          <w:trHeight w:val="270"/>
        </w:trPr>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60" w:type="dxa"/>
            <w:vAlign w:val="bottom"/>
          </w:tcPr>
          <w:p>
            <w:pPr>
              <w:spacing w:after="0"/>
              <w:rPr>
                <w:sz w:val="23"/>
                <w:szCs w:val="23"/>
                <w:color w:val="auto"/>
              </w:rPr>
            </w:pPr>
          </w:p>
        </w:tc>
      </w:tr>
      <w:tr>
        <w:trPr>
          <w:trHeight w:val="149"/>
        </w:trPr>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California</w:t>
            </w: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r>
      <w:tr>
        <w:trPr>
          <w:trHeight w:val="101"/>
        </w:trPr>
        <w:tc>
          <w:tcPr>
            <w:tcW w:w="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184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04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2060" w:type="dxa"/>
            <w:vAlign w:val="bottom"/>
            <w:tcBorders>
              <w:top w:val="single" w:sz="8" w:color="CCEEFF"/>
            </w:tcBorders>
            <w:shd w:val="clear" w:color="auto" w:fill="CCEEFF"/>
          </w:tcPr>
          <w:p>
            <w:pPr>
              <w:spacing w:after="0"/>
              <w:rPr>
                <w:sz w:val="8"/>
                <w:szCs w:val="8"/>
                <w:color w:val="auto"/>
              </w:rPr>
            </w:pPr>
          </w:p>
        </w:tc>
      </w:tr>
      <w:tr>
        <w:trPr>
          <w:trHeight w:val="148"/>
        </w:trPr>
        <w:tc>
          <w:tcPr>
            <w:tcW w:w="40" w:type="dxa"/>
            <w:vAlign w:val="bottom"/>
          </w:tcPr>
          <w:p>
            <w:pPr>
              <w:spacing w:after="0"/>
              <w:rPr>
                <w:sz w:val="12"/>
                <w:szCs w:val="12"/>
                <w:color w:val="auto"/>
              </w:rPr>
            </w:pPr>
          </w:p>
        </w:tc>
        <w:tc>
          <w:tcPr>
            <w:tcW w:w="900" w:type="dxa"/>
            <w:vAlign w:val="bottom"/>
            <w:gridSpan w:val="2"/>
          </w:tcPr>
          <w:p>
            <w:pPr>
              <w:spacing w:after="0" w:line="148" w:lineRule="exact"/>
              <w:rPr>
                <w:sz w:val="20"/>
                <w:szCs w:val="20"/>
                <w:color w:val="auto"/>
              </w:rPr>
            </w:pPr>
            <w:r>
              <w:rPr>
                <w:rFonts w:ascii="Arial" w:cs="Arial" w:eastAsia="Arial" w:hAnsi="Arial"/>
                <w:sz w:val="13"/>
                <w:szCs w:val="13"/>
                <w:color w:val="auto"/>
              </w:rPr>
              <w:t>Azalea</w:t>
            </w:r>
          </w:p>
        </w:tc>
        <w:tc>
          <w:tcPr>
            <w:tcW w:w="2680" w:type="dxa"/>
            <w:vAlign w:val="bottom"/>
            <w:gridSpan w:val="3"/>
          </w:tcPr>
          <w:p>
            <w:pPr>
              <w:ind w:left="80"/>
              <w:spacing w:after="0" w:line="148" w:lineRule="exact"/>
              <w:rPr>
                <w:sz w:val="20"/>
                <w:szCs w:val="20"/>
                <w:color w:val="auto"/>
              </w:rPr>
            </w:pPr>
            <w:r>
              <w:rPr>
                <w:rFonts w:ascii="Arial" w:cs="Arial" w:eastAsia="Arial" w:hAnsi="Arial"/>
                <w:sz w:val="13"/>
                <w:szCs w:val="13"/>
                <w:color w:val="auto"/>
              </w:rPr>
              <w:t>(4)   Los Angeles-Long Beach-Anaheim, CA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107,305</w:t>
            </w:r>
          </w:p>
        </w:tc>
        <w:tc>
          <w:tcPr>
            <w:tcW w:w="1040" w:type="dxa"/>
            <w:vAlign w:val="bottom"/>
          </w:tcPr>
          <w:p>
            <w:pPr>
              <w:jc w:val="right"/>
              <w:ind w:right="98"/>
              <w:spacing w:after="0" w:line="148" w:lineRule="exact"/>
              <w:rPr>
                <w:sz w:val="20"/>
                <w:szCs w:val="20"/>
                <w:color w:val="auto"/>
              </w:rPr>
            </w:pPr>
            <w:r>
              <w:rPr>
                <w:rFonts w:ascii="Arial" w:cs="Arial" w:eastAsia="Arial" w:hAnsi="Arial"/>
                <w:sz w:val="13"/>
                <w:szCs w:val="13"/>
                <w:color w:val="auto"/>
              </w:rPr>
              <w:t>40,000</w:t>
            </w: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22</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223,000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60" w:type="dxa"/>
            <w:vAlign w:val="bottom"/>
          </w:tcPr>
          <w:p>
            <w:pPr>
              <w:ind w:left="40"/>
              <w:spacing w:after="0" w:line="148" w:lineRule="exact"/>
              <w:rPr>
                <w:sz w:val="20"/>
                <w:szCs w:val="20"/>
                <w:color w:val="auto"/>
              </w:rPr>
            </w:pPr>
            <w:r>
              <w:rPr>
                <w:rFonts w:ascii="Arial" w:cs="Arial" w:eastAsia="Arial" w:hAnsi="Arial"/>
                <w:sz w:val="13"/>
                <w:szCs w:val="13"/>
                <w:color w:val="auto"/>
                <w:w w:val="89"/>
              </w:rPr>
              <w:t>Marshalls / Ross Dress for Less / Ulta /</w:t>
            </w:r>
          </w:p>
        </w:tc>
      </w:tr>
      <w:tr>
        <w:trPr>
          <w:trHeight w:val="160"/>
        </w:trPr>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60" w:type="dxa"/>
            <w:vAlign w:val="bottom"/>
          </w:tcPr>
          <w:p>
            <w:pPr>
              <w:ind w:left="40"/>
              <w:spacing w:after="0"/>
              <w:rPr>
                <w:sz w:val="20"/>
                <w:szCs w:val="20"/>
                <w:color w:val="auto"/>
              </w:rPr>
            </w:pPr>
            <w:r>
              <w:rPr>
                <w:rFonts w:ascii="Arial" w:cs="Arial" w:eastAsia="Arial" w:hAnsi="Arial"/>
                <w:sz w:val="13"/>
                <w:szCs w:val="13"/>
                <w:color w:val="auto"/>
              </w:rPr>
              <w:t>Michaels</w:t>
            </w:r>
          </w:p>
        </w:tc>
      </w:tr>
    </w:tbl>
    <w:p>
      <w:pPr>
        <w:spacing w:after="0" w:line="200" w:lineRule="exact"/>
        <w:rPr>
          <w:sz w:val="20"/>
          <w:szCs w:val="20"/>
          <w:color w:val="auto"/>
        </w:rPr>
      </w:pPr>
    </w:p>
    <w:p>
      <w:pPr>
        <w:sectPr>
          <w:pgSz w:w="11900" w:h="16838" w:orient="portrait"/>
          <w:cols w:equalWidth="0" w:num="1">
            <w:col w:w="11240"/>
          </w:cols>
          <w:pgMar w:left="320" w:top="720" w:right="339" w:bottom="1440" w:gutter="0" w:footer="0" w:header="0"/>
        </w:sectPr>
      </w:pP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40"/>
          </w:cols>
          <w:pgMar w:left="320" w:top="720" w:right="339" w:bottom="1440" w:gutter="0" w:footer="0" w:header="0"/>
          <w:type w:val="continuous"/>
        </w:sectPr>
      </w:pPr>
    </w:p>
    <w:bookmarkStart w:id="23" w:name="page24"/>
    <w:bookmarkEnd w:id="23"/>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March 31, 2020</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7"/>
              </w:rPr>
              <w:t>Real</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9"/>
              </w:rPr>
              <w:t>Mortgage/Finance</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17"/>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3"/>
                <w:szCs w:val="13"/>
                <w:b w:val="1"/>
                <w:bCs w:val="1"/>
                <w:color w:val="auto"/>
              </w:rPr>
              <w:t>Grocery</w:t>
            </w:r>
          </w:p>
        </w:tc>
        <w:tc>
          <w:tcPr>
            <w:tcW w:w="84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3"/>
                <w:szCs w:val="13"/>
                <w:b w:val="1"/>
                <w:bCs w:val="1"/>
                <w:color w:val="auto"/>
              </w:rPr>
              <w:t>Property</w:t>
            </w: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Estate at</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Lease Liabilities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Leased</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6"/>
              </w:rPr>
              <w:t>Residential</w:t>
            </w: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Anchor</w:t>
            </w:r>
          </w:p>
        </w:tc>
        <w:tc>
          <w:tcPr>
            <w:tcW w:w="84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040" w:type="dxa"/>
            <w:vAlign w:val="bottom"/>
          </w:tcPr>
          <w:p>
            <w:pPr>
              <w:spacing w:after="0"/>
              <w:rPr>
                <w:sz w:val="11"/>
                <w:szCs w:val="11"/>
                <w:color w:val="auto"/>
              </w:rPr>
            </w:pPr>
          </w:p>
        </w:tc>
      </w:tr>
      <w:tr>
        <w:trPr>
          <w:trHeight w:val="174"/>
        </w:trPr>
        <w:tc>
          <w:tcPr>
            <w:tcW w:w="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Name</w:t>
            </w:r>
          </w:p>
        </w:tc>
        <w:tc>
          <w:tcPr>
            <w:tcW w:w="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tcPr>
          <w:p>
            <w:pPr>
              <w:ind w:left="680"/>
              <w:spacing w:after="0"/>
              <w:rPr>
                <w:sz w:val="20"/>
                <w:szCs w:val="20"/>
                <w:color w:val="auto"/>
              </w:rPr>
            </w:pPr>
            <w:r>
              <w:rPr>
                <w:rFonts w:ascii="Arial" w:cs="Arial" w:eastAsia="Arial" w:hAnsi="Arial"/>
                <w:sz w:val="13"/>
                <w:szCs w:val="13"/>
                <w:b w:val="1"/>
                <w:bCs w:val="1"/>
                <w:color w:val="auto"/>
              </w:rPr>
              <w:t>MSA Description</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Cost (1)</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w:t>
            </w:r>
          </w:p>
        </w:tc>
        <w:tc>
          <w:tcPr>
            <w:tcW w:w="5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3"/>
              </w:rPr>
              <w:t>Acreage</w:t>
            </w:r>
          </w:p>
        </w:tc>
        <w:tc>
          <w:tcPr>
            <w:tcW w:w="78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GLA (3)</w:t>
            </w:r>
          </w:p>
        </w:tc>
        <w:tc>
          <w:tcPr>
            <w:tcW w:w="4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(3)</w:t>
            </w:r>
          </w:p>
        </w:tc>
        <w:tc>
          <w:tcPr>
            <w:tcW w:w="6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Units</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GLA</w:t>
            </w: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0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Other Retail Tenants</w:t>
            </w:r>
          </w:p>
        </w:tc>
      </w:tr>
      <w:tr>
        <w:trPr>
          <w:trHeight w:val="139"/>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4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104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4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Bell Gardens</w:t>
            </w:r>
          </w:p>
        </w:tc>
        <w:tc>
          <w:tcPr>
            <w:tcW w:w="4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7"/>
              </w:rPr>
              <w:t>(4)</w:t>
            </w:r>
          </w:p>
        </w:tc>
        <w:tc>
          <w:tcPr>
            <w:tcW w:w="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w w:val="99"/>
              </w:rPr>
              <w:t>Los Angeles-Long Beach-Anaheim, CA</w:t>
            </w:r>
          </w:p>
        </w:tc>
        <w:tc>
          <w:tcPr>
            <w:tcW w:w="66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111,024</w:t>
            </w:r>
          </w:p>
        </w:tc>
        <w:tc>
          <w:tcPr>
            <w:tcW w:w="1040" w:type="dxa"/>
            <w:vAlign w:val="bottom"/>
            <w:shd w:val="clear" w:color="auto" w:fill="CCEEFF"/>
          </w:tcPr>
          <w:p>
            <w:pPr>
              <w:jc w:val="right"/>
              <w:ind w:right="98"/>
              <w:spacing w:after="0" w:line="148" w:lineRule="exact"/>
              <w:rPr>
                <w:sz w:val="20"/>
                <w:szCs w:val="20"/>
                <w:color w:val="auto"/>
              </w:rPr>
            </w:pPr>
            <w:r>
              <w:rPr>
                <w:rFonts w:ascii="Arial" w:cs="Arial" w:eastAsia="Arial" w:hAnsi="Arial"/>
                <w:sz w:val="13"/>
                <w:szCs w:val="13"/>
                <w:color w:val="auto"/>
              </w:rPr>
              <w:t>12,611</w:t>
            </w:r>
          </w:p>
        </w:tc>
        <w:tc>
          <w:tcPr>
            <w:tcW w:w="4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330,000</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93%</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67,000</w:t>
            </w:r>
          </w:p>
        </w:tc>
        <w:tc>
          <w:tcPr>
            <w:tcW w:w="84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Food 4 Less</w:t>
            </w:r>
          </w:p>
        </w:tc>
        <w:tc>
          <w:tcPr>
            <w:tcW w:w="20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w w:val="88"/>
              </w:rPr>
              <w:t>Marshalls / Ross Dress for Less / Bob's</w:t>
            </w:r>
          </w:p>
        </w:tc>
      </w:tr>
      <w:tr>
        <w:trPr>
          <w:trHeight w:val="176"/>
        </w:trPr>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Discount Furniture</w:t>
            </w:r>
          </w:p>
        </w:tc>
      </w:tr>
      <w:tr>
        <w:trPr>
          <w:trHeight w:val="148"/>
        </w:trPr>
        <w:tc>
          <w:tcPr>
            <w:tcW w:w="40" w:type="dxa"/>
            <w:vAlign w:val="bottom"/>
          </w:tcPr>
          <w:p>
            <w:pPr>
              <w:spacing w:after="0"/>
              <w:rPr>
                <w:sz w:val="12"/>
                <w:szCs w:val="12"/>
                <w:color w:val="auto"/>
              </w:rPr>
            </w:pPr>
          </w:p>
        </w:tc>
        <w:tc>
          <w:tcPr>
            <w:tcW w:w="840" w:type="dxa"/>
            <w:vAlign w:val="bottom"/>
          </w:tcPr>
          <w:p>
            <w:pPr>
              <w:spacing w:after="0" w:line="148" w:lineRule="exact"/>
              <w:rPr>
                <w:sz w:val="20"/>
                <w:szCs w:val="20"/>
                <w:color w:val="auto"/>
              </w:rPr>
            </w:pPr>
            <w:r>
              <w:rPr>
                <w:rFonts w:ascii="Arial" w:cs="Arial" w:eastAsia="Arial" w:hAnsi="Arial"/>
                <w:sz w:val="13"/>
                <w:szCs w:val="13"/>
                <w:color w:val="auto"/>
              </w:rPr>
              <w:t>Colorado Blvd</w:t>
            </w:r>
          </w:p>
        </w:tc>
        <w:tc>
          <w:tcPr>
            <w:tcW w:w="420" w:type="dxa"/>
            <w:vAlign w:val="bottom"/>
          </w:tcPr>
          <w:p>
            <w:pPr>
              <w:jc w:val="center"/>
              <w:spacing w:after="0" w:line="148" w:lineRule="exact"/>
              <w:rPr>
                <w:sz w:val="20"/>
                <w:szCs w:val="20"/>
                <w:color w:val="auto"/>
              </w:rPr>
            </w:pPr>
            <w:r>
              <w:rPr>
                <w:rFonts w:ascii="Arial" w:cs="Arial" w:eastAsia="Arial" w:hAnsi="Arial"/>
                <w:sz w:val="13"/>
                <w:szCs w:val="13"/>
                <w:color w:val="auto"/>
                <w:w w:val="87"/>
              </w:rPr>
              <w:t>(8)</w:t>
            </w:r>
          </w:p>
        </w:tc>
        <w:tc>
          <w:tcPr>
            <w:tcW w:w="20" w:type="dxa"/>
            <w:vAlign w:val="bottom"/>
          </w:tcPr>
          <w:p>
            <w:pPr>
              <w:spacing w:after="0"/>
              <w:rPr>
                <w:sz w:val="12"/>
                <w:szCs w:val="12"/>
                <w:color w:val="auto"/>
              </w:rPr>
            </w:pPr>
          </w:p>
        </w:tc>
        <w:tc>
          <w:tcPr>
            <w:tcW w:w="2300" w:type="dxa"/>
            <w:vAlign w:val="bottom"/>
          </w:tcPr>
          <w:p>
            <w:pPr>
              <w:ind w:left="20"/>
              <w:spacing w:after="0" w:line="148" w:lineRule="exact"/>
              <w:rPr>
                <w:sz w:val="20"/>
                <w:szCs w:val="20"/>
                <w:color w:val="auto"/>
              </w:rPr>
            </w:pPr>
            <w:r>
              <w:rPr>
                <w:rFonts w:ascii="Arial" w:cs="Arial" w:eastAsia="Arial" w:hAnsi="Arial"/>
                <w:sz w:val="13"/>
                <w:szCs w:val="13"/>
                <w:color w:val="auto"/>
                <w:w w:val="99"/>
              </w:rPr>
              <w:t>Los Angeles-Long Beach-Anaheim, CA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19,708</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61,000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tcPr>
          <w:p>
            <w:pPr>
              <w:jc w:val="right"/>
              <w:ind w:right="77"/>
              <w:spacing w:after="0" w:line="148" w:lineRule="exact"/>
              <w:rPr>
                <w:sz w:val="20"/>
                <w:szCs w:val="20"/>
                <w:color w:val="auto"/>
              </w:rPr>
            </w:pPr>
            <w:r>
              <w:rPr>
                <w:rFonts w:ascii="Arial" w:cs="Arial" w:eastAsia="Arial" w:hAnsi="Arial"/>
                <w:sz w:val="13"/>
                <w:szCs w:val="13"/>
                <w:color w:val="auto"/>
              </w:rPr>
              <w:t>12</w:t>
            </w: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40" w:type="dxa"/>
            <w:vAlign w:val="bottom"/>
          </w:tcPr>
          <w:p>
            <w:pPr>
              <w:ind w:left="20"/>
              <w:spacing w:after="0" w:line="148" w:lineRule="exact"/>
              <w:rPr>
                <w:sz w:val="20"/>
                <w:szCs w:val="20"/>
                <w:color w:val="auto"/>
              </w:rPr>
            </w:pPr>
            <w:r>
              <w:rPr>
                <w:rFonts w:ascii="Arial" w:cs="Arial" w:eastAsia="Arial" w:hAnsi="Arial"/>
                <w:sz w:val="13"/>
                <w:szCs w:val="13"/>
                <w:color w:val="auto"/>
                <w:w w:val="91"/>
              </w:rPr>
              <w:t>Pottery Barn / Banana Republic / True</w:t>
            </w:r>
          </w:p>
        </w:tc>
      </w:tr>
      <w:tr>
        <w:trPr>
          <w:trHeight w:val="168"/>
        </w:trPr>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40" w:type="dxa"/>
            <w:vAlign w:val="bottom"/>
          </w:tcPr>
          <w:p>
            <w:pPr>
              <w:ind w:left="20"/>
              <w:spacing w:after="0"/>
              <w:rPr>
                <w:sz w:val="20"/>
                <w:szCs w:val="20"/>
                <w:color w:val="auto"/>
              </w:rPr>
            </w:pPr>
            <w:r>
              <w:rPr>
                <w:rFonts w:ascii="Arial" w:cs="Arial" w:eastAsia="Arial" w:hAnsi="Arial"/>
                <w:sz w:val="13"/>
                <w:szCs w:val="13"/>
                <w:color w:val="auto"/>
              </w:rPr>
              <w:t>Foods Kitchen</w:t>
            </w:r>
          </w:p>
        </w:tc>
      </w:tr>
      <w:tr>
        <w:trPr>
          <w:trHeight w:val="156"/>
        </w:trPr>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3"/>
                <w:szCs w:val="13"/>
                <w:color w:val="auto"/>
              </w:rPr>
              <w:t>Crow Canyon</w:t>
            </w: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San Francisco-Oakland-Hayward, CA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90,319</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241,000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32,000</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Sprouts</w:t>
            </w:r>
          </w:p>
        </w:tc>
        <w:tc>
          <w:tcPr>
            <w:tcW w:w="2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Wine &amp; More / Rite Aid</w:t>
            </w:r>
          </w:p>
        </w:tc>
      </w:tr>
      <w:tr>
        <w:trPr>
          <w:trHeight w:val="176"/>
        </w:trPr>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3"/>
                <w:szCs w:val="13"/>
                <w:color w:val="auto"/>
              </w:rPr>
              <w:t>Commons</w:t>
            </w: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840" w:type="dxa"/>
            <w:vAlign w:val="bottom"/>
          </w:tcPr>
          <w:p>
            <w:pPr>
              <w:spacing w:after="0" w:line="148" w:lineRule="exact"/>
              <w:rPr>
                <w:sz w:val="20"/>
                <w:szCs w:val="20"/>
                <w:color w:val="auto"/>
              </w:rPr>
            </w:pPr>
            <w:r>
              <w:rPr>
                <w:rFonts w:ascii="Arial" w:cs="Arial" w:eastAsia="Arial" w:hAnsi="Arial"/>
                <w:sz w:val="13"/>
                <w:szCs w:val="13"/>
                <w:color w:val="auto"/>
              </w:rPr>
              <w:t>East Bay</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tcPr>
          <w:p>
            <w:pPr>
              <w:ind w:left="20"/>
              <w:spacing w:after="0" w:line="148" w:lineRule="exact"/>
              <w:rPr>
                <w:sz w:val="20"/>
                <w:szCs w:val="20"/>
                <w:color w:val="auto"/>
              </w:rPr>
            </w:pPr>
            <w:r>
              <w:rPr>
                <w:rFonts w:ascii="Arial" w:cs="Arial" w:eastAsia="Arial" w:hAnsi="Arial"/>
                <w:sz w:val="13"/>
                <w:szCs w:val="13"/>
                <w:color w:val="auto"/>
              </w:rPr>
              <w:t>San Francisco-Oakland-Hayward, CA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178,955</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32</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441,000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59,000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Pak-N-Save</w:t>
            </w:r>
          </w:p>
        </w:tc>
        <w:tc>
          <w:tcPr>
            <w:tcW w:w="2040" w:type="dxa"/>
            <w:vAlign w:val="bottom"/>
          </w:tcPr>
          <w:p>
            <w:pPr>
              <w:ind w:left="20"/>
              <w:spacing w:after="0" w:line="148" w:lineRule="exact"/>
              <w:rPr>
                <w:sz w:val="20"/>
                <w:szCs w:val="20"/>
                <w:color w:val="auto"/>
              </w:rPr>
            </w:pPr>
            <w:r>
              <w:rPr>
                <w:rFonts w:ascii="Arial" w:cs="Arial" w:eastAsia="Arial" w:hAnsi="Arial"/>
                <w:sz w:val="13"/>
                <w:szCs w:val="13"/>
                <w:color w:val="auto"/>
              </w:rPr>
              <w:t>Home Depot / Target / Nordstrom</w:t>
            </w:r>
          </w:p>
        </w:tc>
      </w:tr>
      <w:tr>
        <w:trPr>
          <w:trHeight w:val="168"/>
        </w:trPr>
        <w:tc>
          <w:tcPr>
            <w:tcW w:w="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Bridge</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40" w:type="dxa"/>
            <w:vAlign w:val="bottom"/>
          </w:tcPr>
          <w:p>
            <w:pPr>
              <w:ind w:left="20"/>
              <w:spacing w:after="0"/>
              <w:rPr>
                <w:sz w:val="20"/>
                <w:szCs w:val="20"/>
                <w:color w:val="auto"/>
              </w:rPr>
            </w:pPr>
            <w:r>
              <w:rPr>
                <w:rFonts w:ascii="Arial" w:cs="Arial" w:eastAsia="Arial" w:hAnsi="Arial"/>
                <w:sz w:val="13"/>
                <w:szCs w:val="13"/>
                <w:color w:val="auto"/>
              </w:rPr>
              <w:t>Rack</w:t>
            </w:r>
          </w:p>
        </w:tc>
      </w:tr>
      <w:tr>
        <w:trPr>
          <w:trHeight w:val="156"/>
        </w:trPr>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3"/>
                <w:szCs w:val="13"/>
                <w:color w:val="auto"/>
              </w:rPr>
              <w:t>Escondido</w:t>
            </w:r>
          </w:p>
        </w:tc>
        <w:tc>
          <w:tcPr>
            <w:tcW w:w="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(4)</w:t>
            </w:r>
          </w:p>
        </w:tc>
        <w:tc>
          <w:tcPr>
            <w:tcW w:w="20" w:type="dxa"/>
            <w:vAlign w:val="bottom"/>
            <w:shd w:val="clear" w:color="auto" w:fill="CCEEFF"/>
          </w:tcPr>
          <w:p>
            <w:pPr>
              <w:spacing w:after="0"/>
              <w:rPr>
                <w:sz w:val="13"/>
                <w:szCs w:val="13"/>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San Diego-Carlsbad, CA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53,454</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297,000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TJ Maxx / Dick’s Sporting Goods /</w:t>
            </w:r>
          </w:p>
        </w:tc>
      </w:tr>
      <w:tr>
        <w:trPr>
          <w:trHeight w:val="135"/>
        </w:trPr>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Promenade</w:t>
            </w: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1"/>
              </w:rPr>
              <w:t>Ross Dress For Less / Bob's Discount</w:t>
            </w:r>
          </w:p>
        </w:tc>
      </w:tr>
      <w:tr>
        <w:trPr>
          <w:trHeight w:val="176"/>
        </w:trPr>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Furniture</w:t>
            </w:r>
          </w:p>
        </w:tc>
      </w:tr>
      <w:tr>
        <w:trPr>
          <w:trHeight w:val="173"/>
        </w:trPr>
        <w:tc>
          <w:tcPr>
            <w:tcW w:w="40" w:type="dxa"/>
            <w:vAlign w:val="bottom"/>
          </w:tcPr>
          <w:p>
            <w:pPr>
              <w:spacing w:after="0"/>
              <w:rPr>
                <w:sz w:val="15"/>
                <w:szCs w:val="15"/>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Fourth Street</w:t>
            </w:r>
          </w:p>
        </w:tc>
        <w:tc>
          <w:tcPr>
            <w:tcW w:w="420" w:type="dxa"/>
            <w:vAlign w:val="bottom"/>
          </w:tcPr>
          <w:p>
            <w:pPr>
              <w:jc w:val="center"/>
              <w:spacing w:after="0"/>
              <w:rPr>
                <w:sz w:val="20"/>
                <w:szCs w:val="20"/>
                <w:color w:val="auto"/>
              </w:rPr>
            </w:pPr>
            <w:r>
              <w:rPr>
                <w:rFonts w:ascii="Arial" w:cs="Arial" w:eastAsia="Arial" w:hAnsi="Arial"/>
                <w:sz w:val="13"/>
                <w:szCs w:val="13"/>
                <w:color w:val="auto"/>
                <w:w w:val="87"/>
              </w:rPr>
              <w:t>(4)</w:t>
            </w:r>
          </w:p>
        </w:tc>
        <w:tc>
          <w:tcPr>
            <w:tcW w:w="20" w:type="dxa"/>
            <w:vAlign w:val="bottom"/>
          </w:tcPr>
          <w:p>
            <w:pPr>
              <w:spacing w:after="0"/>
              <w:rPr>
                <w:sz w:val="15"/>
                <w:szCs w:val="15"/>
                <w:color w:val="auto"/>
              </w:rPr>
            </w:pPr>
          </w:p>
        </w:tc>
        <w:tc>
          <w:tcPr>
            <w:tcW w:w="2300" w:type="dxa"/>
            <w:vAlign w:val="bottom"/>
          </w:tcPr>
          <w:p>
            <w:pPr>
              <w:ind w:left="20"/>
              <w:spacing w:after="0"/>
              <w:rPr>
                <w:sz w:val="20"/>
                <w:szCs w:val="20"/>
                <w:color w:val="auto"/>
              </w:rPr>
            </w:pPr>
            <w:r>
              <w:rPr>
                <w:rFonts w:ascii="Arial" w:cs="Arial" w:eastAsia="Arial" w:hAnsi="Arial"/>
                <w:sz w:val="13"/>
                <w:szCs w:val="13"/>
                <w:color w:val="auto"/>
              </w:rPr>
              <w:t>San Francisco-Oakland-Hayward, CA</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26,495</w:t>
            </w:r>
          </w:p>
        </w:tc>
        <w:tc>
          <w:tcPr>
            <w:tcW w:w="1040" w:type="dxa"/>
            <w:vAlign w:val="bottom"/>
          </w:tcPr>
          <w:p>
            <w:pPr>
              <w:spacing w:after="0"/>
              <w:rPr>
                <w:sz w:val="15"/>
                <w:szCs w:val="15"/>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71,000</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73%</w:t>
            </w: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40" w:type="dxa"/>
            <w:vAlign w:val="bottom"/>
          </w:tcPr>
          <w:p>
            <w:pPr>
              <w:ind w:left="20"/>
              <w:spacing w:after="0"/>
              <w:rPr>
                <w:sz w:val="20"/>
                <w:szCs w:val="20"/>
                <w:color w:val="auto"/>
              </w:rPr>
            </w:pPr>
            <w:r>
              <w:rPr>
                <w:rFonts w:ascii="Arial" w:cs="Arial" w:eastAsia="Arial" w:hAnsi="Arial"/>
                <w:sz w:val="13"/>
                <w:szCs w:val="13"/>
                <w:color w:val="auto"/>
              </w:rPr>
              <w:t>CB2 / Ingram Book Group</w:t>
            </w:r>
          </w:p>
        </w:tc>
      </w:tr>
      <w:tr>
        <w:trPr>
          <w:trHeight w:val="97"/>
        </w:trPr>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40" w:type="dxa"/>
            <w:vAlign w:val="bottom"/>
          </w:tcPr>
          <w:p>
            <w:pPr>
              <w:spacing w:after="0"/>
              <w:rPr>
                <w:sz w:val="8"/>
                <w:szCs w:val="8"/>
                <w:color w:val="auto"/>
              </w:rPr>
            </w:pPr>
          </w:p>
        </w:tc>
      </w:tr>
      <w:tr>
        <w:trPr>
          <w:trHeight w:val="173"/>
        </w:trPr>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3"/>
                <w:szCs w:val="13"/>
                <w:color w:val="auto"/>
                <w:w w:val="92"/>
              </w:rPr>
              <w:t>Freedom Plaza</w:t>
            </w:r>
          </w:p>
        </w:tc>
        <w:tc>
          <w:tcPr>
            <w:tcW w:w="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(4) (6)</w:t>
            </w:r>
          </w:p>
        </w:tc>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9"/>
              </w:rPr>
              <w:t>Los Angeles-Long Beach-Anaheim, CA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38,688</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77,000</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31,000</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w w:val="93"/>
              </w:rPr>
              <w:t>Smart &amp; Final</w:t>
            </w:r>
          </w:p>
        </w:tc>
        <w:tc>
          <w:tcPr>
            <w:tcW w:w="20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9"/>
              </w:rPr>
              <w:t>Blink Fitness / Ross Dress for Less</w:t>
            </w:r>
          </w:p>
        </w:tc>
      </w:tr>
      <w:tr>
        <w:trPr>
          <w:trHeight w:val="97"/>
        </w:trPr>
        <w:tc>
          <w:tcPr>
            <w:tcW w:w="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040" w:type="dxa"/>
            <w:vAlign w:val="bottom"/>
            <w:shd w:val="clear" w:color="auto" w:fill="CCEEFF"/>
          </w:tcPr>
          <w:p>
            <w:pPr>
              <w:spacing w:after="0"/>
              <w:rPr>
                <w:sz w:val="8"/>
                <w:szCs w:val="8"/>
                <w:color w:val="auto"/>
              </w:rPr>
            </w:pPr>
          </w:p>
        </w:tc>
      </w:tr>
      <w:tr>
        <w:trPr>
          <w:trHeight w:val="148"/>
        </w:trPr>
        <w:tc>
          <w:tcPr>
            <w:tcW w:w="40" w:type="dxa"/>
            <w:vAlign w:val="bottom"/>
          </w:tcPr>
          <w:p>
            <w:pPr>
              <w:spacing w:after="0"/>
              <w:rPr>
                <w:sz w:val="12"/>
                <w:szCs w:val="12"/>
                <w:color w:val="auto"/>
              </w:rPr>
            </w:pPr>
          </w:p>
        </w:tc>
        <w:tc>
          <w:tcPr>
            <w:tcW w:w="840" w:type="dxa"/>
            <w:vAlign w:val="bottom"/>
          </w:tcPr>
          <w:p>
            <w:pPr>
              <w:spacing w:after="0" w:line="148" w:lineRule="exact"/>
              <w:rPr>
                <w:sz w:val="20"/>
                <w:szCs w:val="20"/>
                <w:color w:val="auto"/>
              </w:rPr>
            </w:pPr>
            <w:r>
              <w:rPr>
                <w:rFonts w:ascii="Arial" w:cs="Arial" w:eastAsia="Arial" w:hAnsi="Arial"/>
                <w:sz w:val="13"/>
                <w:szCs w:val="13"/>
                <w:color w:val="auto"/>
                <w:w w:val="89"/>
              </w:rPr>
              <w:t>Hastings Ranch</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tcPr>
          <w:p>
            <w:pPr>
              <w:ind w:left="20"/>
              <w:spacing w:after="0" w:line="148" w:lineRule="exact"/>
              <w:rPr>
                <w:sz w:val="20"/>
                <w:szCs w:val="20"/>
                <w:color w:val="auto"/>
              </w:rPr>
            </w:pPr>
            <w:r>
              <w:rPr>
                <w:rFonts w:ascii="Arial" w:cs="Arial" w:eastAsia="Arial" w:hAnsi="Arial"/>
                <w:sz w:val="13"/>
                <w:szCs w:val="13"/>
                <w:color w:val="auto"/>
                <w:w w:val="99"/>
              </w:rPr>
              <w:t>Los Angeles-Long Beach-Anaheim, CA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22,806</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15</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274,000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40" w:type="dxa"/>
            <w:vAlign w:val="bottom"/>
          </w:tcPr>
          <w:p>
            <w:pPr>
              <w:ind w:left="20"/>
              <w:spacing w:after="0" w:line="148" w:lineRule="exact"/>
              <w:rPr>
                <w:sz w:val="20"/>
                <w:szCs w:val="20"/>
                <w:color w:val="auto"/>
              </w:rPr>
            </w:pPr>
            <w:r>
              <w:rPr>
                <w:rFonts w:ascii="Arial" w:cs="Arial" w:eastAsia="Arial" w:hAnsi="Arial"/>
                <w:sz w:val="13"/>
                <w:szCs w:val="13"/>
                <w:color w:val="auto"/>
                <w:w w:val="90"/>
              </w:rPr>
              <w:t>Marshalls / HomeGoods / CVS / Sears</w:t>
            </w:r>
          </w:p>
        </w:tc>
      </w:tr>
      <w:tr>
        <w:trPr>
          <w:trHeight w:val="168"/>
        </w:trPr>
        <w:tc>
          <w:tcPr>
            <w:tcW w:w="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Plaza</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56"/>
        </w:trPr>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3"/>
                <w:szCs w:val="13"/>
                <w:color w:val="auto"/>
              </w:rPr>
              <w:t>Hollywood</w:t>
            </w: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9"/>
              </w:rPr>
              <w:t>Los Angeles-Long Beach-Anaheim, CA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57,973</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179,000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4"/>
              </w:rPr>
              <w:t>Marshalls / L.A. Fitness / La La Land</w:t>
            </w:r>
          </w:p>
        </w:tc>
      </w:tr>
      <w:tr>
        <w:trPr>
          <w:trHeight w:val="176"/>
        </w:trPr>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3"/>
                <w:szCs w:val="13"/>
                <w:color w:val="auto"/>
              </w:rPr>
              <w:t>Blvd</w:t>
            </w: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r>
      <w:tr>
        <w:trPr>
          <w:trHeight w:val="173"/>
        </w:trPr>
        <w:tc>
          <w:tcPr>
            <w:tcW w:w="40" w:type="dxa"/>
            <w:vAlign w:val="bottom"/>
          </w:tcPr>
          <w:p>
            <w:pPr>
              <w:spacing w:after="0"/>
              <w:rPr>
                <w:sz w:val="15"/>
                <w:szCs w:val="15"/>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Kings Court</w:t>
            </w:r>
          </w:p>
        </w:tc>
        <w:tc>
          <w:tcPr>
            <w:tcW w:w="420" w:type="dxa"/>
            <w:vAlign w:val="bottom"/>
          </w:tcPr>
          <w:p>
            <w:pPr>
              <w:jc w:val="center"/>
              <w:spacing w:after="0"/>
              <w:rPr>
                <w:sz w:val="20"/>
                <w:szCs w:val="20"/>
                <w:color w:val="auto"/>
              </w:rPr>
            </w:pPr>
            <w:r>
              <w:rPr>
                <w:rFonts w:ascii="Arial" w:cs="Arial" w:eastAsia="Arial" w:hAnsi="Arial"/>
                <w:sz w:val="13"/>
                <w:szCs w:val="13"/>
                <w:color w:val="auto"/>
                <w:w w:val="87"/>
              </w:rPr>
              <w:t>(5)</w:t>
            </w:r>
          </w:p>
        </w:tc>
        <w:tc>
          <w:tcPr>
            <w:tcW w:w="20" w:type="dxa"/>
            <w:vAlign w:val="bottom"/>
          </w:tcPr>
          <w:p>
            <w:pPr>
              <w:spacing w:after="0"/>
              <w:rPr>
                <w:sz w:val="15"/>
                <w:szCs w:val="15"/>
                <w:color w:val="auto"/>
              </w:rPr>
            </w:pPr>
          </w:p>
        </w:tc>
        <w:tc>
          <w:tcPr>
            <w:tcW w:w="2300" w:type="dxa"/>
            <w:vAlign w:val="bottom"/>
          </w:tcPr>
          <w:p>
            <w:pPr>
              <w:ind w:left="20"/>
              <w:spacing w:after="0"/>
              <w:rPr>
                <w:sz w:val="20"/>
                <w:szCs w:val="20"/>
                <w:color w:val="auto"/>
              </w:rPr>
            </w:pPr>
            <w:r>
              <w:rPr>
                <w:rFonts w:ascii="Arial" w:cs="Arial" w:eastAsia="Arial" w:hAnsi="Arial"/>
                <w:sz w:val="13"/>
                <w:szCs w:val="13"/>
                <w:color w:val="auto"/>
              </w:rPr>
              <w:t>San Jose-Sunnyvale-Santa Clara, CA</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11,604</w:t>
            </w:r>
          </w:p>
        </w:tc>
        <w:tc>
          <w:tcPr>
            <w:tcW w:w="1040" w:type="dxa"/>
            <w:vAlign w:val="bottom"/>
          </w:tcPr>
          <w:p>
            <w:pPr>
              <w:spacing w:after="0"/>
              <w:rPr>
                <w:sz w:val="15"/>
                <w:szCs w:val="15"/>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79,000</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100%</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31,000</w:t>
            </w:r>
          </w:p>
        </w:tc>
        <w:tc>
          <w:tcPr>
            <w:tcW w:w="840" w:type="dxa"/>
            <w:vAlign w:val="bottom"/>
          </w:tcPr>
          <w:p>
            <w:pPr>
              <w:ind w:left="80"/>
              <w:spacing w:after="0"/>
              <w:rPr>
                <w:sz w:val="20"/>
                <w:szCs w:val="20"/>
                <w:color w:val="auto"/>
              </w:rPr>
            </w:pPr>
            <w:r>
              <w:rPr>
                <w:rFonts w:ascii="Arial" w:cs="Arial" w:eastAsia="Arial" w:hAnsi="Arial"/>
                <w:sz w:val="13"/>
                <w:szCs w:val="13"/>
                <w:color w:val="auto"/>
              </w:rPr>
              <w:t>Lunardi's</w:t>
            </w:r>
          </w:p>
        </w:tc>
        <w:tc>
          <w:tcPr>
            <w:tcW w:w="2040" w:type="dxa"/>
            <w:vAlign w:val="bottom"/>
          </w:tcPr>
          <w:p>
            <w:pPr>
              <w:ind w:left="20"/>
              <w:spacing w:after="0"/>
              <w:rPr>
                <w:sz w:val="20"/>
                <w:szCs w:val="20"/>
                <w:color w:val="auto"/>
              </w:rPr>
            </w:pPr>
            <w:r>
              <w:rPr>
                <w:rFonts w:ascii="Arial" w:cs="Arial" w:eastAsia="Arial" w:hAnsi="Arial"/>
                <w:sz w:val="13"/>
                <w:szCs w:val="13"/>
                <w:color w:val="auto"/>
              </w:rPr>
              <w:t>CVS</w:t>
            </w:r>
          </w:p>
        </w:tc>
      </w:tr>
      <w:tr>
        <w:trPr>
          <w:trHeight w:val="97"/>
        </w:trPr>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40" w:type="dxa"/>
            <w:vAlign w:val="bottom"/>
          </w:tcPr>
          <w:p>
            <w:pPr>
              <w:spacing w:after="0"/>
              <w:rPr>
                <w:sz w:val="8"/>
                <w:szCs w:val="8"/>
                <w:color w:val="auto"/>
              </w:rPr>
            </w:pPr>
          </w:p>
        </w:tc>
      </w:tr>
      <w:tr>
        <w:trPr>
          <w:trHeight w:val="148"/>
        </w:trPr>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Old Town</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San Jose-Sunnyvale-Santa Clara, CA</w:t>
            </w:r>
          </w:p>
        </w:tc>
        <w:tc>
          <w:tcPr>
            <w:tcW w:w="66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36,249</w:t>
            </w:r>
          </w:p>
        </w:tc>
        <w:tc>
          <w:tcPr>
            <w:tcW w:w="104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97,000</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86%</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Anthropologie / Banana Republic /</w:t>
            </w:r>
          </w:p>
        </w:tc>
      </w:tr>
      <w:tr>
        <w:trPr>
          <w:trHeight w:val="176"/>
        </w:trPr>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3"/>
                <w:szCs w:val="13"/>
                <w:color w:val="auto"/>
              </w:rPr>
              <w:t>Center</w:t>
            </w: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Gap</w:t>
            </w:r>
          </w:p>
        </w:tc>
      </w:tr>
      <w:tr>
        <w:trPr>
          <w:trHeight w:val="148"/>
        </w:trPr>
        <w:tc>
          <w:tcPr>
            <w:tcW w:w="40" w:type="dxa"/>
            <w:vAlign w:val="bottom"/>
          </w:tcPr>
          <w:p>
            <w:pPr>
              <w:spacing w:after="0"/>
              <w:rPr>
                <w:sz w:val="12"/>
                <w:szCs w:val="12"/>
                <w:color w:val="auto"/>
              </w:rPr>
            </w:pPr>
          </w:p>
        </w:tc>
        <w:tc>
          <w:tcPr>
            <w:tcW w:w="840" w:type="dxa"/>
            <w:vAlign w:val="bottom"/>
          </w:tcPr>
          <w:p>
            <w:pPr>
              <w:spacing w:after="0" w:line="148" w:lineRule="exact"/>
              <w:rPr>
                <w:sz w:val="20"/>
                <w:szCs w:val="20"/>
                <w:color w:val="auto"/>
              </w:rPr>
            </w:pPr>
            <w:r>
              <w:rPr>
                <w:rFonts w:ascii="Arial" w:cs="Arial" w:eastAsia="Arial" w:hAnsi="Arial"/>
                <w:sz w:val="13"/>
                <w:szCs w:val="13"/>
                <w:color w:val="auto"/>
              </w:rPr>
              <w:t>Olivo at</w:t>
            </w:r>
          </w:p>
        </w:tc>
        <w:tc>
          <w:tcPr>
            <w:tcW w:w="420" w:type="dxa"/>
            <w:vAlign w:val="bottom"/>
          </w:tcPr>
          <w:p>
            <w:pPr>
              <w:jc w:val="center"/>
              <w:spacing w:after="0" w:line="148" w:lineRule="exact"/>
              <w:rPr>
                <w:sz w:val="20"/>
                <w:szCs w:val="20"/>
                <w:color w:val="auto"/>
              </w:rPr>
            </w:pPr>
            <w:r>
              <w:rPr>
                <w:rFonts w:ascii="Arial" w:cs="Arial" w:eastAsia="Arial" w:hAnsi="Arial"/>
                <w:sz w:val="13"/>
                <w:szCs w:val="13"/>
                <w:color w:val="auto"/>
                <w:w w:val="87"/>
              </w:rPr>
              <w:t>(4)</w:t>
            </w:r>
          </w:p>
        </w:tc>
        <w:tc>
          <w:tcPr>
            <w:tcW w:w="20" w:type="dxa"/>
            <w:vAlign w:val="bottom"/>
          </w:tcPr>
          <w:p>
            <w:pPr>
              <w:spacing w:after="0"/>
              <w:rPr>
                <w:sz w:val="12"/>
                <w:szCs w:val="12"/>
                <w:color w:val="auto"/>
              </w:rPr>
            </w:pPr>
          </w:p>
        </w:tc>
        <w:tc>
          <w:tcPr>
            <w:tcW w:w="2300" w:type="dxa"/>
            <w:vAlign w:val="bottom"/>
          </w:tcPr>
          <w:p>
            <w:pPr>
              <w:ind w:left="20"/>
              <w:spacing w:after="0" w:line="148" w:lineRule="exact"/>
              <w:rPr>
                <w:sz w:val="20"/>
                <w:szCs w:val="20"/>
                <w:color w:val="auto"/>
              </w:rPr>
            </w:pPr>
            <w:r>
              <w:rPr>
                <w:rFonts w:ascii="Arial" w:cs="Arial" w:eastAsia="Arial" w:hAnsi="Arial"/>
                <w:sz w:val="13"/>
                <w:szCs w:val="13"/>
                <w:color w:val="auto"/>
                <w:w w:val="99"/>
              </w:rPr>
              <w:t>Los Angeles-Long Beach-Anaheim, CA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80,889</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12</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139,000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40" w:type="dxa"/>
            <w:vAlign w:val="bottom"/>
          </w:tcPr>
          <w:p>
            <w:pPr>
              <w:ind w:left="20"/>
              <w:spacing w:after="0" w:line="148" w:lineRule="exact"/>
              <w:rPr>
                <w:sz w:val="20"/>
                <w:szCs w:val="20"/>
                <w:color w:val="auto"/>
              </w:rPr>
            </w:pPr>
            <w:r>
              <w:rPr>
                <w:rFonts w:ascii="Arial" w:cs="Arial" w:eastAsia="Arial" w:hAnsi="Arial"/>
                <w:sz w:val="13"/>
                <w:szCs w:val="13"/>
                <w:color w:val="auto"/>
                <w:w w:val="91"/>
              </w:rPr>
              <w:t>Target / 24 Hour Fitness / Ross Dress</w:t>
            </w:r>
          </w:p>
        </w:tc>
      </w:tr>
      <w:tr>
        <w:trPr>
          <w:trHeight w:val="168"/>
        </w:trPr>
        <w:tc>
          <w:tcPr>
            <w:tcW w:w="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Mission Hills</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40" w:type="dxa"/>
            <w:vAlign w:val="bottom"/>
          </w:tcPr>
          <w:p>
            <w:pPr>
              <w:ind w:left="20"/>
              <w:spacing w:after="0"/>
              <w:rPr>
                <w:sz w:val="20"/>
                <w:szCs w:val="20"/>
                <w:color w:val="auto"/>
              </w:rPr>
            </w:pPr>
            <w:r>
              <w:rPr>
                <w:rFonts w:ascii="Arial" w:cs="Arial" w:eastAsia="Arial" w:hAnsi="Arial"/>
                <w:sz w:val="13"/>
                <w:szCs w:val="13"/>
                <w:color w:val="auto"/>
              </w:rPr>
              <w:t>For Less</w:t>
            </w:r>
          </w:p>
        </w:tc>
      </w:tr>
      <w:tr>
        <w:trPr>
          <w:trHeight w:val="181"/>
        </w:trPr>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3"/>
                <w:szCs w:val="13"/>
                <w:color w:val="auto"/>
              </w:rPr>
              <w:t>Plaza Del Sol</w:t>
            </w:r>
          </w:p>
        </w:tc>
        <w:tc>
          <w:tcPr>
            <w:tcW w:w="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(4)</w:t>
            </w:r>
          </w:p>
        </w:tc>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9"/>
              </w:rPr>
              <w:t>Los Angeles-Long Beach-Anaheim, CA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17,936</w:t>
            </w:r>
          </w:p>
        </w:tc>
        <w:tc>
          <w:tcPr>
            <w:tcW w:w="104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8,183</w:t>
            </w: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48,000</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Marshalls</w:t>
            </w:r>
          </w:p>
        </w:tc>
      </w:tr>
      <w:tr>
        <w:trPr>
          <w:trHeight w:val="97"/>
        </w:trPr>
        <w:tc>
          <w:tcPr>
            <w:tcW w:w="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040" w:type="dxa"/>
            <w:vAlign w:val="bottom"/>
            <w:shd w:val="clear" w:color="auto" w:fill="CCEEFF"/>
          </w:tcPr>
          <w:p>
            <w:pPr>
              <w:spacing w:after="0"/>
              <w:rPr>
                <w:sz w:val="8"/>
                <w:szCs w:val="8"/>
                <w:color w:val="auto"/>
              </w:rPr>
            </w:pPr>
          </w:p>
        </w:tc>
      </w:tr>
      <w:tr>
        <w:trPr>
          <w:trHeight w:val="148"/>
        </w:trPr>
        <w:tc>
          <w:tcPr>
            <w:tcW w:w="40" w:type="dxa"/>
            <w:vAlign w:val="bottom"/>
          </w:tcPr>
          <w:p>
            <w:pPr>
              <w:spacing w:after="0"/>
              <w:rPr>
                <w:sz w:val="12"/>
                <w:szCs w:val="12"/>
                <w:color w:val="auto"/>
              </w:rPr>
            </w:pPr>
          </w:p>
        </w:tc>
        <w:tc>
          <w:tcPr>
            <w:tcW w:w="840" w:type="dxa"/>
            <w:vAlign w:val="bottom"/>
          </w:tcPr>
          <w:p>
            <w:pPr>
              <w:spacing w:after="0" w:line="148" w:lineRule="exact"/>
              <w:rPr>
                <w:sz w:val="20"/>
                <w:szCs w:val="20"/>
                <w:color w:val="auto"/>
              </w:rPr>
            </w:pPr>
            <w:r>
              <w:rPr>
                <w:rFonts w:ascii="Arial" w:cs="Arial" w:eastAsia="Arial" w:hAnsi="Arial"/>
                <w:sz w:val="13"/>
                <w:szCs w:val="13"/>
                <w:color w:val="auto"/>
              </w:rPr>
              <w:t>Plaza El</w:t>
            </w:r>
          </w:p>
        </w:tc>
        <w:tc>
          <w:tcPr>
            <w:tcW w:w="420" w:type="dxa"/>
            <w:vAlign w:val="bottom"/>
          </w:tcPr>
          <w:p>
            <w:pPr>
              <w:jc w:val="center"/>
              <w:spacing w:after="0" w:line="148" w:lineRule="exact"/>
              <w:rPr>
                <w:sz w:val="20"/>
                <w:szCs w:val="20"/>
                <w:color w:val="auto"/>
              </w:rPr>
            </w:pPr>
            <w:r>
              <w:rPr>
                <w:rFonts w:ascii="Arial" w:cs="Arial" w:eastAsia="Arial" w:hAnsi="Arial"/>
                <w:sz w:val="13"/>
                <w:szCs w:val="13"/>
                <w:color w:val="auto"/>
                <w:w w:val="87"/>
              </w:rPr>
              <w:t>(4)</w:t>
            </w:r>
          </w:p>
        </w:tc>
        <w:tc>
          <w:tcPr>
            <w:tcW w:w="20" w:type="dxa"/>
            <w:vAlign w:val="bottom"/>
          </w:tcPr>
          <w:p>
            <w:pPr>
              <w:spacing w:after="0"/>
              <w:rPr>
                <w:sz w:val="12"/>
                <w:szCs w:val="12"/>
                <w:color w:val="auto"/>
              </w:rPr>
            </w:pPr>
          </w:p>
        </w:tc>
        <w:tc>
          <w:tcPr>
            <w:tcW w:w="2300" w:type="dxa"/>
            <w:vAlign w:val="bottom"/>
          </w:tcPr>
          <w:p>
            <w:pPr>
              <w:ind w:left="20"/>
              <w:spacing w:after="0" w:line="148" w:lineRule="exact"/>
              <w:rPr>
                <w:sz w:val="20"/>
                <w:szCs w:val="20"/>
                <w:color w:val="auto"/>
              </w:rPr>
            </w:pPr>
            <w:r>
              <w:rPr>
                <w:rFonts w:ascii="Arial" w:cs="Arial" w:eastAsia="Arial" w:hAnsi="Arial"/>
                <w:sz w:val="13"/>
                <w:szCs w:val="13"/>
                <w:color w:val="auto"/>
                <w:w w:val="99"/>
              </w:rPr>
              <w:t>Los Angeles-Long Beach-Anaheim, CA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293,164</w:t>
            </w:r>
          </w:p>
        </w:tc>
        <w:tc>
          <w:tcPr>
            <w:tcW w:w="1040" w:type="dxa"/>
            <w:vAlign w:val="bottom"/>
          </w:tcPr>
          <w:p>
            <w:pPr>
              <w:jc w:val="right"/>
              <w:ind w:right="98"/>
              <w:spacing w:after="0" w:line="148" w:lineRule="exact"/>
              <w:rPr>
                <w:sz w:val="20"/>
                <w:szCs w:val="20"/>
                <w:color w:val="auto"/>
              </w:rPr>
            </w:pPr>
            <w:r>
              <w:rPr>
                <w:rFonts w:ascii="Arial" w:cs="Arial" w:eastAsia="Arial" w:hAnsi="Arial"/>
                <w:sz w:val="13"/>
                <w:szCs w:val="13"/>
                <w:color w:val="auto"/>
              </w:rPr>
              <w:t>125,000</w:t>
            </w: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50</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501,000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66,000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w w:val="96"/>
              </w:rPr>
              <w:t>Whole Foods</w:t>
            </w:r>
          </w:p>
        </w:tc>
        <w:tc>
          <w:tcPr>
            <w:tcW w:w="2040" w:type="dxa"/>
            <w:vAlign w:val="bottom"/>
          </w:tcPr>
          <w:p>
            <w:pPr>
              <w:ind w:left="20"/>
              <w:spacing w:after="0" w:line="148" w:lineRule="exact"/>
              <w:rPr>
                <w:sz w:val="20"/>
                <w:szCs w:val="20"/>
                <w:color w:val="auto"/>
              </w:rPr>
            </w:pPr>
            <w:r>
              <w:rPr>
                <w:rFonts w:ascii="Arial" w:cs="Arial" w:eastAsia="Arial" w:hAnsi="Arial"/>
                <w:sz w:val="13"/>
                <w:szCs w:val="13"/>
                <w:color w:val="auto"/>
                <w:w w:val="89"/>
              </w:rPr>
              <w:t>Nordstrom Rack / HomeGoods / Dick's</w:t>
            </w:r>
          </w:p>
        </w:tc>
      </w:tr>
      <w:tr>
        <w:trPr>
          <w:trHeight w:val="135"/>
        </w:trPr>
        <w:tc>
          <w:tcPr>
            <w:tcW w:w="4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color w:val="auto"/>
                <w:w w:val="96"/>
              </w:rPr>
              <w:t>Segundo / The</w:t>
            </w: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40" w:type="dxa"/>
            <w:vAlign w:val="bottom"/>
          </w:tcPr>
          <w:p>
            <w:pPr>
              <w:ind w:left="20"/>
              <w:spacing w:after="0" w:line="135" w:lineRule="exact"/>
              <w:rPr>
                <w:sz w:val="20"/>
                <w:szCs w:val="20"/>
                <w:color w:val="auto"/>
              </w:rPr>
            </w:pPr>
            <w:r>
              <w:rPr>
                <w:rFonts w:ascii="Arial" w:cs="Arial" w:eastAsia="Arial" w:hAnsi="Arial"/>
                <w:sz w:val="13"/>
                <w:szCs w:val="13"/>
                <w:color w:val="auto"/>
                <w:w w:val="91"/>
              </w:rPr>
              <w:t>Sporting Goods / Multiple Restaurants</w:t>
            </w:r>
          </w:p>
        </w:tc>
      </w:tr>
      <w:tr>
        <w:trPr>
          <w:trHeight w:val="168"/>
        </w:trPr>
        <w:tc>
          <w:tcPr>
            <w:tcW w:w="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Point</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56"/>
        </w:trPr>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3"/>
                <w:szCs w:val="13"/>
                <w:color w:val="auto"/>
              </w:rPr>
              <w:t>San Antonio</w:t>
            </w:r>
          </w:p>
        </w:tc>
        <w:tc>
          <w:tcPr>
            <w:tcW w:w="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(5)</w:t>
            </w:r>
          </w:p>
        </w:tc>
        <w:tc>
          <w:tcPr>
            <w:tcW w:w="20" w:type="dxa"/>
            <w:vAlign w:val="bottom"/>
            <w:shd w:val="clear" w:color="auto" w:fill="CCEEFF"/>
          </w:tcPr>
          <w:p>
            <w:pPr>
              <w:spacing w:after="0"/>
              <w:rPr>
                <w:sz w:val="13"/>
                <w:szCs w:val="13"/>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San Jose-Sunnyvale-Santa Clara, CA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46,078</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212,000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11,000</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Trader Joe's</w:t>
            </w:r>
          </w:p>
        </w:tc>
        <w:tc>
          <w:tcPr>
            <w:tcW w:w="2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Walmart / 24 Hour Fitness</w:t>
            </w:r>
          </w:p>
        </w:tc>
      </w:tr>
      <w:tr>
        <w:trPr>
          <w:trHeight w:val="176"/>
        </w:trPr>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3"/>
                <w:szCs w:val="13"/>
                <w:color w:val="auto"/>
              </w:rPr>
              <w:t>Center</w:t>
            </w: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840" w:type="dxa"/>
            <w:vAlign w:val="bottom"/>
          </w:tcPr>
          <w:p>
            <w:pPr>
              <w:spacing w:after="0" w:line="148" w:lineRule="exact"/>
              <w:rPr>
                <w:sz w:val="20"/>
                <w:szCs w:val="20"/>
                <w:color w:val="auto"/>
              </w:rPr>
            </w:pPr>
            <w:r>
              <w:rPr>
                <w:rFonts w:ascii="Arial" w:cs="Arial" w:eastAsia="Arial" w:hAnsi="Arial"/>
                <w:sz w:val="13"/>
                <w:szCs w:val="13"/>
                <w:color w:val="auto"/>
              </w:rPr>
              <w:t>Santana Row</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tcPr>
          <w:p>
            <w:pPr>
              <w:ind w:left="20"/>
              <w:spacing w:after="0" w:line="148" w:lineRule="exact"/>
              <w:rPr>
                <w:sz w:val="20"/>
                <w:szCs w:val="20"/>
                <w:color w:val="auto"/>
              </w:rPr>
            </w:pPr>
            <w:r>
              <w:rPr>
                <w:rFonts w:ascii="Arial" w:cs="Arial" w:eastAsia="Arial" w:hAnsi="Arial"/>
                <w:sz w:val="13"/>
                <w:szCs w:val="13"/>
                <w:color w:val="auto"/>
              </w:rPr>
              <w:t>San Jose-Sunnyvale-Santa Clara, CA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w w:val="89"/>
              </w:rPr>
              <w:t>1,071,688</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45</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w w:val="93"/>
              </w:rPr>
              <w:t>1,197,000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680" w:type="dxa"/>
            <w:vAlign w:val="bottom"/>
          </w:tcPr>
          <w:p>
            <w:pPr>
              <w:jc w:val="right"/>
              <w:ind w:right="77"/>
              <w:spacing w:after="0" w:line="148" w:lineRule="exact"/>
              <w:rPr>
                <w:sz w:val="20"/>
                <w:szCs w:val="20"/>
                <w:color w:val="auto"/>
              </w:rPr>
            </w:pPr>
            <w:r>
              <w:rPr>
                <w:rFonts w:ascii="Arial" w:cs="Arial" w:eastAsia="Arial" w:hAnsi="Arial"/>
                <w:sz w:val="13"/>
                <w:szCs w:val="13"/>
                <w:color w:val="auto"/>
              </w:rPr>
              <w:t>662</w:t>
            </w: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40" w:type="dxa"/>
            <w:vAlign w:val="bottom"/>
          </w:tcPr>
          <w:p>
            <w:pPr>
              <w:ind w:left="20"/>
              <w:spacing w:after="0" w:line="148" w:lineRule="exact"/>
              <w:rPr>
                <w:sz w:val="20"/>
                <w:szCs w:val="20"/>
                <w:color w:val="auto"/>
              </w:rPr>
            </w:pPr>
            <w:r>
              <w:rPr>
                <w:rFonts w:ascii="Arial" w:cs="Arial" w:eastAsia="Arial" w:hAnsi="Arial"/>
                <w:sz w:val="13"/>
                <w:szCs w:val="13"/>
                <w:color w:val="auto"/>
              </w:rPr>
              <w:t>Crate &amp; Barrel / H&amp;M / Best Buy /</w:t>
            </w:r>
          </w:p>
        </w:tc>
      </w:tr>
      <w:tr>
        <w:trPr>
          <w:trHeight w:val="168"/>
        </w:trPr>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40" w:type="dxa"/>
            <w:vAlign w:val="bottom"/>
          </w:tcPr>
          <w:p>
            <w:pPr>
              <w:ind w:left="20"/>
              <w:spacing w:after="0"/>
              <w:rPr>
                <w:sz w:val="20"/>
                <w:szCs w:val="20"/>
                <w:color w:val="auto"/>
              </w:rPr>
            </w:pPr>
            <w:r>
              <w:rPr>
                <w:rFonts w:ascii="Arial" w:cs="Arial" w:eastAsia="Arial" w:hAnsi="Arial"/>
                <w:sz w:val="13"/>
                <w:szCs w:val="13"/>
                <w:color w:val="auto"/>
              </w:rPr>
              <w:t>Multiple Restaurants</w:t>
            </w:r>
          </w:p>
        </w:tc>
      </w:tr>
      <w:tr>
        <w:trPr>
          <w:trHeight w:val="156"/>
        </w:trPr>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3"/>
                <w:szCs w:val="13"/>
                <w:color w:val="auto"/>
                <w:w w:val="98"/>
              </w:rPr>
              <w:t>Sylmar Towne</w:t>
            </w:r>
          </w:p>
        </w:tc>
        <w:tc>
          <w:tcPr>
            <w:tcW w:w="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(4)</w:t>
            </w:r>
          </w:p>
        </w:tc>
        <w:tc>
          <w:tcPr>
            <w:tcW w:w="20" w:type="dxa"/>
            <w:vAlign w:val="bottom"/>
            <w:shd w:val="clear" w:color="auto" w:fill="CCEEFF"/>
          </w:tcPr>
          <w:p>
            <w:pPr>
              <w:spacing w:after="0"/>
              <w:rPr>
                <w:sz w:val="13"/>
                <w:szCs w:val="13"/>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9"/>
              </w:rPr>
              <w:t>Los Angeles-Long Beach-Anaheim, CA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43,761</w:t>
            </w:r>
          </w:p>
        </w:tc>
        <w:tc>
          <w:tcPr>
            <w:tcW w:w="104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16,532</w:t>
            </w: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148,000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43,000</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Food 4 Less</w:t>
            </w:r>
          </w:p>
        </w:tc>
        <w:tc>
          <w:tcPr>
            <w:tcW w:w="2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CVS</w:t>
            </w:r>
          </w:p>
        </w:tc>
      </w:tr>
      <w:tr>
        <w:trPr>
          <w:trHeight w:val="176"/>
        </w:trPr>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3"/>
                <w:szCs w:val="13"/>
                <w:color w:val="auto"/>
              </w:rPr>
              <w:t>Center</w:t>
            </w: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840" w:type="dxa"/>
            <w:vAlign w:val="bottom"/>
          </w:tcPr>
          <w:p>
            <w:pPr>
              <w:spacing w:after="0" w:line="148" w:lineRule="exact"/>
              <w:rPr>
                <w:sz w:val="20"/>
                <w:szCs w:val="20"/>
                <w:color w:val="auto"/>
              </w:rPr>
            </w:pPr>
            <w:r>
              <w:rPr>
                <w:rFonts w:ascii="Arial" w:cs="Arial" w:eastAsia="Arial" w:hAnsi="Arial"/>
                <w:sz w:val="13"/>
                <w:szCs w:val="13"/>
                <w:color w:val="auto"/>
              </w:rPr>
              <w:t>Third Street</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tcPr>
          <w:p>
            <w:pPr>
              <w:ind w:left="20"/>
              <w:spacing w:after="0" w:line="148" w:lineRule="exact"/>
              <w:rPr>
                <w:sz w:val="20"/>
                <w:szCs w:val="20"/>
                <w:color w:val="auto"/>
              </w:rPr>
            </w:pPr>
            <w:r>
              <w:rPr>
                <w:rFonts w:ascii="Arial" w:cs="Arial" w:eastAsia="Arial" w:hAnsi="Arial"/>
                <w:sz w:val="13"/>
                <w:szCs w:val="13"/>
                <w:color w:val="auto"/>
                <w:w w:val="99"/>
              </w:rPr>
              <w:t>Los Angeles-Long Beach-Anaheim, CA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79,191</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208,000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77%</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40" w:type="dxa"/>
            <w:vAlign w:val="bottom"/>
          </w:tcPr>
          <w:p>
            <w:pPr>
              <w:ind w:left="20"/>
              <w:spacing w:after="0" w:line="148" w:lineRule="exact"/>
              <w:rPr>
                <w:sz w:val="20"/>
                <w:szCs w:val="20"/>
                <w:color w:val="auto"/>
              </w:rPr>
            </w:pPr>
            <w:r>
              <w:rPr>
                <w:rFonts w:ascii="Arial" w:cs="Arial" w:eastAsia="Arial" w:hAnsi="Arial"/>
                <w:sz w:val="13"/>
                <w:szCs w:val="13"/>
                <w:color w:val="auto"/>
              </w:rPr>
              <w:t>adidas / Old Navy / J. Crew / Muji</w:t>
            </w:r>
          </w:p>
        </w:tc>
      </w:tr>
      <w:tr>
        <w:trPr>
          <w:trHeight w:val="168"/>
        </w:trPr>
        <w:tc>
          <w:tcPr>
            <w:tcW w:w="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Promenade</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56"/>
        </w:trPr>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3"/>
                <w:szCs w:val="13"/>
                <w:color w:val="auto"/>
              </w:rPr>
              <w:t>Westgate</w:t>
            </w: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San Jose-Sunnyvale-Santa Clara, CA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157,572</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653,000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Target / Nordstrom Rack / Nike</w:t>
            </w:r>
          </w:p>
        </w:tc>
      </w:tr>
      <w:tr>
        <w:trPr>
          <w:trHeight w:val="176"/>
        </w:trPr>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3"/>
                <w:szCs w:val="13"/>
                <w:color w:val="auto"/>
              </w:rPr>
              <w:t>Center</w:t>
            </w: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Factory / TJ Maxx</w:t>
            </w:r>
          </w:p>
        </w:tc>
      </w:tr>
      <w:tr>
        <w:trPr>
          <w:trHeight w:val="167"/>
        </w:trPr>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Pr>
          <w:p>
            <w:pPr>
              <w:ind w:left="20"/>
              <w:spacing w:after="0"/>
              <w:rPr>
                <w:sz w:val="20"/>
                <w:szCs w:val="20"/>
                <w:color w:val="auto"/>
              </w:rPr>
            </w:pPr>
            <w:r>
              <w:rPr>
                <w:rFonts w:ascii="Arial" w:cs="Arial" w:eastAsia="Arial" w:hAnsi="Arial"/>
                <w:sz w:val="13"/>
                <w:szCs w:val="13"/>
                <w:b w:val="1"/>
                <w:bCs w:val="1"/>
                <w:color w:val="auto"/>
              </w:rPr>
              <w:t>Total California</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w w:val="89"/>
              </w:rPr>
              <w:t>2,544,859</w:t>
            </w:r>
          </w:p>
        </w:tc>
        <w:tc>
          <w:tcPr>
            <w:tcW w:w="1040" w:type="dxa"/>
            <w:vAlign w:val="bottom"/>
          </w:tcPr>
          <w:p>
            <w:pPr>
              <w:spacing w:after="0"/>
              <w:rPr>
                <w:sz w:val="14"/>
                <w:szCs w:val="14"/>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color w:val="auto"/>
              </w:rPr>
              <w:t>364</w:t>
            </w:r>
          </w:p>
        </w:tc>
        <w:tc>
          <w:tcPr>
            <w:tcW w:w="10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w w:val="93"/>
              </w:rPr>
              <w:t>5,476,000</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96%</w:t>
            </w: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83"/>
        </w:trPr>
        <w:tc>
          <w:tcPr>
            <w:tcW w:w="40" w:type="dxa"/>
            <w:vAlign w:val="bottom"/>
          </w:tcPr>
          <w:p>
            <w:pPr>
              <w:spacing w:after="0"/>
              <w:rPr>
                <w:sz w:val="7"/>
                <w:szCs w:val="7"/>
                <w:color w:val="auto"/>
              </w:rPr>
            </w:pPr>
          </w:p>
        </w:tc>
        <w:tc>
          <w:tcPr>
            <w:tcW w:w="126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40" w:type="dxa"/>
            <w:vAlign w:val="bottom"/>
          </w:tcPr>
          <w:p>
            <w:pPr>
              <w:spacing w:after="0"/>
              <w:rPr>
                <w:sz w:val="7"/>
                <w:szCs w:val="7"/>
                <w:color w:val="auto"/>
              </w:rPr>
            </w:pPr>
          </w:p>
        </w:tc>
      </w:tr>
      <w:tr>
        <w:trPr>
          <w:trHeight w:val="270"/>
        </w:trPr>
        <w:tc>
          <w:tcPr>
            <w:tcW w:w="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040" w:type="dxa"/>
            <w:vAlign w:val="bottom"/>
            <w:shd w:val="clear" w:color="auto" w:fill="CCEEFF"/>
          </w:tcPr>
          <w:p>
            <w:pPr>
              <w:spacing w:after="0"/>
              <w:rPr>
                <w:sz w:val="23"/>
                <w:szCs w:val="23"/>
                <w:color w:val="auto"/>
              </w:rPr>
            </w:pPr>
          </w:p>
        </w:tc>
      </w:tr>
      <w:tr>
        <w:trPr>
          <w:trHeight w:val="149"/>
        </w:trPr>
        <w:tc>
          <w:tcPr>
            <w:tcW w:w="40" w:type="dxa"/>
            <w:vAlign w:val="bottom"/>
          </w:tcPr>
          <w:p>
            <w:pPr>
              <w:spacing w:after="0"/>
              <w:rPr>
                <w:sz w:val="12"/>
                <w:szCs w:val="12"/>
                <w:color w:val="auto"/>
              </w:rPr>
            </w:pPr>
          </w:p>
        </w:tc>
        <w:tc>
          <w:tcPr>
            <w:tcW w:w="1280" w:type="dxa"/>
            <w:vAlign w:val="bottom"/>
            <w:gridSpan w:val="3"/>
          </w:tcPr>
          <w:p>
            <w:pPr>
              <w:ind w:left="60"/>
              <w:spacing w:after="0"/>
              <w:rPr>
                <w:sz w:val="20"/>
                <w:szCs w:val="20"/>
                <w:color w:val="auto"/>
              </w:rPr>
            </w:pPr>
            <w:r>
              <w:rPr>
                <w:rFonts w:ascii="Arial" w:cs="Arial" w:eastAsia="Arial" w:hAnsi="Arial"/>
                <w:sz w:val="13"/>
                <w:szCs w:val="13"/>
                <w:b w:val="1"/>
                <w:bCs w:val="1"/>
                <w:color w:val="auto"/>
                <w:w w:val="90"/>
              </w:rPr>
              <w:t>NY Metro/New Jersey</w:t>
            </w:r>
          </w:p>
        </w:tc>
        <w:tc>
          <w:tcPr>
            <w:tcW w:w="2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40" w:type="dxa"/>
            <w:vAlign w:val="bottom"/>
          </w:tcPr>
          <w:p>
            <w:pPr>
              <w:spacing w:after="0"/>
              <w:rPr>
                <w:sz w:val="12"/>
                <w:szCs w:val="12"/>
                <w:color w:val="auto"/>
              </w:rPr>
            </w:pPr>
          </w:p>
        </w:tc>
      </w:tr>
      <w:tr>
        <w:trPr>
          <w:trHeight w:val="101"/>
        </w:trPr>
        <w:tc>
          <w:tcPr>
            <w:tcW w:w="4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40" w:type="dxa"/>
            <w:vAlign w:val="bottom"/>
          </w:tcPr>
          <w:p>
            <w:pPr>
              <w:spacing w:after="0"/>
              <w:rPr>
                <w:sz w:val="8"/>
                <w:szCs w:val="8"/>
                <w:color w:val="auto"/>
              </w:rPr>
            </w:pPr>
          </w:p>
        </w:tc>
      </w:tr>
      <w:tr>
        <w:trPr>
          <w:trHeight w:val="148"/>
        </w:trPr>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Brick Plaza</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w w:val="93"/>
              </w:rPr>
              <w:t>New York-Newark-Jersey City, NY-NJ-PA</w:t>
            </w:r>
          </w:p>
        </w:tc>
        <w:tc>
          <w:tcPr>
            <w:tcW w:w="66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97,221</w:t>
            </w:r>
          </w:p>
        </w:tc>
        <w:tc>
          <w:tcPr>
            <w:tcW w:w="104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409,000</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92%</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14,000</w:t>
            </w:r>
          </w:p>
        </w:tc>
        <w:tc>
          <w:tcPr>
            <w:tcW w:w="84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Trader Joe's</w:t>
            </w:r>
          </w:p>
        </w:tc>
        <w:tc>
          <w:tcPr>
            <w:tcW w:w="20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AMC / HomeGoods / Ulta / L.A.</w:t>
            </w:r>
          </w:p>
        </w:tc>
      </w:tr>
      <w:tr>
        <w:trPr>
          <w:trHeight w:val="176"/>
        </w:trPr>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Fitness</w:t>
            </w:r>
          </w:p>
        </w:tc>
      </w:tr>
      <w:tr>
        <w:trPr>
          <w:trHeight w:val="148"/>
        </w:trPr>
        <w:tc>
          <w:tcPr>
            <w:tcW w:w="40" w:type="dxa"/>
            <w:vAlign w:val="bottom"/>
          </w:tcPr>
          <w:p>
            <w:pPr>
              <w:spacing w:after="0"/>
              <w:rPr>
                <w:sz w:val="12"/>
                <w:szCs w:val="12"/>
                <w:color w:val="auto"/>
              </w:rPr>
            </w:pPr>
          </w:p>
        </w:tc>
        <w:tc>
          <w:tcPr>
            <w:tcW w:w="840" w:type="dxa"/>
            <w:vAlign w:val="bottom"/>
          </w:tcPr>
          <w:p>
            <w:pPr>
              <w:spacing w:after="0" w:line="148" w:lineRule="exact"/>
              <w:rPr>
                <w:sz w:val="20"/>
                <w:szCs w:val="20"/>
                <w:color w:val="auto"/>
              </w:rPr>
            </w:pPr>
            <w:r>
              <w:rPr>
                <w:rFonts w:ascii="Arial" w:cs="Arial" w:eastAsia="Arial" w:hAnsi="Arial"/>
                <w:sz w:val="13"/>
                <w:szCs w:val="13"/>
                <w:color w:val="auto"/>
              </w:rPr>
              <w:t>Brook 35</w:t>
            </w:r>
          </w:p>
        </w:tc>
        <w:tc>
          <w:tcPr>
            <w:tcW w:w="420" w:type="dxa"/>
            <w:vAlign w:val="bottom"/>
          </w:tcPr>
          <w:p>
            <w:pPr>
              <w:jc w:val="center"/>
              <w:spacing w:after="0" w:line="148" w:lineRule="exact"/>
              <w:rPr>
                <w:sz w:val="20"/>
                <w:szCs w:val="20"/>
                <w:color w:val="auto"/>
              </w:rPr>
            </w:pPr>
            <w:r>
              <w:rPr>
                <w:rFonts w:ascii="Arial" w:cs="Arial" w:eastAsia="Arial" w:hAnsi="Arial"/>
                <w:sz w:val="13"/>
                <w:szCs w:val="13"/>
                <w:color w:val="auto"/>
                <w:w w:val="95"/>
              </w:rPr>
              <w:t>(4) (5)</w:t>
            </w:r>
          </w:p>
        </w:tc>
        <w:tc>
          <w:tcPr>
            <w:tcW w:w="20" w:type="dxa"/>
            <w:vAlign w:val="bottom"/>
          </w:tcPr>
          <w:p>
            <w:pPr>
              <w:spacing w:after="0"/>
              <w:rPr>
                <w:sz w:val="12"/>
                <w:szCs w:val="12"/>
                <w:color w:val="auto"/>
              </w:rPr>
            </w:pPr>
          </w:p>
        </w:tc>
        <w:tc>
          <w:tcPr>
            <w:tcW w:w="2300" w:type="dxa"/>
            <w:vAlign w:val="bottom"/>
          </w:tcPr>
          <w:p>
            <w:pPr>
              <w:ind w:left="20"/>
              <w:spacing w:after="0" w:line="148" w:lineRule="exact"/>
              <w:rPr>
                <w:sz w:val="20"/>
                <w:szCs w:val="20"/>
                <w:color w:val="auto"/>
              </w:rPr>
            </w:pPr>
            <w:r>
              <w:rPr>
                <w:rFonts w:ascii="Arial" w:cs="Arial" w:eastAsia="Arial" w:hAnsi="Arial"/>
                <w:sz w:val="13"/>
                <w:szCs w:val="13"/>
                <w:color w:val="auto"/>
                <w:w w:val="93"/>
              </w:rPr>
              <w:t>New York-Newark-Jersey City, NY-NJ-PA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48,280</w:t>
            </w:r>
          </w:p>
        </w:tc>
        <w:tc>
          <w:tcPr>
            <w:tcW w:w="1040" w:type="dxa"/>
            <w:vAlign w:val="bottom"/>
          </w:tcPr>
          <w:p>
            <w:pPr>
              <w:jc w:val="right"/>
              <w:ind w:right="98"/>
              <w:spacing w:after="0" w:line="148" w:lineRule="exact"/>
              <w:rPr>
                <w:sz w:val="20"/>
                <w:szCs w:val="20"/>
                <w:color w:val="auto"/>
              </w:rPr>
            </w:pPr>
            <w:r>
              <w:rPr>
                <w:rFonts w:ascii="Arial" w:cs="Arial" w:eastAsia="Arial" w:hAnsi="Arial"/>
                <w:sz w:val="13"/>
                <w:szCs w:val="13"/>
                <w:color w:val="auto"/>
              </w:rPr>
              <w:t>11,500</w:t>
            </w: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11</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99,000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40" w:type="dxa"/>
            <w:vAlign w:val="bottom"/>
          </w:tcPr>
          <w:p>
            <w:pPr>
              <w:ind w:left="20"/>
              <w:spacing w:after="0" w:line="148" w:lineRule="exact"/>
              <w:rPr>
                <w:sz w:val="20"/>
                <w:szCs w:val="20"/>
                <w:color w:val="auto"/>
              </w:rPr>
            </w:pPr>
            <w:r>
              <w:rPr>
                <w:rFonts w:ascii="Arial" w:cs="Arial" w:eastAsia="Arial" w:hAnsi="Arial"/>
                <w:sz w:val="13"/>
                <w:szCs w:val="13"/>
                <w:color w:val="auto"/>
              </w:rPr>
              <w:t>Banana Republic / Gap / Williams-</w:t>
            </w:r>
          </w:p>
        </w:tc>
      </w:tr>
      <w:tr>
        <w:trPr>
          <w:trHeight w:val="168"/>
        </w:trPr>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40" w:type="dxa"/>
            <w:vAlign w:val="bottom"/>
          </w:tcPr>
          <w:p>
            <w:pPr>
              <w:ind w:left="20"/>
              <w:spacing w:after="0"/>
              <w:rPr>
                <w:sz w:val="20"/>
                <w:szCs w:val="20"/>
                <w:color w:val="auto"/>
              </w:rPr>
            </w:pPr>
            <w:r>
              <w:rPr>
                <w:rFonts w:ascii="Arial" w:cs="Arial" w:eastAsia="Arial" w:hAnsi="Arial"/>
                <w:sz w:val="13"/>
                <w:szCs w:val="13"/>
                <w:color w:val="auto"/>
              </w:rPr>
              <w:t>Sonoma</w:t>
            </w:r>
          </w:p>
        </w:tc>
      </w:tr>
      <w:tr>
        <w:trPr>
          <w:trHeight w:val="181"/>
        </w:trPr>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3"/>
                <w:szCs w:val="13"/>
                <w:color w:val="auto"/>
              </w:rPr>
              <w:t>Darien</w:t>
            </w: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Bridgeport-Stamford-Norwalk, CT</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58,502</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58,000</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w:t>
            </w: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Equinox / Walgreens</w:t>
            </w:r>
          </w:p>
        </w:tc>
      </w:tr>
      <w:tr>
        <w:trPr>
          <w:trHeight w:val="97"/>
        </w:trPr>
        <w:tc>
          <w:tcPr>
            <w:tcW w:w="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880" w:type="dxa"/>
            <w:vAlign w:val="bottom"/>
            <w:gridSpan w:val="2"/>
            <w:shd w:val="clear" w:color="auto" w:fill="CCEEFF"/>
          </w:tcPr>
          <w:p>
            <w:pPr>
              <w:spacing w:after="0"/>
              <w:rPr>
                <w:sz w:val="8"/>
                <w:szCs w:val="8"/>
                <w:color w:val="auto"/>
              </w:rPr>
            </w:pPr>
          </w:p>
        </w:tc>
      </w:tr>
      <w:tr>
        <w:trPr>
          <w:trHeight w:val="173"/>
        </w:trPr>
        <w:tc>
          <w:tcPr>
            <w:tcW w:w="40" w:type="dxa"/>
            <w:vAlign w:val="bottom"/>
          </w:tcPr>
          <w:p>
            <w:pPr>
              <w:spacing w:after="0"/>
              <w:rPr>
                <w:sz w:val="15"/>
                <w:szCs w:val="15"/>
                <w:color w:val="auto"/>
              </w:rPr>
            </w:pPr>
          </w:p>
        </w:tc>
        <w:tc>
          <w:tcPr>
            <w:tcW w:w="840" w:type="dxa"/>
            <w:vAlign w:val="bottom"/>
          </w:tcPr>
          <w:p>
            <w:pPr>
              <w:spacing w:after="0"/>
              <w:rPr>
                <w:sz w:val="20"/>
                <w:szCs w:val="20"/>
                <w:color w:val="auto"/>
              </w:rPr>
            </w:pPr>
            <w:r>
              <w:rPr>
                <w:rFonts w:ascii="Arial" w:cs="Arial" w:eastAsia="Arial" w:hAnsi="Arial"/>
                <w:sz w:val="13"/>
                <w:szCs w:val="13"/>
                <w:color w:val="auto"/>
                <w:w w:val="88"/>
              </w:rPr>
              <w:t>Fresh Meadows</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00" w:type="dxa"/>
            <w:vAlign w:val="bottom"/>
          </w:tcPr>
          <w:p>
            <w:pPr>
              <w:ind w:left="20"/>
              <w:spacing w:after="0"/>
              <w:rPr>
                <w:sz w:val="20"/>
                <w:szCs w:val="20"/>
                <w:color w:val="auto"/>
              </w:rPr>
            </w:pPr>
            <w:r>
              <w:rPr>
                <w:rFonts w:ascii="Arial" w:cs="Arial" w:eastAsia="Arial" w:hAnsi="Arial"/>
                <w:sz w:val="13"/>
                <w:szCs w:val="13"/>
                <w:color w:val="auto"/>
                <w:w w:val="93"/>
              </w:rPr>
              <w:t>New York-Newark-Jersey City, NY-NJ-PA</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93,342</w:t>
            </w:r>
          </w:p>
        </w:tc>
        <w:tc>
          <w:tcPr>
            <w:tcW w:w="1040" w:type="dxa"/>
            <w:vAlign w:val="bottom"/>
          </w:tcPr>
          <w:p>
            <w:pPr>
              <w:spacing w:after="0"/>
              <w:rPr>
                <w:sz w:val="15"/>
                <w:szCs w:val="15"/>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404,000</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98%</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15,000</w:t>
            </w:r>
          </w:p>
        </w:tc>
        <w:tc>
          <w:tcPr>
            <w:tcW w:w="2880" w:type="dxa"/>
            <w:vAlign w:val="bottom"/>
            <w:gridSpan w:val="2"/>
          </w:tcPr>
          <w:p>
            <w:pPr>
              <w:ind w:left="80"/>
              <w:spacing w:after="0"/>
              <w:rPr>
                <w:sz w:val="20"/>
                <w:szCs w:val="20"/>
                <w:color w:val="auto"/>
              </w:rPr>
            </w:pPr>
            <w:r>
              <w:rPr>
                <w:rFonts w:ascii="Arial" w:cs="Arial" w:eastAsia="Arial" w:hAnsi="Arial"/>
                <w:sz w:val="13"/>
                <w:szCs w:val="13"/>
                <w:color w:val="auto"/>
              </w:rPr>
              <w:t>Island of Gold AMC / Kohl's / Michaels</w:t>
            </w:r>
          </w:p>
        </w:tc>
      </w:tr>
      <w:tr>
        <w:trPr>
          <w:trHeight w:val="97"/>
        </w:trPr>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40" w:type="dxa"/>
            <w:vAlign w:val="bottom"/>
          </w:tcPr>
          <w:p>
            <w:pPr>
              <w:spacing w:after="0"/>
              <w:rPr>
                <w:sz w:val="8"/>
                <w:szCs w:val="8"/>
                <w:color w:val="auto"/>
              </w:rPr>
            </w:pPr>
          </w:p>
        </w:tc>
      </w:tr>
      <w:tr>
        <w:trPr>
          <w:trHeight w:val="148"/>
        </w:trPr>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Georgetowne</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w w:val="93"/>
              </w:rPr>
              <w:t>New York-Newark-Jersey City, NY-NJ-PA</w:t>
            </w:r>
          </w:p>
        </w:tc>
        <w:tc>
          <w:tcPr>
            <w:tcW w:w="66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81,803</w:t>
            </w:r>
          </w:p>
        </w:tc>
        <w:tc>
          <w:tcPr>
            <w:tcW w:w="104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146,000</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85%</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43,000</w:t>
            </w:r>
          </w:p>
        </w:tc>
        <w:tc>
          <w:tcPr>
            <w:tcW w:w="84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Fairway</w:t>
            </w:r>
          </w:p>
        </w:tc>
        <w:tc>
          <w:tcPr>
            <w:tcW w:w="20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Five Below / IHOP</w:t>
            </w:r>
          </w:p>
        </w:tc>
      </w:tr>
      <w:tr>
        <w:trPr>
          <w:trHeight w:val="135"/>
        </w:trPr>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Shopping</w:t>
            </w: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4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Market</w:t>
            </w:r>
          </w:p>
        </w:tc>
        <w:tc>
          <w:tcPr>
            <w:tcW w:w="204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3"/>
                <w:szCs w:val="13"/>
                <w:color w:val="auto"/>
              </w:rPr>
              <w:t>Center</w:t>
            </w: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840" w:type="dxa"/>
            <w:vAlign w:val="bottom"/>
          </w:tcPr>
          <w:p>
            <w:pPr>
              <w:spacing w:after="0" w:line="148" w:lineRule="exact"/>
              <w:rPr>
                <w:sz w:val="20"/>
                <w:szCs w:val="20"/>
                <w:color w:val="auto"/>
              </w:rPr>
            </w:pPr>
            <w:r>
              <w:rPr>
                <w:rFonts w:ascii="Arial" w:cs="Arial" w:eastAsia="Arial" w:hAnsi="Arial"/>
                <w:sz w:val="13"/>
                <w:szCs w:val="13"/>
                <w:color w:val="auto"/>
              </w:rPr>
              <w:t>Greenlawn</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tcPr>
          <w:p>
            <w:pPr>
              <w:ind w:left="20"/>
              <w:spacing w:after="0" w:line="148" w:lineRule="exact"/>
              <w:rPr>
                <w:sz w:val="20"/>
                <w:szCs w:val="20"/>
                <w:color w:val="auto"/>
              </w:rPr>
            </w:pPr>
            <w:r>
              <w:rPr>
                <w:rFonts w:ascii="Arial" w:cs="Arial" w:eastAsia="Arial" w:hAnsi="Arial"/>
                <w:sz w:val="13"/>
                <w:szCs w:val="13"/>
                <w:color w:val="auto"/>
                <w:w w:val="93"/>
              </w:rPr>
              <w:t>New York-Newark-Jersey City, NY-NJ-PA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31,880</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13</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106,000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46,000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Greenlawn</w:t>
            </w:r>
          </w:p>
        </w:tc>
        <w:tc>
          <w:tcPr>
            <w:tcW w:w="2040" w:type="dxa"/>
            <w:vAlign w:val="bottom"/>
          </w:tcPr>
          <w:p>
            <w:pPr>
              <w:ind w:left="20"/>
              <w:spacing w:after="0" w:line="148" w:lineRule="exact"/>
              <w:rPr>
                <w:sz w:val="20"/>
                <w:szCs w:val="20"/>
                <w:color w:val="auto"/>
              </w:rPr>
            </w:pPr>
            <w:r>
              <w:rPr>
                <w:rFonts w:ascii="Arial" w:cs="Arial" w:eastAsia="Arial" w:hAnsi="Arial"/>
                <w:sz w:val="13"/>
                <w:szCs w:val="13"/>
                <w:color w:val="auto"/>
              </w:rPr>
              <w:t>Tuesday Morning</w:t>
            </w:r>
          </w:p>
        </w:tc>
      </w:tr>
      <w:tr>
        <w:trPr>
          <w:trHeight w:val="168"/>
        </w:trPr>
        <w:tc>
          <w:tcPr>
            <w:tcW w:w="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Plaza</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3"/>
                <w:szCs w:val="13"/>
                <w:color w:val="auto"/>
              </w:rPr>
              <w:t>Farms</w:t>
            </w:r>
          </w:p>
        </w:tc>
        <w:tc>
          <w:tcPr>
            <w:tcW w:w="2040" w:type="dxa"/>
            <w:vAlign w:val="bottom"/>
          </w:tcPr>
          <w:p>
            <w:pPr>
              <w:spacing w:after="0"/>
              <w:rPr>
                <w:sz w:val="14"/>
                <w:szCs w:val="14"/>
                <w:color w:val="auto"/>
              </w:rPr>
            </w:pPr>
          </w:p>
        </w:tc>
      </w:tr>
      <w:tr>
        <w:trPr>
          <w:trHeight w:val="156"/>
        </w:trPr>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3"/>
                <w:szCs w:val="13"/>
                <w:color w:val="auto"/>
              </w:rPr>
              <w:t>Greenwich</w:t>
            </w: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Bridgeport-Stamford-Norwalk, CT</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23,748</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Saks Fifth Avenue</w:t>
            </w:r>
          </w:p>
        </w:tc>
      </w:tr>
      <w:tr>
        <w:trPr>
          <w:trHeight w:val="176"/>
        </w:trPr>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3"/>
                <w:szCs w:val="13"/>
                <w:color w:val="auto"/>
              </w:rPr>
              <w:t>Avenue</w:t>
            </w: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r>
      <w:tr>
        <w:trPr>
          <w:trHeight w:val="173"/>
        </w:trPr>
        <w:tc>
          <w:tcPr>
            <w:tcW w:w="40" w:type="dxa"/>
            <w:vAlign w:val="bottom"/>
          </w:tcPr>
          <w:p>
            <w:pPr>
              <w:spacing w:after="0"/>
              <w:rPr>
                <w:sz w:val="15"/>
                <w:szCs w:val="15"/>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Hauppauge</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00" w:type="dxa"/>
            <w:vAlign w:val="bottom"/>
          </w:tcPr>
          <w:p>
            <w:pPr>
              <w:ind w:left="20"/>
              <w:spacing w:after="0"/>
              <w:rPr>
                <w:sz w:val="20"/>
                <w:szCs w:val="20"/>
                <w:color w:val="auto"/>
              </w:rPr>
            </w:pPr>
            <w:r>
              <w:rPr>
                <w:rFonts w:ascii="Arial" w:cs="Arial" w:eastAsia="Arial" w:hAnsi="Arial"/>
                <w:sz w:val="13"/>
                <w:szCs w:val="13"/>
                <w:color w:val="auto"/>
                <w:w w:val="93"/>
              </w:rPr>
              <w:t>New York-Newark-Jersey City, NY-NJ-PA</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29,565</w:t>
            </w:r>
          </w:p>
        </w:tc>
        <w:tc>
          <w:tcPr>
            <w:tcW w:w="1040" w:type="dxa"/>
            <w:vAlign w:val="bottom"/>
          </w:tcPr>
          <w:p>
            <w:pPr>
              <w:spacing w:after="0"/>
              <w:rPr>
                <w:sz w:val="15"/>
                <w:szCs w:val="15"/>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133,000</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74%</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61,000</w:t>
            </w:r>
          </w:p>
        </w:tc>
        <w:tc>
          <w:tcPr>
            <w:tcW w:w="840" w:type="dxa"/>
            <w:vAlign w:val="bottom"/>
          </w:tcPr>
          <w:p>
            <w:pPr>
              <w:ind w:left="80"/>
              <w:spacing w:after="0"/>
              <w:rPr>
                <w:sz w:val="20"/>
                <w:szCs w:val="20"/>
                <w:color w:val="auto"/>
              </w:rPr>
            </w:pPr>
            <w:r>
              <w:rPr>
                <w:rFonts w:ascii="Arial" w:cs="Arial" w:eastAsia="Arial" w:hAnsi="Arial"/>
                <w:sz w:val="13"/>
                <w:szCs w:val="13"/>
                <w:color w:val="auto"/>
              </w:rPr>
              <w:t>Shop Rite</w:t>
            </w:r>
          </w:p>
        </w:tc>
        <w:tc>
          <w:tcPr>
            <w:tcW w:w="204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40" w:type="dxa"/>
            <w:vAlign w:val="bottom"/>
          </w:tcPr>
          <w:p>
            <w:pPr>
              <w:spacing w:after="0"/>
              <w:rPr>
                <w:sz w:val="8"/>
                <w:szCs w:val="8"/>
                <w:color w:val="auto"/>
              </w:rPr>
            </w:pPr>
          </w:p>
        </w:tc>
      </w:tr>
      <w:tr>
        <w:trPr>
          <w:trHeight w:val="148"/>
        </w:trPr>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Hoboken</w:t>
            </w:r>
          </w:p>
        </w:tc>
        <w:tc>
          <w:tcPr>
            <w:tcW w:w="4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5"/>
              </w:rPr>
              <w:t>(4) (9)</w:t>
            </w:r>
          </w:p>
        </w:tc>
        <w:tc>
          <w:tcPr>
            <w:tcW w:w="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w w:val="93"/>
              </w:rPr>
              <w:t>New York-Newark-Jersey City, NY-NJ-PA</w:t>
            </w:r>
          </w:p>
        </w:tc>
        <w:tc>
          <w:tcPr>
            <w:tcW w:w="66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215,505</w:t>
            </w:r>
          </w:p>
        </w:tc>
        <w:tc>
          <w:tcPr>
            <w:tcW w:w="1040" w:type="dxa"/>
            <w:vAlign w:val="bottom"/>
            <w:shd w:val="clear" w:color="auto" w:fill="CCEEFF"/>
          </w:tcPr>
          <w:p>
            <w:pPr>
              <w:jc w:val="right"/>
              <w:ind w:right="98"/>
              <w:spacing w:after="0" w:line="148" w:lineRule="exact"/>
              <w:rPr>
                <w:sz w:val="20"/>
                <w:szCs w:val="20"/>
                <w:color w:val="auto"/>
              </w:rPr>
            </w:pPr>
            <w:r>
              <w:rPr>
                <w:rFonts w:ascii="Arial" w:cs="Arial" w:eastAsia="Arial" w:hAnsi="Arial"/>
                <w:sz w:val="13"/>
                <w:szCs w:val="13"/>
                <w:color w:val="auto"/>
              </w:rPr>
              <w:t>106,588</w:t>
            </w:r>
          </w:p>
        </w:tc>
        <w:tc>
          <w:tcPr>
            <w:tcW w:w="4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171,000</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94%</w:t>
            </w:r>
          </w:p>
        </w:tc>
        <w:tc>
          <w:tcPr>
            <w:tcW w:w="680" w:type="dxa"/>
            <w:vAlign w:val="bottom"/>
            <w:shd w:val="clear" w:color="auto" w:fill="CCEEFF"/>
          </w:tcPr>
          <w:p>
            <w:pPr>
              <w:jc w:val="right"/>
              <w:ind w:right="77"/>
              <w:spacing w:after="0" w:line="148" w:lineRule="exact"/>
              <w:rPr>
                <w:sz w:val="20"/>
                <w:szCs w:val="20"/>
                <w:color w:val="auto"/>
              </w:rPr>
            </w:pPr>
            <w:r>
              <w:rPr>
                <w:rFonts w:ascii="Arial" w:cs="Arial" w:eastAsia="Arial" w:hAnsi="Arial"/>
                <w:sz w:val="13"/>
                <w:szCs w:val="13"/>
                <w:color w:val="auto"/>
              </w:rPr>
              <w:t>129</w:t>
            </w: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CVS / New York Sports Club /</w:t>
            </w:r>
          </w:p>
        </w:tc>
      </w:tr>
      <w:tr>
        <w:trPr>
          <w:trHeight w:val="176"/>
        </w:trPr>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Sephora / Multiple Restaurants</w:t>
            </w:r>
          </w:p>
        </w:tc>
      </w:tr>
      <w:tr>
        <w:trPr>
          <w:trHeight w:val="148"/>
        </w:trPr>
        <w:tc>
          <w:tcPr>
            <w:tcW w:w="40" w:type="dxa"/>
            <w:vAlign w:val="bottom"/>
          </w:tcPr>
          <w:p>
            <w:pPr>
              <w:spacing w:after="0"/>
              <w:rPr>
                <w:sz w:val="12"/>
                <w:szCs w:val="12"/>
                <w:color w:val="auto"/>
              </w:rPr>
            </w:pPr>
          </w:p>
        </w:tc>
        <w:tc>
          <w:tcPr>
            <w:tcW w:w="840" w:type="dxa"/>
            <w:vAlign w:val="bottom"/>
          </w:tcPr>
          <w:p>
            <w:pPr>
              <w:spacing w:after="0" w:line="148" w:lineRule="exact"/>
              <w:rPr>
                <w:sz w:val="20"/>
                <w:szCs w:val="20"/>
                <w:color w:val="auto"/>
              </w:rPr>
            </w:pPr>
            <w:r>
              <w:rPr>
                <w:rFonts w:ascii="Arial" w:cs="Arial" w:eastAsia="Arial" w:hAnsi="Arial"/>
                <w:sz w:val="13"/>
                <w:szCs w:val="13"/>
                <w:color w:val="auto"/>
              </w:rPr>
              <w:t>Huntington</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tcPr>
          <w:p>
            <w:pPr>
              <w:ind w:left="20"/>
              <w:spacing w:after="0" w:line="148" w:lineRule="exact"/>
              <w:rPr>
                <w:sz w:val="20"/>
                <w:szCs w:val="20"/>
                <w:color w:val="auto"/>
              </w:rPr>
            </w:pPr>
            <w:r>
              <w:rPr>
                <w:rFonts w:ascii="Arial" w:cs="Arial" w:eastAsia="Arial" w:hAnsi="Arial"/>
                <w:sz w:val="13"/>
                <w:szCs w:val="13"/>
                <w:color w:val="auto"/>
                <w:w w:val="93"/>
              </w:rPr>
              <w:t>New York-Newark-Jersey City, NY-NJ-PA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46,736</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21</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263,000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79%</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40" w:type="dxa"/>
            <w:vAlign w:val="bottom"/>
          </w:tcPr>
          <w:p>
            <w:pPr>
              <w:ind w:left="20"/>
              <w:spacing w:after="0" w:line="148" w:lineRule="exact"/>
              <w:rPr>
                <w:sz w:val="20"/>
                <w:szCs w:val="20"/>
                <w:color w:val="auto"/>
              </w:rPr>
            </w:pPr>
            <w:r>
              <w:rPr>
                <w:rFonts w:ascii="Arial" w:cs="Arial" w:eastAsia="Arial" w:hAnsi="Arial"/>
                <w:sz w:val="13"/>
                <w:szCs w:val="13"/>
                <w:color w:val="auto"/>
              </w:rPr>
              <w:t>Nordstrom Rack / Buy Buy Baby /</w:t>
            </w:r>
          </w:p>
        </w:tc>
      </w:tr>
      <w:tr>
        <w:trPr>
          <w:trHeight w:val="168"/>
        </w:trPr>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40" w:type="dxa"/>
            <w:vAlign w:val="bottom"/>
          </w:tcPr>
          <w:p>
            <w:pPr>
              <w:ind w:left="20"/>
              <w:spacing w:after="0"/>
              <w:rPr>
                <w:sz w:val="20"/>
                <w:szCs w:val="20"/>
                <w:color w:val="auto"/>
              </w:rPr>
            </w:pPr>
            <w:r>
              <w:rPr>
                <w:rFonts w:ascii="Arial" w:cs="Arial" w:eastAsia="Arial" w:hAnsi="Arial"/>
                <w:sz w:val="13"/>
                <w:szCs w:val="13"/>
                <w:color w:val="auto"/>
              </w:rPr>
              <w:t>Michaels / Ulta</w:t>
            </w:r>
          </w:p>
        </w:tc>
      </w:tr>
      <w:tr>
        <w:trPr>
          <w:trHeight w:val="156"/>
        </w:trPr>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3"/>
                <w:szCs w:val="13"/>
                <w:color w:val="auto"/>
              </w:rPr>
              <w:t>Huntington</w:t>
            </w: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New York-Newark-Jersey City, NY-NJ-PA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13,399</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74,000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Barnes &amp; Noble</w:t>
            </w:r>
          </w:p>
        </w:tc>
      </w:tr>
      <w:tr>
        <w:trPr>
          <w:trHeight w:val="176"/>
        </w:trPr>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3"/>
                <w:szCs w:val="13"/>
                <w:color w:val="auto"/>
              </w:rPr>
              <w:t>Square</w:t>
            </w: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840" w:type="dxa"/>
            <w:vAlign w:val="bottom"/>
          </w:tcPr>
          <w:p>
            <w:pPr>
              <w:spacing w:after="0" w:line="148" w:lineRule="exact"/>
              <w:rPr>
                <w:sz w:val="20"/>
                <w:szCs w:val="20"/>
                <w:color w:val="auto"/>
              </w:rPr>
            </w:pPr>
            <w:r>
              <w:rPr>
                <w:rFonts w:ascii="Arial" w:cs="Arial" w:eastAsia="Arial" w:hAnsi="Arial"/>
                <w:sz w:val="13"/>
                <w:szCs w:val="13"/>
                <w:color w:val="auto"/>
              </w:rPr>
              <w:t>Melville Mall</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tcPr>
          <w:p>
            <w:pPr>
              <w:ind w:left="20"/>
              <w:spacing w:after="0" w:line="148" w:lineRule="exact"/>
              <w:rPr>
                <w:sz w:val="20"/>
                <w:szCs w:val="20"/>
                <w:color w:val="auto"/>
              </w:rPr>
            </w:pPr>
            <w:r>
              <w:rPr>
                <w:rFonts w:ascii="Arial" w:cs="Arial" w:eastAsia="Arial" w:hAnsi="Arial"/>
                <w:sz w:val="13"/>
                <w:szCs w:val="13"/>
                <w:color w:val="auto"/>
                <w:w w:val="93"/>
              </w:rPr>
              <w:t>New York-Newark-Jersey City, NY-NJ-PA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102,764</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21</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239,000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53,000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Uncle</w:t>
            </w:r>
          </w:p>
        </w:tc>
        <w:tc>
          <w:tcPr>
            <w:tcW w:w="2040" w:type="dxa"/>
            <w:vAlign w:val="bottom"/>
          </w:tcPr>
          <w:p>
            <w:pPr>
              <w:ind w:left="20"/>
              <w:spacing w:after="0" w:line="148" w:lineRule="exact"/>
              <w:rPr>
                <w:sz w:val="20"/>
                <w:szCs w:val="20"/>
                <w:color w:val="auto"/>
              </w:rPr>
            </w:pPr>
            <w:r>
              <w:rPr>
                <w:rFonts w:ascii="Arial" w:cs="Arial" w:eastAsia="Arial" w:hAnsi="Arial"/>
                <w:sz w:val="13"/>
                <w:szCs w:val="13"/>
                <w:color w:val="auto"/>
                <w:w w:val="99"/>
              </w:rPr>
              <w:t>Marshalls / Dick's Sporting Goods /</w:t>
            </w:r>
          </w:p>
        </w:tc>
      </w:tr>
      <w:tr>
        <w:trPr>
          <w:trHeight w:val="135"/>
        </w:trPr>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3"/>
                <w:szCs w:val="13"/>
                <w:color w:val="auto"/>
              </w:rPr>
              <w:t>Giuseppe's</w:t>
            </w:r>
          </w:p>
        </w:tc>
        <w:tc>
          <w:tcPr>
            <w:tcW w:w="2040" w:type="dxa"/>
            <w:vAlign w:val="bottom"/>
          </w:tcPr>
          <w:p>
            <w:pPr>
              <w:ind w:left="20"/>
              <w:spacing w:after="0" w:line="135" w:lineRule="exact"/>
              <w:rPr>
                <w:sz w:val="20"/>
                <w:szCs w:val="20"/>
                <w:color w:val="auto"/>
              </w:rPr>
            </w:pPr>
            <w:r>
              <w:rPr>
                <w:rFonts w:ascii="Arial" w:cs="Arial" w:eastAsia="Arial" w:hAnsi="Arial"/>
                <w:sz w:val="13"/>
                <w:szCs w:val="13"/>
                <w:color w:val="auto"/>
                <w:w w:val="99"/>
              </w:rPr>
              <w:t>Field &amp; Stream / Macy's Backstage</w:t>
            </w:r>
          </w:p>
        </w:tc>
      </w:tr>
      <w:tr>
        <w:trPr>
          <w:trHeight w:val="160"/>
        </w:trPr>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3"/>
                <w:szCs w:val="13"/>
                <w:color w:val="auto"/>
              </w:rPr>
              <w:t>Marketplace</w:t>
            </w:r>
          </w:p>
        </w:tc>
        <w:tc>
          <w:tcPr>
            <w:tcW w:w="2040" w:type="dxa"/>
            <w:vAlign w:val="bottom"/>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11240"/>
          </w:cols>
          <w:pgMar w:left="320" w:top="720" w:right="339" w:bottom="1440" w:gutter="0" w:footer="0" w:header="0"/>
        </w:sectPr>
      </w:pP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720" w:right="339" w:bottom="1440" w:gutter="0" w:footer="0" w:header="0"/>
          <w:type w:val="continuous"/>
        </w:sectPr>
      </w:pPr>
    </w:p>
    <w:bookmarkStart w:id="24" w:name="page25"/>
    <w:bookmarkEnd w:id="24"/>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March 31, 2020</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7"/>
              </w:rPr>
              <w:t>Real</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9"/>
              </w:rPr>
              <w:t>Mortgage/Finance</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17"/>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3"/>
                <w:szCs w:val="13"/>
                <w:b w:val="1"/>
                <w:bCs w:val="1"/>
                <w:color w:val="auto"/>
              </w:rPr>
              <w:t>Grocery</w:t>
            </w:r>
          </w:p>
        </w:tc>
        <w:tc>
          <w:tcPr>
            <w:tcW w:w="82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840" w:type="dxa"/>
            <w:vAlign w:val="bottom"/>
            <w:gridSpan w:val="4"/>
          </w:tcPr>
          <w:p>
            <w:pPr>
              <w:ind w:left="160"/>
              <w:spacing w:after="0" w:line="135" w:lineRule="exact"/>
              <w:rPr>
                <w:sz w:val="20"/>
                <w:szCs w:val="20"/>
                <w:color w:val="auto"/>
              </w:rPr>
            </w:pPr>
            <w:r>
              <w:rPr>
                <w:rFonts w:ascii="Arial" w:cs="Arial" w:eastAsia="Arial" w:hAnsi="Arial"/>
                <w:sz w:val="13"/>
                <w:szCs w:val="13"/>
                <w:b w:val="1"/>
                <w:bCs w:val="1"/>
                <w:color w:val="auto"/>
              </w:rPr>
              <w:t>Property</w:t>
            </w: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Estate at</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Lease Liabilities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Leased</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6"/>
              </w:rPr>
              <w:t>Residential</w:t>
            </w: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Anchor</w:t>
            </w:r>
          </w:p>
        </w:tc>
        <w:tc>
          <w:tcPr>
            <w:tcW w:w="82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060" w:type="dxa"/>
            <w:vAlign w:val="bottom"/>
          </w:tcPr>
          <w:p>
            <w:pPr>
              <w:spacing w:after="0"/>
              <w:rPr>
                <w:sz w:val="11"/>
                <w:szCs w:val="11"/>
                <w:color w:val="auto"/>
              </w:rPr>
            </w:pPr>
          </w:p>
        </w:tc>
      </w:tr>
      <w:tr>
        <w:trPr>
          <w:trHeight w:val="174"/>
        </w:trPr>
        <w:tc>
          <w:tcPr>
            <w:tcW w:w="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4"/>
          </w:tcPr>
          <w:p>
            <w:pPr>
              <w:ind w:left="240"/>
              <w:spacing w:after="0"/>
              <w:rPr>
                <w:sz w:val="20"/>
                <w:szCs w:val="20"/>
                <w:color w:val="auto"/>
              </w:rPr>
            </w:pPr>
            <w:r>
              <w:rPr>
                <w:rFonts w:ascii="Arial" w:cs="Arial" w:eastAsia="Arial" w:hAnsi="Arial"/>
                <w:sz w:val="13"/>
                <w:szCs w:val="13"/>
                <w:b w:val="1"/>
                <w:bCs w:val="1"/>
                <w:color w:val="auto"/>
              </w:rPr>
              <w:t>Name</w:t>
            </w:r>
          </w:p>
        </w:tc>
        <w:tc>
          <w:tcPr>
            <w:tcW w:w="4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MSA Description</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Cost (1)</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w:t>
            </w:r>
          </w:p>
        </w:tc>
        <w:tc>
          <w:tcPr>
            <w:tcW w:w="5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3"/>
              </w:rPr>
              <w:t>Acreage</w:t>
            </w:r>
          </w:p>
        </w:tc>
        <w:tc>
          <w:tcPr>
            <w:tcW w:w="78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GLA (3)</w:t>
            </w:r>
          </w:p>
        </w:tc>
        <w:tc>
          <w:tcPr>
            <w:tcW w:w="4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(3)</w:t>
            </w:r>
          </w:p>
        </w:tc>
        <w:tc>
          <w:tcPr>
            <w:tcW w:w="6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Units</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GLA</w:t>
            </w: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0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Other Retail Tenants</w:t>
            </w:r>
          </w:p>
        </w:tc>
      </w:tr>
      <w:tr>
        <w:trPr>
          <w:trHeight w:val="139"/>
        </w:trPr>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104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6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840" w:type="dxa"/>
            <w:vAlign w:val="bottom"/>
            <w:gridSpan w:val="4"/>
            <w:shd w:val="clear" w:color="auto" w:fill="CCEEFF"/>
          </w:tcPr>
          <w:p>
            <w:pPr>
              <w:spacing w:after="0" w:line="148" w:lineRule="exact"/>
              <w:rPr>
                <w:sz w:val="20"/>
                <w:szCs w:val="20"/>
                <w:color w:val="auto"/>
              </w:rPr>
            </w:pPr>
            <w:r>
              <w:rPr>
                <w:rFonts w:ascii="Arial" w:cs="Arial" w:eastAsia="Arial" w:hAnsi="Arial"/>
                <w:sz w:val="13"/>
                <w:szCs w:val="13"/>
                <w:color w:val="auto"/>
              </w:rPr>
              <w:t>Mercer Mall</w:t>
            </w:r>
          </w:p>
        </w:tc>
        <w:tc>
          <w:tcPr>
            <w:tcW w:w="4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7"/>
              </w:rPr>
              <w:t>(7)</w:t>
            </w:r>
          </w:p>
        </w:tc>
        <w:tc>
          <w:tcPr>
            <w:tcW w:w="232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Trenton, NJ</w:t>
            </w:r>
          </w:p>
        </w:tc>
        <w:tc>
          <w:tcPr>
            <w:tcW w:w="66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129,268</w:t>
            </w:r>
          </w:p>
        </w:tc>
        <w:tc>
          <w:tcPr>
            <w:tcW w:w="1040" w:type="dxa"/>
            <w:vAlign w:val="bottom"/>
            <w:shd w:val="clear" w:color="auto" w:fill="CCEEFF"/>
          </w:tcPr>
          <w:p>
            <w:pPr>
              <w:jc w:val="right"/>
              <w:ind w:right="98"/>
              <w:spacing w:after="0" w:line="148" w:lineRule="exact"/>
              <w:rPr>
                <w:sz w:val="20"/>
                <w:szCs w:val="20"/>
                <w:color w:val="auto"/>
              </w:rPr>
            </w:pPr>
            <w:r>
              <w:rPr>
                <w:rFonts w:ascii="Arial" w:cs="Arial" w:eastAsia="Arial" w:hAnsi="Arial"/>
                <w:sz w:val="13"/>
                <w:szCs w:val="13"/>
                <w:color w:val="auto"/>
              </w:rPr>
              <w:t>55,368</w:t>
            </w:r>
          </w:p>
        </w:tc>
        <w:tc>
          <w:tcPr>
            <w:tcW w:w="4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551,000</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91%</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75,000</w:t>
            </w:r>
          </w:p>
        </w:tc>
        <w:tc>
          <w:tcPr>
            <w:tcW w:w="8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Shop Rite</w:t>
            </w:r>
          </w:p>
        </w:tc>
        <w:tc>
          <w:tcPr>
            <w:tcW w:w="20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88"/>
              </w:rPr>
              <w:t>Ross Dress For Less / Nordstrom Rack</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 Bed, Bath &amp; Beyond / REI</w:t>
            </w:r>
          </w:p>
        </w:tc>
      </w:tr>
      <w:tr>
        <w:trPr>
          <w:trHeight w:val="148"/>
        </w:trPr>
        <w:tc>
          <w:tcPr>
            <w:tcW w:w="40" w:type="dxa"/>
            <w:vAlign w:val="bottom"/>
          </w:tcPr>
          <w:p>
            <w:pPr>
              <w:spacing w:after="0"/>
              <w:rPr>
                <w:sz w:val="12"/>
                <w:szCs w:val="12"/>
                <w:color w:val="auto"/>
              </w:rPr>
            </w:pPr>
          </w:p>
        </w:tc>
        <w:tc>
          <w:tcPr>
            <w:tcW w:w="840" w:type="dxa"/>
            <w:vAlign w:val="bottom"/>
            <w:gridSpan w:val="4"/>
          </w:tcPr>
          <w:p>
            <w:pPr>
              <w:spacing w:after="0" w:line="148" w:lineRule="exact"/>
              <w:rPr>
                <w:sz w:val="20"/>
                <w:szCs w:val="20"/>
                <w:color w:val="auto"/>
              </w:rPr>
            </w:pPr>
            <w:r>
              <w:rPr>
                <w:rFonts w:ascii="Arial" w:cs="Arial" w:eastAsia="Arial" w:hAnsi="Arial"/>
                <w:sz w:val="13"/>
                <w:szCs w:val="13"/>
                <w:color w:val="auto"/>
              </w:rPr>
              <w:t>The Grove at</w:t>
            </w:r>
          </w:p>
        </w:tc>
        <w:tc>
          <w:tcPr>
            <w:tcW w:w="420" w:type="dxa"/>
            <w:vAlign w:val="bottom"/>
          </w:tcPr>
          <w:p>
            <w:pPr>
              <w:jc w:val="center"/>
              <w:spacing w:after="0" w:line="148" w:lineRule="exact"/>
              <w:rPr>
                <w:sz w:val="20"/>
                <w:szCs w:val="20"/>
                <w:color w:val="auto"/>
              </w:rPr>
            </w:pPr>
            <w:r>
              <w:rPr>
                <w:rFonts w:ascii="Arial" w:cs="Arial" w:eastAsia="Arial" w:hAnsi="Arial"/>
                <w:sz w:val="13"/>
                <w:szCs w:val="13"/>
                <w:color w:val="auto"/>
                <w:w w:val="95"/>
              </w:rPr>
              <w:t>(4) (5)</w:t>
            </w:r>
          </w:p>
        </w:tc>
        <w:tc>
          <w:tcPr>
            <w:tcW w:w="232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3"/>
              </w:rPr>
              <w:t>New York-Newark-Jersey City, NY-NJ-PA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127,009</w:t>
            </w:r>
          </w:p>
        </w:tc>
        <w:tc>
          <w:tcPr>
            <w:tcW w:w="1040" w:type="dxa"/>
            <w:vAlign w:val="bottom"/>
          </w:tcPr>
          <w:p>
            <w:pPr>
              <w:jc w:val="right"/>
              <w:ind w:right="98"/>
              <w:spacing w:after="0" w:line="148" w:lineRule="exact"/>
              <w:rPr>
                <w:sz w:val="20"/>
                <w:szCs w:val="20"/>
                <w:color w:val="auto"/>
              </w:rPr>
            </w:pPr>
            <w:r>
              <w:rPr>
                <w:rFonts w:ascii="Arial" w:cs="Arial" w:eastAsia="Arial" w:hAnsi="Arial"/>
                <w:sz w:val="13"/>
                <w:szCs w:val="13"/>
                <w:color w:val="auto"/>
              </w:rPr>
              <w:t>43,600</w:t>
            </w: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21</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192,000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60" w:type="dxa"/>
            <w:vAlign w:val="bottom"/>
          </w:tcPr>
          <w:p>
            <w:pPr>
              <w:ind w:left="40"/>
              <w:spacing w:after="0" w:line="148" w:lineRule="exact"/>
              <w:rPr>
                <w:sz w:val="20"/>
                <w:szCs w:val="20"/>
                <w:color w:val="auto"/>
              </w:rPr>
            </w:pPr>
            <w:r>
              <w:rPr>
                <w:rFonts w:ascii="Arial" w:cs="Arial" w:eastAsia="Arial" w:hAnsi="Arial"/>
                <w:sz w:val="13"/>
                <w:szCs w:val="13"/>
                <w:color w:val="auto"/>
                <w:w w:val="98"/>
              </w:rPr>
              <w:t>Lululemon / Anthropologie / Pottery</w:t>
            </w:r>
          </w:p>
        </w:tc>
      </w:tr>
      <w:tr>
        <w:trPr>
          <w:trHeight w:val="168"/>
        </w:trPr>
        <w:tc>
          <w:tcPr>
            <w:tcW w:w="4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Arial" w:cs="Arial" w:eastAsia="Arial" w:hAnsi="Arial"/>
                <w:sz w:val="13"/>
                <w:szCs w:val="13"/>
                <w:color w:val="auto"/>
              </w:rPr>
              <w:t>Shrewsbury</w:t>
            </w: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ind w:left="40"/>
              <w:spacing w:after="0"/>
              <w:rPr>
                <w:sz w:val="20"/>
                <w:szCs w:val="20"/>
                <w:color w:val="auto"/>
              </w:rPr>
            </w:pPr>
            <w:r>
              <w:rPr>
                <w:rFonts w:ascii="Arial" w:cs="Arial" w:eastAsia="Arial" w:hAnsi="Arial"/>
                <w:sz w:val="13"/>
                <w:szCs w:val="13"/>
                <w:color w:val="auto"/>
              </w:rPr>
              <w:t>Barn / Williams-Sonoma</w:t>
            </w:r>
          </w:p>
        </w:tc>
      </w:tr>
      <w:tr>
        <w:trPr>
          <w:trHeight w:val="181"/>
        </w:trPr>
        <w:tc>
          <w:tcPr>
            <w:tcW w:w="40" w:type="dxa"/>
            <w:vAlign w:val="bottom"/>
            <w:shd w:val="clear" w:color="auto" w:fill="CCEEFF"/>
          </w:tcPr>
          <w:p>
            <w:pPr>
              <w:spacing w:after="0"/>
              <w:rPr>
                <w:sz w:val="15"/>
                <w:szCs w:val="15"/>
                <w:color w:val="auto"/>
              </w:rPr>
            </w:pPr>
          </w:p>
        </w:tc>
        <w:tc>
          <w:tcPr>
            <w:tcW w:w="84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Troy</w:t>
            </w:r>
          </w:p>
        </w:tc>
        <w:tc>
          <w:tcPr>
            <w:tcW w:w="420" w:type="dxa"/>
            <w:vAlign w:val="bottom"/>
            <w:shd w:val="clear" w:color="auto" w:fill="CCEEFF"/>
          </w:tcPr>
          <w:p>
            <w:pPr>
              <w:spacing w:after="0"/>
              <w:rPr>
                <w:sz w:val="15"/>
                <w:szCs w:val="15"/>
                <w:color w:val="auto"/>
              </w:rPr>
            </w:pPr>
          </w:p>
        </w:tc>
        <w:tc>
          <w:tcPr>
            <w:tcW w:w="23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3"/>
              </w:rPr>
              <w:t>New York-Newark-Jersey City, NY-NJ-PA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40,980</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211,000</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Target / L.A. Fitness / Michaels</w:t>
            </w:r>
          </w:p>
        </w:tc>
      </w:tr>
      <w:tr>
        <w:trPr>
          <w:trHeight w:val="97"/>
        </w:trPr>
        <w:tc>
          <w:tcPr>
            <w:tcW w:w="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06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20" w:type="dxa"/>
            <w:vAlign w:val="bottom"/>
            <w:gridSpan w:val="2"/>
          </w:tcPr>
          <w:p>
            <w:pPr>
              <w:ind w:left="40"/>
              <w:spacing w:after="0"/>
              <w:rPr>
                <w:sz w:val="20"/>
                <w:szCs w:val="20"/>
                <w:color w:val="auto"/>
              </w:rPr>
            </w:pPr>
            <w:r>
              <w:rPr>
                <w:rFonts w:ascii="Arial" w:cs="Arial" w:eastAsia="Arial" w:hAnsi="Arial"/>
                <w:sz w:val="13"/>
                <w:szCs w:val="13"/>
                <w:b w:val="1"/>
                <w:bCs w:val="1"/>
                <w:color w:val="auto"/>
              </w:rPr>
              <w:t>Total NY Metro/New Jersey</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w w:val="89"/>
              </w:rPr>
              <w:t>1,140,002</w:t>
            </w:r>
          </w:p>
        </w:tc>
        <w:tc>
          <w:tcPr>
            <w:tcW w:w="1040" w:type="dxa"/>
            <w:vAlign w:val="bottom"/>
          </w:tcPr>
          <w:p>
            <w:pPr>
              <w:spacing w:after="0"/>
              <w:rPr>
                <w:sz w:val="14"/>
                <w:szCs w:val="14"/>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color w:val="auto"/>
              </w:rPr>
              <w:t>274</w:t>
            </w:r>
          </w:p>
        </w:tc>
        <w:tc>
          <w:tcPr>
            <w:tcW w:w="10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w w:val="93"/>
              </w:rPr>
              <w:t>3,092,000</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92%</w:t>
            </w: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83"/>
        </w:trPr>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gridSpan w:val="3"/>
          </w:tcPr>
          <w:p>
            <w:pPr>
              <w:spacing w:after="0"/>
              <w:rPr>
                <w:sz w:val="7"/>
                <w:szCs w:val="7"/>
                <w:color w:val="auto"/>
              </w:rPr>
            </w:pPr>
          </w:p>
        </w:tc>
        <w:tc>
          <w:tcPr>
            <w:tcW w:w="1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60" w:type="dxa"/>
            <w:vAlign w:val="bottom"/>
          </w:tcPr>
          <w:p>
            <w:pPr>
              <w:spacing w:after="0"/>
              <w:rPr>
                <w:sz w:val="7"/>
                <w:szCs w:val="7"/>
                <w:color w:val="auto"/>
              </w:rPr>
            </w:pP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80" w:type="dxa"/>
            <w:vAlign w:val="bottom"/>
            <w:gridSpan w:val="3"/>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3580" w:type="dxa"/>
            <w:vAlign w:val="bottom"/>
            <w:gridSpan w:val="7"/>
          </w:tcPr>
          <w:p>
            <w:pPr>
              <w:ind w:left="60"/>
              <w:spacing w:after="0"/>
              <w:rPr>
                <w:sz w:val="20"/>
                <w:szCs w:val="20"/>
                <w:color w:val="auto"/>
              </w:rPr>
            </w:pPr>
            <w:r>
              <w:rPr>
                <w:rFonts w:ascii="Arial" w:cs="Arial" w:eastAsia="Arial" w:hAnsi="Arial"/>
                <w:sz w:val="13"/>
                <w:szCs w:val="13"/>
                <w:b w:val="1"/>
                <w:bCs w:val="1"/>
                <w:color w:val="auto"/>
              </w:rPr>
              <w:t>Philadelphia Metropolitan Area</w:t>
            </w: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60" w:type="dxa"/>
            <w:vAlign w:val="bottom"/>
          </w:tcPr>
          <w:p>
            <w:pPr>
              <w:spacing w:after="0"/>
              <w:rPr>
                <w:sz w:val="8"/>
                <w:szCs w:val="8"/>
                <w:color w:val="auto"/>
              </w:rPr>
            </w:pPr>
          </w:p>
        </w:tc>
      </w:tr>
      <w:tr>
        <w:trPr>
          <w:trHeight w:val="148"/>
        </w:trPr>
        <w:tc>
          <w:tcPr>
            <w:tcW w:w="40" w:type="dxa"/>
            <w:vAlign w:val="bottom"/>
            <w:shd w:val="clear" w:color="auto" w:fill="CCEEFF"/>
          </w:tcPr>
          <w:p>
            <w:pPr>
              <w:spacing w:after="0"/>
              <w:rPr>
                <w:sz w:val="12"/>
                <w:szCs w:val="12"/>
                <w:color w:val="auto"/>
              </w:rPr>
            </w:pPr>
          </w:p>
        </w:tc>
        <w:tc>
          <w:tcPr>
            <w:tcW w:w="840" w:type="dxa"/>
            <w:vAlign w:val="bottom"/>
            <w:gridSpan w:val="4"/>
            <w:shd w:val="clear" w:color="auto" w:fill="CCEEFF"/>
          </w:tcPr>
          <w:p>
            <w:pPr>
              <w:spacing w:after="0" w:line="148" w:lineRule="exact"/>
              <w:rPr>
                <w:sz w:val="20"/>
                <w:szCs w:val="20"/>
                <w:color w:val="auto"/>
              </w:rPr>
            </w:pPr>
            <w:r>
              <w:rPr>
                <w:rFonts w:ascii="Arial" w:cs="Arial" w:eastAsia="Arial" w:hAnsi="Arial"/>
                <w:sz w:val="13"/>
                <w:szCs w:val="13"/>
                <w:color w:val="auto"/>
              </w:rPr>
              <w:t>Andorra</w:t>
            </w:r>
          </w:p>
        </w:tc>
        <w:tc>
          <w:tcPr>
            <w:tcW w:w="420" w:type="dxa"/>
            <w:vAlign w:val="bottom"/>
            <w:shd w:val="clear" w:color="auto" w:fill="CCEEFF"/>
          </w:tcPr>
          <w:p>
            <w:pPr>
              <w:spacing w:after="0"/>
              <w:rPr>
                <w:sz w:val="12"/>
                <w:szCs w:val="12"/>
                <w:color w:val="auto"/>
              </w:rPr>
            </w:pPr>
          </w:p>
        </w:tc>
        <w:tc>
          <w:tcPr>
            <w:tcW w:w="232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w w:val="93"/>
              </w:rPr>
              <w:t>Philadelphia-Camden-Wilmington, PA-NJ-</w:t>
            </w:r>
          </w:p>
        </w:tc>
        <w:tc>
          <w:tcPr>
            <w:tcW w:w="66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26,968</w:t>
            </w:r>
          </w:p>
        </w:tc>
        <w:tc>
          <w:tcPr>
            <w:tcW w:w="104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266,000</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87%</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24,000</w:t>
            </w:r>
          </w:p>
        </w:tc>
        <w:tc>
          <w:tcPr>
            <w:tcW w:w="8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Acme</w:t>
            </w:r>
          </w:p>
        </w:tc>
        <w:tc>
          <w:tcPr>
            <w:tcW w:w="20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Kohl's / L.A. Fitness</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3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DE-MD</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Markets</w:t>
            </w:r>
          </w:p>
        </w:tc>
        <w:tc>
          <w:tcPr>
            <w:tcW w:w="206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840" w:type="dxa"/>
            <w:vAlign w:val="bottom"/>
            <w:gridSpan w:val="4"/>
          </w:tcPr>
          <w:p>
            <w:pPr>
              <w:spacing w:after="0" w:line="148" w:lineRule="exact"/>
              <w:rPr>
                <w:sz w:val="20"/>
                <w:szCs w:val="20"/>
                <w:color w:val="auto"/>
              </w:rPr>
            </w:pPr>
            <w:r>
              <w:rPr>
                <w:rFonts w:ascii="Arial" w:cs="Arial" w:eastAsia="Arial" w:hAnsi="Arial"/>
                <w:sz w:val="13"/>
                <w:szCs w:val="13"/>
                <w:color w:val="auto"/>
              </w:rPr>
              <w:t>Bala Cynwyd</w:t>
            </w:r>
          </w:p>
        </w:tc>
        <w:tc>
          <w:tcPr>
            <w:tcW w:w="420" w:type="dxa"/>
            <w:vAlign w:val="bottom"/>
          </w:tcPr>
          <w:p>
            <w:pPr>
              <w:spacing w:after="0"/>
              <w:rPr>
                <w:sz w:val="12"/>
                <w:szCs w:val="12"/>
                <w:color w:val="auto"/>
              </w:rPr>
            </w:pPr>
          </w:p>
        </w:tc>
        <w:tc>
          <w:tcPr>
            <w:tcW w:w="232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3"/>
              </w:rPr>
              <w:t>Philadelphia-Camden-Wilmington, PA-NJ-</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61,028</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23</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294,000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45,000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Acme</w:t>
            </w:r>
          </w:p>
        </w:tc>
        <w:tc>
          <w:tcPr>
            <w:tcW w:w="2060" w:type="dxa"/>
            <w:vAlign w:val="bottom"/>
          </w:tcPr>
          <w:p>
            <w:pPr>
              <w:ind w:left="40"/>
              <w:spacing w:after="0" w:line="148" w:lineRule="exact"/>
              <w:rPr>
                <w:sz w:val="20"/>
                <w:szCs w:val="20"/>
                <w:color w:val="auto"/>
              </w:rPr>
            </w:pPr>
            <w:r>
              <w:rPr>
                <w:rFonts w:ascii="Arial" w:cs="Arial" w:eastAsia="Arial" w:hAnsi="Arial"/>
                <w:sz w:val="13"/>
                <w:szCs w:val="13"/>
                <w:color w:val="auto"/>
              </w:rPr>
              <w:t>Lord &amp; Taylor / Michaels / L.A.</w:t>
            </w: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20" w:type="dxa"/>
            <w:vAlign w:val="bottom"/>
            <w:gridSpan w:val="2"/>
          </w:tcPr>
          <w:p>
            <w:pPr>
              <w:ind w:left="40"/>
              <w:spacing w:after="0"/>
              <w:rPr>
                <w:sz w:val="20"/>
                <w:szCs w:val="20"/>
                <w:color w:val="auto"/>
              </w:rPr>
            </w:pPr>
            <w:r>
              <w:rPr>
                <w:rFonts w:ascii="Arial" w:cs="Arial" w:eastAsia="Arial" w:hAnsi="Arial"/>
                <w:sz w:val="13"/>
                <w:szCs w:val="13"/>
                <w:color w:val="auto"/>
              </w:rPr>
              <w:t>DE-MD</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3"/>
                <w:szCs w:val="13"/>
                <w:color w:val="auto"/>
              </w:rPr>
              <w:t>Markets</w:t>
            </w:r>
          </w:p>
        </w:tc>
        <w:tc>
          <w:tcPr>
            <w:tcW w:w="2060" w:type="dxa"/>
            <w:vAlign w:val="bottom"/>
          </w:tcPr>
          <w:p>
            <w:pPr>
              <w:ind w:left="40"/>
              <w:spacing w:after="0"/>
              <w:rPr>
                <w:sz w:val="20"/>
                <w:szCs w:val="20"/>
                <w:color w:val="auto"/>
              </w:rPr>
            </w:pPr>
            <w:r>
              <w:rPr>
                <w:rFonts w:ascii="Arial" w:cs="Arial" w:eastAsia="Arial" w:hAnsi="Arial"/>
                <w:sz w:val="13"/>
                <w:szCs w:val="13"/>
                <w:color w:val="auto"/>
              </w:rPr>
              <w:t>Fitness</w:t>
            </w:r>
          </w:p>
        </w:tc>
      </w:tr>
      <w:tr>
        <w:trPr>
          <w:trHeight w:val="156"/>
        </w:trPr>
        <w:tc>
          <w:tcPr>
            <w:tcW w:w="40" w:type="dxa"/>
            <w:vAlign w:val="bottom"/>
            <w:shd w:val="clear" w:color="auto" w:fill="CCEEFF"/>
          </w:tcPr>
          <w:p>
            <w:pPr>
              <w:spacing w:after="0"/>
              <w:rPr>
                <w:sz w:val="13"/>
                <w:szCs w:val="13"/>
                <w:color w:val="auto"/>
              </w:rPr>
            </w:pPr>
          </w:p>
        </w:tc>
        <w:tc>
          <w:tcPr>
            <w:tcW w:w="84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Ellisburg</w:t>
            </w:r>
          </w:p>
        </w:tc>
        <w:tc>
          <w:tcPr>
            <w:tcW w:w="420" w:type="dxa"/>
            <w:vAlign w:val="bottom"/>
            <w:shd w:val="clear" w:color="auto" w:fill="CCEEFF"/>
          </w:tcPr>
          <w:p>
            <w:pPr>
              <w:spacing w:after="0"/>
              <w:rPr>
                <w:sz w:val="13"/>
                <w:szCs w:val="13"/>
                <w:color w:val="auto"/>
              </w:rPr>
            </w:pPr>
          </w:p>
        </w:tc>
        <w:tc>
          <w:tcPr>
            <w:tcW w:w="23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3"/>
              </w:rPr>
              <w:t>Philadelphia-Camden-Wilmington, PA-NJ-</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34,707</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268,000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47,000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3"/>
              </w:rPr>
              <w:t>Whole Foods</w:t>
            </w: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Buy Buy Baby / Stein Mart</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3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DE-MD</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840" w:type="dxa"/>
            <w:vAlign w:val="bottom"/>
            <w:gridSpan w:val="4"/>
          </w:tcPr>
          <w:p>
            <w:pPr>
              <w:spacing w:after="0" w:line="148" w:lineRule="exact"/>
              <w:rPr>
                <w:sz w:val="20"/>
                <w:szCs w:val="20"/>
                <w:color w:val="auto"/>
              </w:rPr>
            </w:pPr>
            <w:r>
              <w:rPr>
                <w:rFonts w:ascii="Arial" w:cs="Arial" w:eastAsia="Arial" w:hAnsi="Arial"/>
                <w:sz w:val="13"/>
                <w:szCs w:val="13"/>
                <w:color w:val="auto"/>
              </w:rPr>
              <w:t>Flourtown</w:t>
            </w:r>
          </w:p>
        </w:tc>
        <w:tc>
          <w:tcPr>
            <w:tcW w:w="420" w:type="dxa"/>
            <w:vAlign w:val="bottom"/>
          </w:tcPr>
          <w:p>
            <w:pPr>
              <w:spacing w:after="0"/>
              <w:rPr>
                <w:sz w:val="12"/>
                <w:szCs w:val="12"/>
                <w:color w:val="auto"/>
              </w:rPr>
            </w:pPr>
          </w:p>
        </w:tc>
        <w:tc>
          <w:tcPr>
            <w:tcW w:w="232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3"/>
              </w:rPr>
              <w:t>Philadelphia-Camden-Wilmington, PA-NJ-</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17,114</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24</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156,000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75,000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Giant Food</w:t>
            </w:r>
          </w:p>
        </w:tc>
        <w:tc>
          <w:tcPr>
            <w:tcW w:w="2060" w:type="dxa"/>
            <w:vAlign w:val="bottom"/>
          </w:tcPr>
          <w:p>
            <w:pPr>
              <w:ind w:left="40"/>
              <w:spacing w:after="0" w:line="148" w:lineRule="exact"/>
              <w:rPr>
                <w:sz w:val="20"/>
                <w:szCs w:val="20"/>
                <w:color w:val="auto"/>
              </w:rPr>
            </w:pPr>
            <w:r>
              <w:rPr>
                <w:rFonts w:ascii="Arial" w:cs="Arial" w:eastAsia="Arial" w:hAnsi="Arial"/>
                <w:sz w:val="13"/>
                <w:szCs w:val="13"/>
                <w:color w:val="auto"/>
              </w:rPr>
              <w:t>Movie Tavern</w:t>
            </w: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20" w:type="dxa"/>
            <w:vAlign w:val="bottom"/>
            <w:gridSpan w:val="2"/>
          </w:tcPr>
          <w:p>
            <w:pPr>
              <w:ind w:left="40"/>
              <w:spacing w:after="0"/>
              <w:rPr>
                <w:sz w:val="20"/>
                <w:szCs w:val="20"/>
                <w:color w:val="auto"/>
              </w:rPr>
            </w:pPr>
            <w:r>
              <w:rPr>
                <w:rFonts w:ascii="Arial" w:cs="Arial" w:eastAsia="Arial" w:hAnsi="Arial"/>
                <w:sz w:val="13"/>
                <w:szCs w:val="13"/>
                <w:color w:val="auto"/>
              </w:rPr>
              <w:t>DE-MD</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56"/>
        </w:trPr>
        <w:tc>
          <w:tcPr>
            <w:tcW w:w="40" w:type="dxa"/>
            <w:vAlign w:val="bottom"/>
            <w:shd w:val="clear" w:color="auto" w:fill="CCEEFF"/>
          </w:tcPr>
          <w:p>
            <w:pPr>
              <w:spacing w:after="0"/>
              <w:rPr>
                <w:sz w:val="13"/>
                <w:szCs w:val="13"/>
                <w:color w:val="auto"/>
              </w:rPr>
            </w:pPr>
          </w:p>
        </w:tc>
        <w:tc>
          <w:tcPr>
            <w:tcW w:w="84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Langhorne</w:t>
            </w:r>
          </w:p>
        </w:tc>
        <w:tc>
          <w:tcPr>
            <w:tcW w:w="420" w:type="dxa"/>
            <w:vAlign w:val="bottom"/>
            <w:shd w:val="clear" w:color="auto" w:fill="CCEEFF"/>
          </w:tcPr>
          <w:p>
            <w:pPr>
              <w:spacing w:after="0"/>
              <w:rPr>
                <w:sz w:val="13"/>
                <w:szCs w:val="13"/>
                <w:color w:val="auto"/>
              </w:rPr>
            </w:pPr>
          </w:p>
        </w:tc>
        <w:tc>
          <w:tcPr>
            <w:tcW w:w="23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3"/>
              </w:rPr>
              <w:t>Philadelphia-Camden-Wilmington, PA-NJ-</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22,693</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227,000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55,000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Redner's</w:t>
            </w: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Marshalls / Planet Fitness</w:t>
            </w:r>
          </w:p>
        </w:tc>
      </w:tr>
      <w:tr>
        <w:trPr>
          <w:trHeight w:val="135"/>
        </w:trPr>
        <w:tc>
          <w:tcPr>
            <w:tcW w:w="40" w:type="dxa"/>
            <w:vAlign w:val="bottom"/>
            <w:shd w:val="clear" w:color="auto" w:fill="CCEEFF"/>
          </w:tcPr>
          <w:p>
            <w:pPr>
              <w:spacing w:after="0"/>
              <w:rPr>
                <w:sz w:val="11"/>
                <w:szCs w:val="11"/>
                <w:color w:val="auto"/>
              </w:rPr>
            </w:pPr>
          </w:p>
        </w:tc>
        <w:tc>
          <w:tcPr>
            <w:tcW w:w="84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Square</w:t>
            </w:r>
          </w:p>
        </w:tc>
        <w:tc>
          <w:tcPr>
            <w:tcW w:w="420" w:type="dxa"/>
            <w:vAlign w:val="bottom"/>
            <w:shd w:val="clear" w:color="auto" w:fill="CCEEFF"/>
          </w:tcPr>
          <w:p>
            <w:pPr>
              <w:spacing w:after="0"/>
              <w:rPr>
                <w:sz w:val="11"/>
                <w:szCs w:val="11"/>
                <w:color w:val="auto"/>
              </w:rPr>
            </w:pPr>
          </w:p>
        </w:tc>
        <w:tc>
          <w:tcPr>
            <w:tcW w:w="232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DE-MD</w:t>
            </w: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Warehouse</w:t>
            </w:r>
          </w:p>
        </w:tc>
        <w:tc>
          <w:tcPr>
            <w:tcW w:w="206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Markets</w:t>
            </w:r>
          </w:p>
        </w:tc>
        <w:tc>
          <w:tcPr>
            <w:tcW w:w="206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840" w:type="dxa"/>
            <w:vAlign w:val="bottom"/>
            <w:gridSpan w:val="4"/>
          </w:tcPr>
          <w:p>
            <w:pPr>
              <w:spacing w:after="0" w:line="148" w:lineRule="exact"/>
              <w:rPr>
                <w:sz w:val="20"/>
                <w:szCs w:val="20"/>
                <w:color w:val="auto"/>
              </w:rPr>
            </w:pPr>
            <w:r>
              <w:rPr>
                <w:rFonts w:ascii="Arial" w:cs="Arial" w:eastAsia="Arial" w:hAnsi="Arial"/>
                <w:sz w:val="13"/>
                <w:szCs w:val="13"/>
                <w:color w:val="auto"/>
                <w:w w:val="94"/>
              </w:rPr>
              <w:t>Lawrence Park</w:t>
            </w:r>
          </w:p>
        </w:tc>
        <w:tc>
          <w:tcPr>
            <w:tcW w:w="420" w:type="dxa"/>
            <w:vAlign w:val="bottom"/>
          </w:tcPr>
          <w:p>
            <w:pPr>
              <w:spacing w:after="0"/>
              <w:rPr>
                <w:sz w:val="12"/>
                <w:szCs w:val="12"/>
                <w:color w:val="auto"/>
              </w:rPr>
            </w:pPr>
          </w:p>
        </w:tc>
        <w:tc>
          <w:tcPr>
            <w:tcW w:w="232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3"/>
              </w:rPr>
              <w:t>Philadelphia-Camden-Wilmington, PA-NJ-</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35,263</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29</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363,000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53,000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Acme</w:t>
            </w:r>
          </w:p>
        </w:tc>
        <w:tc>
          <w:tcPr>
            <w:tcW w:w="2060" w:type="dxa"/>
            <w:vAlign w:val="bottom"/>
          </w:tcPr>
          <w:p>
            <w:pPr>
              <w:ind w:left="40"/>
              <w:spacing w:after="0" w:line="148" w:lineRule="exact"/>
              <w:rPr>
                <w:sz w:val="20"/>
                <w:szCs w:val="20"/>
                <w:color w:val="auto"/>
              </w:rPr>
            </w:pPr>
            <w:r>
              <w:rPr>
                <w:rFonts w:ascii="Arial" w:cs="Arial" w:eastAsia="Arial" w:hAnsi="Arial"/>
                <w:sz w:val="13"/>
                <w:szCs w:val="13"/>
                <w:color w:val="auto"/>
              </w:rPr>
              <w:t>TJ Maxx / HomeGoods / Barnes &amp;</w:t>
            </w: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20" w:type="dxa"/>
            <w:vAlign w:val="bottom"/>
            <w:gridSpan w:val="2"/>
          </w:tcPr>
          <w:p>
            <w:pPr>
              <w:ind w:left="40"/>
              <w:spacing w:after="0"/>
              <w:rPr>
                <w:sz w:val="20"/>
                <w:szCs w:val="20"/>
                <w:color w:val="auto"/>
              </w:rPr>
            </w:pPr>
            <w:r>
              <w:rPr>
                <w:rFonts w:ascii="Arial" w:cs="Arial" w:eastAsia="Arial" w:hAnsi="Arial"/>
                <w:sz w:val="13"/>
                <w:szCs w:val="13"/>
                <w:color w:val="auto"/>
              </w:rPr>
              <w:t>DE-MD</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3"/>
                <w:szCs w:val="13"/>
                <w:color w:val="auto"/>
              </w:rPr>
              <w:t>Markets</w:t>
            </w:r>
          </w:p>
        </w:tc>
        <w:tc>
          <w:tcPr>
            <w:tcW w:w="2060" w:type="dxa"/>
            <w:vAlign w:val="bottom"/>
          </w:tcPr>
          <w:p>
            <w:pPr>
              <w:ind w:left="40"/>
              <w:spacing w:after="0"/>
              <w:rPr>
                <w:sz w:val="20"/>
                <w:szCs w:val="20"/>
                <w:color w:val="auto"/>
              </w:rPr>
            </w:pPr>
            <w:r>
              <w:rPr>
                <w:rFonts w:ascii="Arial" w:cs="Arial" w:eastAsia="Arial" w:hAnsi="Arial"/>
                <w:sz w:val="13"/>
                <w:szCs w:val="13"/>
                <w:color w:val="auto"/>
              </w:rPr>
              <w:t>Noble</w:t>
            </w:r>
          </w:p>
        </w:tc>
      </w:tr>
      <w:tr>
        <w:trPr>
          <w:trHeight w:val="156"/>
        </w:trPr>
        <w:tc>
          <w:tcPr>
            <w:tcW w:w="40" w:type="dxa"/>
            <w:vAlign w:val="bottom"/>
            <w:shd w:val="clear" w:color="auto" w:fill="CCEEFF"/>
          </w:tcPr>
          <w:p>
            <w:pPr>
              <w:spacing w:after="0"/>
              <w:rPr>
                <w:sz w:val="13"/>
                <w:szCs w:val="13"/>
                <w:color w:val="auto"/>
              </w:rPr>
            </w:pPr>
          </w:p>
        </w:tc>
        <w:tc>
          <w:tcPr>
            <w:tcW w:w="84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Northeast</w:t>
            </w:r>
          </w:p>
        </w:tc>
        <w:tc>
          <w:tcPr>
            <w:tcW w:w="420" w:type="dxa"/>
            <w:vAlign w:val="bottom"/>
            <w:shd w:val="clear" w:color="auto" w:fill="CCEEFF"/>
          </w:tcPr>
          <w:p>
            <w:pPr>
              <w:spacing w:after="0"/>
              <w:rPr>
                <w:sz w:val="13"/>
                <w:szCs w:val="13"/>
                <w:color w:val="auto"/>
              </w:rPr>
            </w:pPr>
          </w:p>
        </w:tc>
        <w:tc>
          <w:tcPr>
            <w:tcW w:w="23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3"/>
              </w:rPr>
              <w:t>Philadelphia-Camden-Wilmington, PA-NJ-</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32,569</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228,000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Marshalls / Ulta</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3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DE-MD</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840" w:type="dxa"/>
            <w:vAlign w:val="bottom"/>
            <w:gridSpan w:val="4"/>
          </w:tcPr>
          <w:p>
            <w:pPr>
              <w:spacing w:after="0" w:line="148" w:lineRule="exact"/>
              <w:rPr>
                <w:sz w:val="20"/>
                <w:szCs w:val="20"/>
                <w:color w:val="auto"/>
              </w:rPr>
            </w:pPr>
            <w:r>
              <w:rPr>
                <w:rFonts w:ascii="Arial" w:cs="Arial" w:eastAsia="Arial" w:hAnsi="Arial"/>
                <w:sz w:val="13"/>
                <w:szCs w:val="13"/>
                <w:color w:val="auto"/>
                <w:w w:val="92"/>
              </w:rPr>
              <w:t>Town Center of</w:t>
            </w:r>
          </w:p>
        </w:tc>
        <w:tc>
          <w:tcPr>
            <w:tcW w:w="420" w:type="dxa"/>
            <w:vAlign w:val="bottom"/>
          </w:tcPr>
          <w:p>
            <w:pPr>
              <w:spacing w:after="0"/>
              <w:rPr>
                <w:sz w:val="12"/>
                <w:szCs w:val="12"/>
                <w:color w:val="auto"/>
              </w:rPr>
            </w:pPr>
          </w:p>
        </w:tc>
        <w:tc>
          <w:tcPr>
            <w:tcW w:w="232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3"/>
              </w:rPr>
              <w:t>Philadelphia-Camden-Wilmington, PA-NJ-</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16,499</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17</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124,000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87%</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36,000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Giant Food</w:t>
            </w:r>
          </w:p>
        </w:tc>
        <w:tc>
          <w:tcPr>
            <w:tcW w:w="2060" w:type="dxa"/>
            <w:vAlign w:val="bottom"/>
          </w:tcPr>
          <w:p>
            <w:pPr>
              <w:ind w:left="40"/>
              <w:spacing w:after="0" w:line="148" w:lineRule="exact"/>
              <w:rPr>
                <w:sz w:val="20"/>
                <w:szCs w:val="20"/>
                <w:color w:val="auto"/>
              </w:rPr>
            </w:pPr>
            <w:r>
              <w:rPr>
                <w:rFonts w:ascii="Arial" w:cs="Arial" w:eastAsia="Arial" w:hAnsi="Arial"/>
                <w:sz w:val="13"/>
                <w:szCs w:val="13"/>
                <w:color w:val="auto"/>
              </w:rPr>
              <w:t>Rite Aid / Dollar Tree</w:t>
            </w:r>
          </w:p>
        </w:tc>
      </w:tr>
      <w:tr>
        <w:trPr>
          <w:trHeight w:val="168"/>
        </w:trPr>
        <w:tc>
          <w:tcPr>
            <w:tcW w:w="4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Arial" w:cs="Arial" w:eastAsia="Arial" w:hAnsi="Arial"/>
                <w:sz w:val="13"/>
                <w:szCs w:val="13"/>
                <w:color w:val="auto"/>
              </w:rPr>
              <w:t>New Britain</w:t>
            </w:r>
          </w:p>
        </w:tc>
        <w:tc>
          <w:tcPr>
            <w:tcW w:w="420" w:type="dxa"/>
            <w:vAlign w:val="bottom"/>
          </w:tcPr>
          <w:p>
            <w:pPr>
              <w:spacing w:after="0"/>
              <w:rPr>
                <w:sz w:val="14"/>
                <w:szCs w:val="14"/>
                <w:color w:val="auto"/>
              </w:rPr>
            </w:pPr>
          </w:p>
        </w:tc>
        <w:tc>
          <w:tcPr>
            <w:tcW w:w="2320" w:type="dxa"/>
            <w:vAlign w:val="bottom"/>
            <w:gridSpan w:val="2"/>
          </w:tcPr>
          <w:p>
            <w:pPr>
              <w:ind w:left="40"/>
              <w:spacing w:after="0"/>
              <w:rPr>
                <w:sz w:val="20"/>
                <w:szCs w:val="20"/>
                <w:color w:val="auto"/>
              </w:rPr>
            </w:pPr>
            <w:r>
              <w:rPr>
                <w:rFonts w:ascii="Arial" w:cs="Arial" w:eastAsia="Arial" w:hAnsi="Arial"/>
                <w:sz w:val="13"/>
                <w:szCs w:val="13"/>
                <w:color w:val="auto"/>
              </w:rPr>
              <w:t>DE-MD</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56"/>
        </w:trPr>
        <w:tc>
          <w:tcPr>
            <w:tcW w:w="40" w:type="dxa"/>
            <w:vAlign w:val="bottom"/>
            <w:shd w:val="clear" w:color="auto" w:fill="CCEEFF"/>
          </w:tcPr>
          <w:p>
            <w:pPr>
              <w:spacing w:after="0"/>
              <w:rPr>
                <w:sz w:val="13"/>
                <w:szCs w:val="13"/>
                <w:color w:val="auto"/>
              </w:rPr>
            </w:pPr>
          </w:p>
        </w:tc>
        <w:tc>
          <w:tcPr>
            <w:tcW w:w="84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Willow Grove</w:t>
            </w:r>
          </w:p>
        </w:tc>
        <w:tc>
          <w:tcPr>
            <w:tcW w:w="420" w:type="dxa"/>
            <w:vAlign w:val="bottom"/>
            <w:shd w:val="clear" w:color="auto" w:fill="CCEEFF"/>
          </w:tcPr>
          <w:p>
            <w:pPr>
              <w:spacing w:after="0"/>
              <w:rPr>
                <w:sz w:val="13"/>
                <w:szCs w:val="13"/>
                <w:color w:val="auto"/>
              </w:rPr>
            </w:pPr>
          </w:p>
        </w:tc>
        <w:tc>
          <w:tcPr>
            <w:tcW w:w="23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3"/>
              </w:rPr>
              <w:t>Philadelphia-Camden-Wilmington, PA-NJ-</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30,194</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211,000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8"/>
              </w:rPr>
              <w:t>Marshalls / HomeGoods / Barnes &amp;</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3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DE-MD</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Noble</w:t>
            </w:r>
          </w:p>
        </w:tc>
      </w:tr>
      <w:tr>
        <w:trPr>
          <w:trHeight w:val="148"/>
        </w:trPr>
        <w:tc>
          <w:tcPr>
            <w:tcW w:w="40" w:type="dxa"/>
            <w:vAlign w:val="bottom"/>
          </w:tcPr>
          <w:p>
            <w:pPr>
              <w:spacing w:after="0"/>
              <w:rPr>
                <w:sz w:val="12"/>
                <w:szCs w:val="12"/>
                <w:color w:val="auto"/>
              </w:rPr>
            </w:pPr>
          </w:p>
        </w:tc>
        <w:tc>
          <w:tcPr>
            <w:tcW w:w="840" w:type="dxa"/>
            <w:vAlign w:val="bottom"/>
            <w:gridSpan w:val="4"/>
          </w:tcPr>
          <w:p>
            <w:pPr>
              <w:spacing w:after="0" w:line="148" w:lineRule="exact"/>
              <w:rPr>
                <w:sz w:val="20"/>
                <w:szCs w:val="20"/>
                <w:color w:val="auto"/>
              </w:rPr>
            </w:pPr>
            <w:r>
              <w:rPr>
                <w:rFonts w:ascii="Arial" w:cs="Arial" w:eastAsia="Arial" w:hAnsi="Arial"/>
                <w:sz w:val="13"/>
                <w:szCs w:val="13"/>
                <w:color w:val="auto"/>
              </w:rPr>
              <w:t>Wynnewood</w:t>
            </w:r>
          </w:p>
        </w:tc>
        <w:tc>
          <w:tcPr>
            <w:tcW w:w="420" w:type="dxa"/>
            <w:vAlign w:val="bottom"/>
          </w:tcPr>
          <w:p>
            <w:pPr>
              <w:spacing w:after="0"/>
              <w:rPr>
                <w:sz w:val="12"/>
                <w:szCs w:val="12"/>
                <w:color w:val="auto"/>
              </w:rPr>
            </w:pPr>
          </w:p>
        </w:tc>
        <w:tc>
          <w:tcPr>
            <w:tcW w:w="232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3"/>
              </w:rPr>
              <w:t>Philadelphia-Camden-Wilmington, PA-NJ-</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42,786</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14</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251,000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680" w:type="dxa"/>
            <w:vAlign w:val="bottom"/>
          </w:tcPr>
          <w:p>
            <w:pPr>
              <w:jc w:val="right"/>
              <w:ind w:right="77"/>
              <w:spacing w:after="0" w:line="148" w:lineRule="exact"/>
              <w:rPr>
                <w:sz w:val="20"/>
                <w:szCs w:val="20"/>
                <w:color w:val="auto"/>
              </w:rPr>
            </w:pPr>
            <w:r>
              <w:rPr>
                <w:rFonts w:ascii="Arial" w:cs="Arial" w:eastAsia="Arial" w:hAnsi="Arial"/>
                <w:sz w:val="13"/>
                <w:szCs w:val="13"/>
                <w:color w:val="auto"/>
              </w:rPr>
              <w:t>9</w:t>
            </w: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98,000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Giant Food</w:t>
            </w:r>
          </w:p>
        </w:tc>
        <w:tc>
          <w:tcPr>
            <w:tcW w:w="2060" w:type="dxa"/>
            <w:vAlign w:val="bottom"/>
          </w:tcPr>
          <w:p>
            <w:pPr>
              <w:ind w:left="40"/>
              <w:spacing w:after="0" w:line="148" w:lineRule="exact"/>
              <w:rPr>
                <w:sz w:val="20"/>
                <w:szCs w:val="20"/>
                <w:color w:val="auto"/>
              </w:rPr>
            </w:pPr>
            <w:r>
              <w:rPr>
                <w:rFonts w:ascii="Arial" w:cs="Arial" w:eastAsia="Arial" w:hAnsi="Arial"/>
                <w:sz w:val="13"/>
                <w:szCs w:val="13"/>
                <w:color w:val="auto"/>
              </w:rPr>
              <w:t>Bed, Bath &amp; Beyond / Old Navy /</w:t>
            </w:r>
          </w:p>
        </w:tc>
      </w:tr>
      <w:tr>
        <w:trPr>
          <w:trHeight w:val="170"/>
        </w:trPr>
        <w:tc>
          <w:tcPr>
            <w:tcW w:w="4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232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DE-MD</w:t>
            </w:r>
          </w:p>
        </w:tc>
        <w:tc>
          <w:tcPr>
            <w:tcW w:w="660" w:type="dxa"/>
            <w:vAlign w:val="bottom"/>
            <w:tcBorders>
              <w:bottom w:val="single" w:sz="8" w:color="auto"/>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20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DSW</w:t>
            </w:r>
          </w:p>
        </w:tc>
      </w:tr>
      <w:tr>
        <w:trPr>
          <w:trHeight w:val="173"/>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3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Total Philadelphia Metropolitan Area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319,821</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206</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3"/>
              </w:rPr>
              <w:t>2,388,000</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83"/>
        </w:trPr>
        <w:tc>
          <w:tcPr>
            <w:tcW w:w="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8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060" w:type="dxa"/>
            <w:vAlign w:val="bottom"/>
            <w:shd w:val="clear" w:color="auto" w:fill="CCEEFF"/>
          </w:tcPr>
          <w:p>
            <w:pPr>
              <w:spacing w:after="0"/>
              <w:rPr>
                <w:sz w:val="7"/>
                <w:szCs w:val="7"/>
                <w:color w:val="auto"/>
              </w:rPr>
            </w:pPr>
          </w:p>
        </w:tc>
      </w:tr>
      <w:tr>
        <w:trPr>
          <w:trHeight w:val="175"/>
        </w:trPr>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49"/>
        </w:trPr>
        <w:tc>
          <w:tcPr>
            <w:tcW w:w="40" w:type="dxa"/>
            <w:vAlign w:val="bottom"/>
            <w:shd w:val="clear" w:color="auto" w:fill="CCEEFF"/>
          </w:tcPr>
          <w:p>
            <w:pPr>
              <w:spacing w:after="0"/>
              <w:rPr>
                <w:sz w:val="12"/>
                <w:szCs w:val="12"/>
                <w:color w:val="auto"/>
              </w:rPr>
            </w:pPr>
          </w:p>
        </w:tc>
        <w:tc>
          <w:tcPr>
            <w:tcW w:w="840" w:type="dxa"/>
            <w:vAlign w:val="bottom"/>
            <w:gridSpan w:val="4"/>
            <w:shd w:val="clear" w:color="auto" w:fill="CCEEFF"/>
          </w:tcPr>
          <w:p>
            <w:pPr>
              <w:ind w:left="60"/>
              <w:spacing w:after="0"/>
              <w:rPr>
                <w:sz w:val="20"/>
                <w:szCs w:val="20"/>
                <w:color w:val="auto"/>
              </w:rPr>
            </w:pPr>
            <w:r>
              <w:rPr>
                <w:rFonts w:ascii="Arial" w:cs="Arial" w:eastAsia="Arial" w:hAnsi="Arial"/>
                <w:sz w:val="13"/>
                <w:szCs w:val="13"/>
                <w:b w:val="1"/>
                <w:bCs w:val="1"/>
                <w:color w:val="auto"/>
                <w:w w:val="93"/>
              </w:rPr>
              <w:t>New England</w:t>
            </w:r>
          </w:p>
        </w:tc>
        <w:tc>
          <w:tcPr>
            <w:tcW w:w="4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r>
      <w:tr>
        <w:trPr>
          <w:trHeight w:val="101"/>
        </w:trPr>
        <w:tc>
          <w:tcPr>
            <w:tcW w:w="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18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04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2060" w:type="dxa"/>
            <w:vAlign w:val="bottom"/>
            <w:tcBorders>
              <w:top w:val="single" w:sz="8" w:color="CCEEFF"/>
            </w:tcBorders>
            <w:shd w:val="clear" w:color="auto" w:fill="CCEEFF"/>
          </w:tcPr>
          <w:p>
            <w:pPr>
              <w:spacing w:after="0"/>
              <w:rPr>
                <w:sz w:val="8"/>
                <w:szCs w:val="8"/>
                <w:color w:val="auto"/>
              </w:rPr>
            </w:pPr>
          </w:p>
        </w:tc>
      </w:tr>
      <w:tr>
        <w:trPr>
          <w:trHeight w:val="148"/>
        </w:trPr>
        <w:tc>
          <w:tcPr>
            <w:tcW w:w="40" w:type="dxa"/>
            <w:vAlign w:val="bottom"/>
          </w:tcPr>
          <w:p>
            <w:pPr>
              <w:spacing w:after="0"/>
              <w:rPr>
                <w:sz w:val="12"/>
                <w:szCs w:val="12"/>
                <w:color w:val="auto"/>
              </w:rPr>
            </w:pPr>
          </w:p>
        </w:tc>
        <w:tc>
          <w:tcPr>
            <w:tcW w:w="840" w:type="dxa"/>
            <w:vAlign w:val="bottom"/>
            <w:gridSpan w:val="4"/>
          </w:tcPr>
          <w:p>
            <w:pPr>
              <w:spacing w:after="0" w:line="148" w:lineRule="exact"/>
              <w:rPr>
                <w:sz w:val="20"/>
                <w:szCs w:val="20"/>
                <w:color w:val="auto"/>
              </w:rPr>
            </w:pPr>
            <w:r>
              <w:rPr>
                <w:rFonts w:ascii="Arial" w:cs="Arial" w:eastAsia="Arial" w:hAnsi="Arial"/>
                <w:sz w:val="13"/>
                <w:szCs w:val="13"/>
                <w:color w:val="auto"/>
                <w:w w:val="95"/>
              </w:rPr>
              <w:t>Assembly Row</w:t>
            </w:r>
          </w:p>
        </w:tc>
        <w:tc>
          <w:tcPr>
            <w:tcW w:w="420" w:type="dxa"/>
            <w:vAlign w:val="bottom"/>
          </w:tcPr>
          <w:p>
            <w:pPr>
              <w:jc w:val="center"/>
              <w:spacing w:after="0" w:line="148" w:lineRule="exact"/>
              <w:rPr>
                <w:sz w:val="20"/>
                <w:szCs w:val="20"/>
                <w:color w:val="auto"/>
              </w:rPr>
            </w:pPr>
            <w:r>
              <w:rPr>
                <w:rFonts w:ascii="Arial" w:cs="Arial" w:eastAsia="Arial" w:hAnsi="Arial"/>
                <w:sz w:val="13"/>
                <w:szCs w:val="13"/>
                <w:color w:val="auto"/>
                <w:w w:val="87"/>
              </w:rPr>
              <w:t>(6)</w:t>
            </w:r>
          </w:p>
        </w:tc>
        <w:tc>
          <w:tcPr>
            <w:tcW w:w="232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Boston-Cambridge-Newton, MA-NH</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846,569</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65</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805,000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80" w:type="dxa"/>
            <w:vAlign w:val="bottom"/>
          </w:tcPr>
          <w:p>
            <w:pPr>
              <w:jc w:val="right"/>
              <w:ind w:right="77"/>
              <w:spacing w:after="0" w:line="148" w:lineRule="exact"/>
              <w:rPr>
                <w:sz w:val="20"/>
                <w:szCs w:val="20"/>
                <w:color w:val="auto"/>
              </w:rPr>
            </w:pPr>
            <w:r>
              <w:rPr>
                <w:rFonts w:ascii="Arial" w:cs="Arial" w:eastAsia="Arial" w:hAnsi="Arial"/>
                <w:sz w:val="13"/>
                <w:szCs w:val="13"/>
                <w:color w:val="auto"/>
              </w:rPr>
              <w:t>447</w:t>
            </w: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18,000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Trader Joe's</w:t>
            </w:r>
          </w:p>
        </w:tc>
        <w:tc>
          <w:tcPr>
            <w:tcW w:w="2060" w:type="dxa"/>
            <w:vAlign w:val="bottom"/>
          </w:tcPr>
          <w:p>
            <w:pPr>
              <w:ind w:left="40"/>
              <w:spacing w:after="0" w:line="148" w:lineRule="exact"/>
              <w:rPr>
                <w:sz w:val="20"/>
                <w:szCs w:val="20"/>
                <w:color w:val="auto"/>
              </w:rPr>
            </w:pPr>
            <w:r>
              <w:rPr>
                <w:rFonts w:ascii="Arial" w:cs="Arial" w:eastAsia="Arial" w:hAnsi="Arial"/>
                <w:sz w:val="13"/>
                <w:szCs w:val="13"/>
                <w:color w:val="auto"/>
              </w:rPr>
              <w:t>TJ Maxx / AMC / LEGOLAND</w:t>
            </w:r>
          </w:p>
        </w:tc>
      </w:tr>
      <w:tr>
        <w:trPr>
          <w:trHeight w:val="135"/>
        </w:trPr>
        <w:tc>
          <w:tcPr>
            <w:tcW w:w="40" w:type="dxa"/>
            <w:vAlign w:val="bottom"/>
          </w:tcPr>
          <w:p>
            <w:pPr>
              <w:spacing w:after="0"/>
              <w:rPr>
                <w:sz w:val="11"/>
                <w:szCs w:val="11"/>
                <w:color w:val="auto"/>
              </w:rPr>
            </w:pPr>
          </w:p>
        </w:tc>
        <w:tc>
          <w:tcPr>
            <w:tcW w:w="840" w:type="dxa"/>
            <w:vAlign w:val="bottom"/>
            <w:gridSpan w:val="4"/>
          </w:tcPr>
          <w:p>
            <w:pPr>
              <w:spacing w:after="0" w:line="135" w:lineRule="exact"/>
              <w:rPr>
                <w:sz w:val="20"/>
                <w:szCs w:val="20"/>
                <w:color w:val="auto"/>
              </w:rPr>
            </w:pPr>
            <w:r>
              <w:rPr>
                <w:rFonts w:ascii="Arial" w:cs="Arial" w:eastAsia="Arial" w:hAnsi="Arial"/>
                <w:sz w:val="13"/>
                <w:szCs w:val="13"/>
                <w:color w:val="auto"/>
              </w:rPr>
              <w:t>/ Assembly</w:t>
            </w: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60" w:type="dxa"/>
            <w:vAlign w:val="bottom"/>
          </w:tcPr>
          <w:p>
            <w:pPr>
              <w:ind w:left="40"/>
              <w:spacing w:after="0" w:line="135" w:lineRule="exact"/>
              <w:rPr>
                <w:sz w:val="20"/>
                <w:szCs w:val="20"/>
                <w:color w:val="auto"/>
              </w:rPr>
            </w:pPr>
            <w:r>
              <w:rPr>
                <w:rFonts w:ascii="Arial" w:cs="Arial" w:eastAsia="Arial" w:hAnsi="Arial"/>
                <w:sz w:val="13"/>
                <w:szCs w:val="13"/>
                <w:color w:val="auto"/>
              </w:rPr>
              <w:t>Discovery Center / Multiple</w:t>
            </w:r>
          </w:p>
        </w:tc>
      </w:tr>
      <w:tr>
        <w:trPr>
          <w:trHeight w:val="135"/>
        </w:trPr>
        <w:tc>
          <w:tcPr>
            <w:tcW w:w="40" w:type="dxa"/>
            <w:vAlign w:val="bottom"/>
          </w:tcPr>
          <w:p>
            <w:pPr>
              <w:spacing w:after="0"/>
              <w:rPr>
                <w:sz w:val="11"/>
                <w:szCs w:val="11"/>
                <w:color w:val="auto"/>
              </w:rPr>
            </w:pPr>
          </w:p>
        </w:tc>
        <w:tc>
          <w:tcPr>
            <w:tcW w:w="840" w:type="dxa"/>
            <w:vAlign w:val="bottom"/>
            <w:gridSpan w:val="4"/>
          </w:tcPr>
          <w:p>
            <w:pPr>
              <w:spacing w:after="0" w:line="135" w:lineRule="exact"/>
              <w:rPr>
                <w:sz w:val="20"/>
                <w:szCs w:val="20"/>
                <w:color w:val="auto"/>
              </w:rPr>
            </w:pPr>
            <w:r>
              <w:rPr>
                <w:rFonts w:ascii="Arial" w:cs="Arial" w:eastAsia="Arial" w:hAnsi="Arial"/>
                <w:sz w:val="13"/>
                <w:szCs w:val="13"/>
                <w:color w:val="auto"/>
              </w:rPr>
              <w:t>Square</w:t>
            </w: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60" w:type="dxa"/>
            <w:vAlign w:val="bottom"/>
          </w:tcPr>
          <w:p>
            <w:pPr>
              <w:ind w:left="40"/>
              <w:spacing w:after="0" w:line="135" w:lineRule="exact"/>
              <w:rPr>
                <w:sz w:val="20"/>
                <w:szCs w:val="20"/>
                <w:color w:val="auto"/>
              </w:rPr>
            </w:pPr>
            <w:r>
              <w:rPr>
                <w:rFonts w:ascii="Arial" w:cs="Arial" w:eastAsia="Arial" w:hAnsi="Arial"/>
                <w:sz w:val="13"/>
                <w:szCs w:val="13"/>
                <w:color w:val="auto"/>
              </w:rPr>
              <w:t>Restaurants</w:t>
            </w:r>
          </w:p>
        </w:tc>
      </w:tr>
      <w:tr>
        <w:trPr>
          <w:trHeight w:val="168"/>
        </w:trPr>
        <w:tc>
          <w:tcPr>
            <w:tcW w:w="4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Arial" w:cs="Arial" w:eastAsia="Arial" w:hAnsi="Arial"/>
                <w:sz w:val="13"/>
                <w:szCs w:val="13"/>
                <w:color w:val="auto"/>
              </w:rPr>
              <w:t>Marketplace</w:t>
            </w: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81"/>
        </w:trPr>
        <w:tc>
          <w:tcPr>
            <w:tcW w:w="40" w:type="dxa"/>
            <w:vAlign w:val="bottom"/>
            <w:shd w:val="clear" w:color="auto" w:fill="CCEEFF"/>
          </w:tcPr>
          <w:p>
            <w:pPr>
              <w:spacing w:after="0"/>
              <w:rPr>
                <w:sz w:val="15"/>
                <w:szCs w:val="15"/>
                <w:color w:val="auto"/>
              </w:rPr>
            </w:pPr>
          </w:p>
        </w:tc>
        <w:tc>
          <w:tcPr>
            <w:tcW w:w="840" w:type="dxa"/>
            <w:vAlign w:val="bottom"/>
            <w:gridSpan w:val="4"/>
            <w:shd w:val="clear" w:color="auto" w:fill="CCEEFF"/>
          </w:tcPr>
          <w:p>
            <w:pPr>
              <w:spacing w:after="0"/>
              <w:rPr>
                <w:sz w:val="20"/>
                <w:szCs w:val="20"/>
                <w:color w:val="auto"/>
              </w:rPr>
            </w:pPr>
            <w:r>
              <w:rPr>
                <w:rFonts w:ascii="Arial" w:cs="Arial" w:eastAsia="Arial" w:hAnsi="Arial"/>
                <w:sz w:val="13"/>
                <w:szCs w:val="13"/>
                <w:color w:val="auto"/>
                <w:w w:val="96"/>
              </w:rPr>
              <w:t>Campus Plaza</w:t>
            </w:r>
          </w:p>
        </w:tc>
        <w:tc>
          <w:tcPr>
            <w:tcW w:w="420" w:type="dxa"/>
            <w:vAlign w:val="bottom"/>
            <w:shd w:val="clear" w:color="auto" w:fill="CCEEFF"/>
          </w:tcPr>
          <w:p>
            <w:pPr>
              <w:spacing w:after="0"/>
              <w:rPr>
                <w:sz w:val="15"/>
                <w:szCs w:val="15"/>
                <w:color w:val="auto"/>
              </w:rPr>
            </w:pPr>
          </w:p>
        </w:tc>
        <w:tc>
          <w:tcPr>
            <w:tcW w:w="23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Boston-Cambridge-Newton, MA-NH</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30,444</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116,000</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46,000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Roche Bros.</w:t>
            </w: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Burlington</w:t>
            </w:r>
          </w:p>
        </w:tc>
      </w:tr>
      <w:tr>
        <w:trPr>
          <w:trHeight w:val="97"/>
        </w:trPr>
        <w:tc>
          <w:tcPr>
            <w:tcW w:w="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060" w:type="dxa"/>
            <w:vAlign w:val="bottom"/>
            <w:shd w:val="clear" w:color="auto" w:fill="CCEEFF"/>
          </w:tcPr>
          <w:p>
            <w:pPr>
              <w:spacing w:after="0"/>
              <w:rPr>
                <w:sz w:val="8"/>
                <w:szCs w:val="8"/>
                <w:color w:val="auto"/>
              </w:rPr>
            </w:pPr>
          </w:p>
        </w:tc>
      </w:tr>
      <w:tr>
        <w:trPr>
          <w:trHeight w:val="148"/>
        </w:trPr>
        <w:tc>
          <w:tcPr>
            <w:tcW w:w="40" w:type="dxa"/>
            <w:vAlign w:val="bottom"/>
          </w:tcPr>
          <w:p>
            <w:pPr>
              <w:spacing w:after="0"/>
              <w:rPr>
                <w:sz w:val="12"/>
                <w:szCs w:val="12"/>
                <w:color w:val="auto"/>
              </w:rPr>
            </w:pPr>
          </w:p>
        </w:tc>
        <w:tc>
          <w:tcPr>
            <w:tcW w:w="840" w:type="dxa"/>
            <w:vAlign w:val="bottom"/>
            <w:gridSpan w:val="4"/>
          </w:tcPr>
          <w:p>
            <w:pPr>
              <w:spacing w:after="0" w:line="148" w:lineRule="exact"/>
              <w:rPr>
                <w:sz w:val="20"/>
                <w:szCs w:val="20"/>
                <w:color w:val="auto"/>
              </w:rPr>
            </w:pPr>
            <w:r>
              <w:rPr>
                <w:rFonts w:ascii="Arial" w:cs="Arial" w:eastAsia="Arial" w:hAnsi="Arial"/>
                <w:sz w:val="13"/>
                <w:szCs w:val="13"/>
                <w:color w:val="auto"/>
              </w:rPr>
              <w:t>Chelsea</w:t>
            </w:r>
          </w:p>
        </w:tc>
        <w:tc>
          <w:tcPr>
            <w:tcW w:w="420" w:type="dxa"/>
            <w:vAlign w:val="bottom"/>
          </w:tcPr>
          <w:p>
            <w:pPr>
              <w:spacing w:after="0"/>
              <w:rPr>
                <w:sz w:val="12"/>
                <w:szCs w:val="12"/>
                <w:color w:val="auto"/>
              </w:rPr>
            </w:pPr>
          </w:p>
        </w:tc>
        <w:tc>
          <w:tcPr>
            <w:tcW w:w="232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Boston-Cambridge-Newton, MA-NH</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30,459</w:t>
            </w:r>
          </w:p>
        </w:tc>
        <w:tc>
          <w:tcPr>
            <w:tcW w:w="1040" w:type="dxa"/>
            <w:vAlign w:val="bottom"/>
          </w:tcPr>
          <w:p>
            <w:pPr>
              <w:jc w:val="right"/>
              <w:ind w:right="98"/>
              <w:spacing w:after="0" w:line="148" w:lineRule="exact"/>
              <w:rPr>
                <w:sz w:val="20"/>
                <w:szCs w:val="20"/>
                <w:color w:val="auto"/>
              </w:rPr>
            </w:pPr>
            <w:r>
              <w:rPr>
                <w:rFonts w:ascii="Arial" w:cs="Arial" w:eastAsia="Arial" w:hAnsi="Arial"/>
                <w:sz w:val="13"/>
                <w:szCs w:val="13"/>
                <w:color w:val="auto"/>
              </w:rPr>
              <w:t>5,508</w:t>
            </w: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37</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222,000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93%</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60" w:type="dxa"/>
            <w:vAlign w:val="bottom"/>
          </w:tcPr>
          <w:p>
            <w:pPr>
              <w:ind w:left="40"/>
              <w:spacing w:after="0" w:line="148" w:lineRule="exact"/>
              <w:rPr>
                <w:sz w:val="20"/>
                <w:szCs w:val="20"/>
                <w:color w:val="auto"/>
              </w:rPr>
            </w:pPr>
            <w:r>
              <w:rPr>
                <w:rFonts w:ascii="Arial" w:cs="Arial" w:eastAsia="Arial" w:hAnsi="Arial"/>
                <w:sz w:val="13"/>
                <w:szCs w:val="13"/>
                <w:color w:val="auto"/>
              </w:rPr>
              <w:t>Home Depot / Planet Fitness</w:t>
            </w:r>
          </w:p>
        </w:tc>
      </w:tr>
      <w:tr>
        <w:trPr>
          <w:trHeight w:val="168"/>
        </w:trPr>
        <w:tc>
          <w:tcPr>
            <w:tcW w:w="4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Arial" w:cs="Arial" w:eastAsia="Arial" w:hAnsi="Arial"/>
                <w:sz w:val="13"/>
                <w:szCs w:val="13"/>
                <w:color w:val="auto"/>
              </w:rPr>
              <w:t>Commons</w:t>
            </w: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81"/>
        </w:trPr>
        <w:tc>
          <w:tcPr>
            <w:tcW w:w="40" w:type="dxa"/>
            <w:vAlign w:val="bottom"/>
            <w:shd w:val="clear" w:color="auto" w:fill="CCEEFF"/>
          </w:tcPr>
          <w:p>
            <w:pPr>
              <w:spacing w:after="0"/>
              <w:rPr>
                <w:sz w:val="15"/>
                <w:szCs w:val="15"/>
                <w:color w:val="auto"/>
              </w:rPr>
            </w:pPr>
          </w:p>
        </w:tc>
        <w:tc>
          <w:tcPr>
            <w:tcW w:w="840" w:type="dxa"/>
            <w:vAlign w:val="bottom"/>
            <w:gridSpan w:val="4"/>
            <w:shd w:val="clear" w:color="auto" w:fill="CCEEFF"/>
          </w:tcPr>
          <w:p>
            <w:pPr>
              <w:spacing w:after="0"/>
              <w:rPr>
                <w:sz w:val="20"/>
                <w:szCs w:val="20"/>
                <w:color w:val="auto"/>
              </w:rPr>
            </w:pPr>
            <w:r>
              <w:rPr>
                <w:rFonts w:ascii="Arial" w:cs="Arial" w:eastAsia="Arial" w:hAnsi="Arial"/>
                <w:sz w:val="13"/>
                <w:szCs w:val="13"/>
                <w:color w:val="auto"/>
                <w:w w:val="96"/>
              </w:rPr>
              <w:t>Dedham Plaza</w:t>
            </w:r>
          </w:p>
        </w:tc>
        <w:tc>
          <w:tcPr>
            <w:tcW w:w="420" w:type="dxa"/>
            <w:vAlign w:val="bottom"/>
            <w:shd w:val="clear" w:color="auto" w:fill="CCEEFF"/>
          </w:tcPr>
          <w:p>
            <w:pPr>
              <w:spacing w:after="0"/>
              <w:rPr>
                <w:sz w:val="15"/>
                <w:szCs w:val="15"/>
                <w:color w:val="auto"/>
              </w:rPr>
            </w:pPr>
          </w:p>
        </w:tc>
        <w:tc>
          <w:tcPr>
            <w:tcW w:w="23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Boston-Cambridge-Newton, MA-NH</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46,778</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246,000</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80,000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Star Market</w:t>
            </w: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Planet Fitness</w:t>
            </w:r>
          </w:p>
        </w:tc>
      </w:tr>
      <w:tr>
        <w:trPr>
          <w:trHeight w:val="97"/>
        </w:trPr>
        <w:tc>
          <w:tcPr>
            <w:tcW w:w="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060" w:type="dxa"/>
            <w:vAlign w:val="bottom"/>
            <w:shd w:val="clear" w:color="auto" w:fill="CCEEFF"/>
          </w:tcPr>
          <w:p>
            <w:pPr>
              <w:spacing w:after="0"/>
              <w:rPr>
                <w:sz w:val="8"/>
                <w:szCs w:val="8"/>
                <w:color w:val="auto"/>
              </w:rPr>
            </w:pPr>
          </w:p>
        </w:tc>
      </w:tr>
      <w:tr>
        <w:trPr>
          <w:trHeight w:val="173"/>
        </w:trPr>
        <w:tc>
          <w:tcPr>
            <w:tcW w:w="40" w:type="dxa"/>
            <w:vAlign w:val="bottom"/>
          </w:tcPr>
          <w:p>
            <w:pPr>
              <w:spacing w:after="0"/>
              <w:rPr>
                <w:sz w:val="15"/>
                <w:szCs w:val="15"/>
                <w:color w:val="auto"/>
              </w:rPr>
            </w:pPr>
          </w:p>
        </w:tc>
        <w:tc>
          <w:tcPr>
            <w:tcW w:w="840" w:type="dxa"/>
            <w:vAlign w:val="bottom"/>
            <w:gridSpan w:val="4"/>
          </w:tcPr>
          <w:p>
            <w:pPr>
              <w:spacing w:after="0"/>
              <w:rPr>
                <w:sz w:val="20"/>
                <w:szCs w:val="20"/>
                <w:color w:val="auto"/>
              </w:rPr>
            </w:pPr>
            <w:r>
              <w:rPr>
                <w:rFonts w:ascii="Arial" w:cs="Arial" w:eastAsia="Arial" w:hAnsi="Arial"/>
                <w:sz w:val="13"/>
                <w:szCs w:val="13"/>
                <w:color w:val="auto"/>
                <w:w w:val="96"/>
              </w:rPr>
              <w:t>Linden Square</w:t>
            </w:r>
          </w:p>
        </w:tc>
        <w:tc>
          <w:tcPr>
            <w:tcW w:w="420" w:type="dxa"/>
            <w:vAlign w:val="bottom"/>
          </w:tcPr>
          <w:p>
            <w:pPr>
              <w:spacing w:after="0"/>
              <w:rPr>
                <w:sz w:val="15"/>
                <w:szCs w:val="15"/>
                <w:color w:val="auto"/>
              </w:rPr>
            </w:pPr>
          </w:p>
        </w:tc>
        <w:tc>
          <w:tcPr>
            <w:tcW w:w="2320" w:type="dxa"/>
            <w:vAlign w:val="bottom"/>
            <w:gridSpan w:val="2"/>
          </w:tcPr>
          <w:p>
            <w:pPr>
              <w:ind w:left="40"/>
              <w:spacing w:after="0"/>
              <w:rPr>
                <w:sz w:val="20"/>
                <w:szCs w:val="20"/>
                <w:color w:val="auto"/>
              </w:rPr>
            </w:pPr>
            <w:r>
              <w:rPr>
                <w:rFonts w:ascii="Arial" w:cs="Arial" w:eastAsia="Arial" w:hAnsi="Arial"/>
                <w:sz w:val="13"/>
                <w:szCs w:val="13"/>
                <w:color w:val="auto"/>
              </w:rPr>
              <w:t>Boston-Cambridge-Newton, MA-NH</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150,209</w:t>
            </w:r>
          </w:p>
        </w:tc>
        <w:tc>
          <w:tcPr>
            <w:tcW w:w="1040" w:type="dxa"/>
            <w:vAlign w:val="bottom"/>
          </w:tcPr>
          <w:p>
            <w:pPr>
              <w:spacing w:after="0"/>
              <w:rPr>
                <w:sz w:val="15"/>
                <w:szCs w:val="15"/>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223,000</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94%</w:t>
            </w: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7</w:t>
            </w: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50,000</w:t>
            </w:r>
          </w:p>
        </w:tc>
        <w:tc>
          <w:tcPr>
            <w:tcW w:w="820" w:type="dxa"/>
            <w:vAlign w:val="bottom"/>
          </w:tcPr>
          <w:p>
            <w:pPr>
              <w:ind w:left="80"/>
              <w:spacing w:after="0"/>
              <w:rPr>
                <w:sz w:val="20"/>
                <w:szCs w:val="20"/>
                <w:color w:val="auto"/>
              </w:rPr>
            </w:pPr>
            <w:r>
              <w:rPr>
                <w:rFonts w:ascii="Arial" w:cs="Arial" w:eastAsia="Arial" w:hAnsi="Arial"/>
                <w:sz w:val="13"/>
                <w:szCs w:val="13"/>
                <w:color w:val="auto"/>
              </w:rPr>
              <w:t>Roche Bros.</w:t>
            </w:r>
          </w:p>
        </w:tc>
        <w:tc>
          <w:tcPr>
            <w:tcW w:w="2060" w:type="dxa"/>
            <w:vAlign w:val="bottom"/>
          </w:tcPr>
          <w:p>
            <w:pPr>
              <w:ind w:left="40"/>
              <w:spacing w:after="0"/>
              <w:rPr>
                <w:sz w:val="20"/>
                <w:szCs w:val="20"/>
                <w:color w:val="auto"/>
              </w:rPr>
            </w:pPr>
            <w:r>
              <w:rPr>
                <w:rFonts w:ascii="Arial" w:cs="Arial" w:eastAsia="Arial" w:hAnsi="Arial"/>
                <w:sz w:val="13"/>
                <w:szCs w:val="13"/>
                <w:color w:val="auto"/>
              </w:rPr>
              <w:t>CVS</w:t>
            </w:r>
          </w:p>
        </w:tc>
      </w:tr>
      <w:tr>
        <w:trPr>
          <w:trHeight w:val="97"/>
        </w:trPr>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60" w:type="dxa"/>
            <w:vAlign w:val="bottom"/>
          </w:tcPr>
          <w:p>
            <w:pPr>
              <w:spacing w:after="0"/>
              <w:rPr>
                <w:sz w:val="8"/>
                <w:szCs w:val="8"/>
                <w:color w:val="auto"/>
              </w:rPr>
            </w:pPr>
          </w:p>
        </w:tc>
      </w:tr>
      <w:tr>
        <w:trPr>
          <w:trHeight w:val="148"/>
        </w:trPr>
        <w:tc>
          <w:tcPr>
            <w:tcW w:w="40" w:type="dxa"/>
            <w:vAlign w:val="bottom"/>
            <w:shd w:val="clear" w:color="auto" w:fill="CCEEFF"/>
          </w:tcPr>
          <w:p>
            <w:pPr>
              <w:spacing w:after="0"/>
              <w:rPr>
                <w:sz w:val="12"/>
                <w:szCs w:val="12"/>
                <w:color w:val="auto"/>
              </w:rPr>
            </w:pPr>
          </w:p>
        </w:tc>
        <w:tc>
          <w:tcPr>
            <w:tcW w:w="840" w:type="dxa"/>
            <w:vAlign w:val="bottom"/>
            <w:gridSpan w:val="4"/>
            <w:shd w:val="clear" w:color="auto" w:fill="CCEEFF"/>
          </w:tcPr>
          <w:p>
            <w:pPr>
              <w:spacing w:after="0" w:line="148" w:lineRule="exact"/>
              <w:rPr>
                <w:sz w:val="20"/>
                <w:szCs w:val="20"/>
                <w:color w:val="auto"/>
              </w:rPr>
            </w:pPr>
            <w:r>
              <w:rPr>
                <w:rFonts w:ascii="Arial" w:cs="Arial" w:eastAsia="Arial" w:hAnsi="Arial"/>
                <w:sz w:val="13"/>
                <w:szCs w:val="13"/>
                <w:color w:val="auto"/>
              </w:rPr>
              <w:t>North</w:t>
            </w:r>
          </w:p>
        </w:tc>
        <w:tc>
          <w:tcPr>
            <w:tcW w:w="420" w:type="dxa"/>
            <w:vAlign w:val="bottom"/>
            <w:shd w:val="clear" w:color="auto" w:fill="CCEEFF"/>
          </w:tcPr>
          <w:p>
            <w:pPr>
              <w:spacing w:after="0"/>
              <w:rPr>
                <w:sz w:val="12"/>
                <w:szCs w:val="12"/>
                <w:color w:val="auto"/>
              </w:rPr>
            </w:pPr>
          </w:p>
        </w:tc>
        <w:tc>
          <w:tcPr>
            <w:tcW w:w="232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Providence-Warwick, RI-MA</w:t>
            </w:r>
          </w:p>
        </w:tc>
        <w:tc>
          <w:tcPr>
            <w:tcW w:w="66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9,369</w:t>
            </w:r>
          </w:p>
        </w:tc>
        <w:tc>
          <w:tcPr>
            <w:tcW w:w="104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48,000</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48,000</w:t>
            </w:r>
          </w:p>
        </w:tc>
        <w:tc>
          <w:tcPr>
            <w:tcW w:w="8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w w:val="98"/>
              </w:rPr>
              <w:t>Stop &amp; Shop</w:t>
            </w:r>
          </w:p>
        </w:tc>
        <w:tc>
          <w:tcPr>
            <w:tcW w:w="2060" w:type="dxa"/>
            <w:vAlign w:val="bottom"/>
            <w:shd w:val="clear" w:color="auto" w:fill="CCEEFF"/>
          </w:tcPr>
          <w:p>
            <w:pPr>
              <w:spacing w:after="0"/>
              <w:rPr>
                <w:sz w:val="12"/>
                <w:szCs w:val="12"/>
                <w:color w:val="auto"/>
              </w:rPr>
            </w:pPr>
          </w:p>
        </w:tc>
      </w:tr>
      <w:tr>
        <w:trPr>
          <w:trHeight w:val="176"/>
        </w:trPr>
        <w:tc>
          <w:tcPr>
            <w:tcW w:w="40" w:type="dxa"/>
            <w:vAlign w:val="bottom"/>
            <w:shd w:val="clear" w:color="auto" w:fill="CCEEFF"/>
          </w:tcPr>
          <w:p>
            <w:pPr>
              <w:spacing w:after="0"/>
              <w:rPr>
                <w:sz w:val="15"/>
                <w:szCs w:val="15"/>
                <w:color w:val="auto"/>
              </w:rPr>
            </w:pPr>
          </w:p>
        </w:tc>
        <w:tc>
          <w:tcPr>
            <w:tcW w:w="84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Dartmouth</w:t>
            </w:r>
          </w:p>
        </w:tc>
        <w:tc>
          <w:tcPr>
            <w:tcW w:w="4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840" w:type="dxa"/>
            <w:vAlign w:val="bottom"/>
            <w:gridSpan w:val="4"/>
          </w:tcPr>
          <w:p>
            <w:pPr>
              <w:spacing w:after="0" w:line="148" w:lineRule="exact"/>
              <w:rPr>
                <w:sz w:val="20"/>
                <w:szCs w:val="20"/>
                <w:color w:val="auto"/>
              </w:rPr>
            </w:pPr>
            <w:r>
              <w:rPr>
                <w:rFonts w:ascii="Arial" w:cs="Arial" w:eastAsia="Arial" w:hAnsi="Arial"/>
                <w:sz w:val="13"/>
                <w:szCs w:val="13"/>
                <w:color w:val="auto"/>
              </w:rPr>
              <w:t>Queen Anne</w:t>
            </w:r>
          </w:p>
        </w:tc>
        <w:tc>
          <w:tcPr>
            <w:tcW w:w="420" w:type="dxa"/>
            <w:vAlign w:val="bottom"/>
          </w:tcPr>
          <w:p>
            <w:pPr>
              <w:spacing w:after="0"/>
              <w:rPr>
                <w:sz w:val="12"/>
                <w:szCs w:val="12"/>
                <w:color w:val="auto"/>
              </w:rPr>
            </w:pPr>
          </w:p>
        </w:tc>
        <w:tc>
          <w:tcPr>
            <w:tcW w:w="232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Boston-Cambridge-Newton, MA-NH</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18,117</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17</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149,000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50,000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Big Y Foods</w:t>
            </w:r>
          </w:p>
        </w:tc>
        <w:tc>
          <w:tcPr>
            <w:tcW w:w="2060" w:type="dxa"/>
            <w:vAlign w:val="bottom"/>
          </w:tcPr>
          <w:p>
            <w:pPr>
              <w:ind w:left="40"/>
              <w:spacing w:after="0" w:line="148" w:lineRule="exact"/>
              <w:rPr>
                <w:sz w:val="20"/>
                <w:szCs w:val="20"/>
                <w:color w:val="auto"/>
              </w:rPr>
            </w:pPr>
            <w:r>
              <w:rPr>
                <w:rFonts w:ascii="Arial" w:cs="Arial" w:eastAsia="Arial" w:hAnsi="Arial"/>
                <w:sz w:val="13"/>
                <w:szCs w:val="13"/>
                <w:color w:val="auto"/>
              </w:rPr>
              <w:t>TJ Maxx / HomeGoods</w:t>
            </w:r>
          </w:p>
        </w:tc>
      </w:tr>
      <w:tr>
        <w:trPr>
          <w:trHeight w:val="168"/>
        </w:trPr>
        <w:tc>
          <w:tcPr>
            <w:tcW w:w="4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Arial" w:cs="Arial" w:eastAsia="Arial" w:hAnsi="Arial"/>
                <w:sz w:val="13"/>
                <w:szCs w:val="13"/>
                <w:color w:val="auto"/>
              </w:rPr>
              <w:t>Plaza</w:t>
            </w: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56"/>
        </w:trPr>
        <w:tc>
          <w:tcPr>
            <w:tcW w:w="40" w:type="dxa"/>
            <w:vAlign w:val="bottom"/>
            <w:shd w:val="clear" w:color="auto" w:fill="CCEEFF"/>
          </w:tcPr>
          <w:p>
            <w:pPr>
              <w:spacing w:after="0"/>
              <w:rPr>
                <w:sz w:val="13"/>
                <w:szCs w:val="13"/>
                <w:color w:val="auto"/>
              </w:rPr>
            </w:pPr>
          </w:p>
        </w:tc>
        <w:tc>
          <w:tcPr>
            <w:tcW w:w="84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Saugus Plaza</w:t>
            </w:r>
          </w:p>
        </w:tc>
        <w:tc>
          <w:tcPr>
            <w:tcW w:w="420" w:type="dxa"/>
            <w:vAlign w:val="bottom"/>
            <w:shd w:val="clear" w:color="auto" w:fill="CCEEFF"/>
          </w:tcPr>
          <w:p>
            <w:pPr>
              <w:spacing w:after="0"/>
              <w:rPr>
                <w:sz w:val="13"/>
                <w:szCs w:val="13"/>
                <w:color w:val="auto"/>
              </w:rPr>
            </w:pPr>
          </w:p>
        </w:tc>
        <w:tc>
          <w:tcPr>
            <w:tcW w:w="23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Boston-Cambridge-Newton, MA-NH</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17,038</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169,000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55,000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3"/>
              </w:rPr>
              <w:t>Super Stop &amp;</w:t>
            </w: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Floor &amp; Décor</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Shop</w:t>
            </w:r>
          </w:p>
        </w:tc>
        <w:tc>
          <w:tcPr>
            <w:tcW w:w="2060" w:type="dxa"/>
            <w:vAlign w:val="bottom"/>
            <w:shd w:val="clear" w:color="auto" w:fill="CCEEFF"/>
          </w:tcPr>
          <w:p>
            <w:pPr>
              <w:spacing w:after="0"/>
              <w:rPr>
                <w:sz w:val="15"/>
                <w:szCs w:val="15"/>
                <w:color w:val="auto"/>
              </w:rPr>
            </w:pPr>
          </w:p>
        </w:tc>
      </w:tr>
      <w:tr>
        <w:trPr>
          <w:trHeight w:val="166"/>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20" w:type="dxa"/>
            <w:vAlign w:val="bottom"/>
            <w:gridSpan w:val="2"/>
          </w:tcPr>
          <w:p>
            <w:pPr>
              <w:ind w:left="40"/>
              <w:spacing w:after="0"/>
              <w:rPr>
                <w:sz w:val="20"/>
                <w:szCs w:val="20"/>
                <w:color w:val="auto"/>
              </w:rPr>
            </w:pPr>
            <w:r>
              <w:rPr>
                <w:rFonts w:ascii="Arial" w:cs="Arial" w:eastAsia="Arial" w:hAnsi="Arial"/>
                <w:sz w:val="13"/>
                <w:szCs w:val="13"/>
                <w:b w:val="1"/>
                <w:bCs w:val="1"/>
                <w:color w:val="auto"/>
              </w:rPr>
              <w:t>Total New England</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w w:val="89"/>
              </w:rPr>
              <w:t>1,148,983</w:t>
            </w:r>
          </w:p>
        </w:tc>
        <w:tc>
          <w:tcPr>
            <w:tcW w:w="1040" w:type="dxa"/>
            <w:vAlign w:val="bottom"/>
          </w:tcPr>
          <w:p>
            <w:pPr>
              <w:spacing w:after="0"/>
              <w:rPr>
                <w:sz w:val="14"/>
                <w:szCs w:val="14"/>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color w:val="auto"/>
              </w:rPr>
              <w:t>215</w:t>
            </w:r>
          </w:p>
        </w:tc>
        <w:tc>
          <w:tcPr>
            <w:tcW w:w="10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w w:val="93"/>
              </w:rPr>
              <w:t>1,978,000</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96%</w:t>
            </w: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60" w:type="dxa"/>
            <w:vAlign w:val="bottom"/>
          </w:tcPr>
          <w:p>
            <w:pPr>
              <w:spacing w:after="0"/>
              <w:rPr>
                <w:sz w:val="7"/>
                <w:szCs w:val="7"/>
                <w:color w:val="auto"/>
              </w:rPr>
            </w:pPr>
          </w:p>
        </w:tc>
      </w:tr>
      <w:tr>
        <w:trPr>
          <w:trHeight w:val="270"/>
        </w:trPr>
        <w:tc>
          <w:tcPr>
            <w:tcW w:w="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060" w:type="dxa"/>
            <w:vAlign w:val="bottom"/>
            <w:shd w:val="clear" w:color="auto" w:fill="CCEEFF"/>
          </w:tcPr>
          <w:p>
            <w:pPr>
              <w:spacing w:after="0"/>
              <w:rPr>
                <w:sz w:val="23"/>
                <w:szCs w:val="23"/>
                <w:color w:val="auto"/>
              </w:rPr>
            </w:pPr>
          </w:p>
        </w:tc>
      </w:tr>
      <w:tr>
        <w:trPr>
          <w:trHeight w:val="148"/>
        </w:trPr>
        <w:tc>
          <w:tcPr>
            <w:tcW w:w="40" w:type="dxa"/>
            <w:vAlign w:val="bottom"/>
          </w:tcPr>
          <w:p>
            <w:pPr>
              <w:spacing w:after="0"/>
              <w:rPr>
                <w:sz w:val="12"/>
                <w:szCs w:val="12"/>
                <w:color w:val="auto"/>
              </w:rPr>
            </w:pPr>
          </w:p>
        </w:tc>
        <w:tc>
          <w:tcPr>
            <w:tcW w:w="840" w:type="dxa"/>
            <w:vAlign w:val="bottom"/>
            <w:gridSpan w:val="4"/>
          </w:tcPr>
          <w:p>
            <w:pPr>
              <w:ind w:left="60"/>
              <w:spacing w:after="0"/>
              <w:rPr>
                <w:sz w:val="20"/>
                <w:szCs w:val="20"/>
                <w:color w:val="auto"/>
              </w:rPr>
            </w:pPr>
            <w:r>
              <w:rPr>
                <w:rFonts w:ascii="Arial" w:cs="Arial" w:eastAsia="Arial" w:hAnsi="Arial"/>
                <w:sz w:val="13"/>
                <w:szCs w:val="13"/>
                <w:b w:val="1"/>
                <w:bCs w:val="1"/>
                <w:color w:val="auto"/>
                <w:w w:val="90"/>
              </w:rPr>
              <w:t>South Florida</w:t>
            </w: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60" w:type="dxa"/>
            <w:vAlign w:val="bottom"/>
          </w:tcPr>
          <w:p>
            <w:pPr>
              <w:spacing w:after="0"/>
              <w:rPr>
                <w:sz w:val="8"/>
                <w:szCs w:val="8"/>
                <w:color w:val="auto"/>
              </w:rPr>
            </w:pPr>
          </w:p>
        </w:tc>
      </w:tr>
      <w:tr>
        <w:trPr>
          <w:trHeight w:val="148"/>
        </w:trPr>
        <w:tc>
          <w:tcPr>
            <w:tcW w:w="40" w:type="dxa"/>
            <w:vAlign w:val="bottom"/>
            <w:shd w:val="clear" w:color="auto" w:fill="CCEEFF"/>
          </w:tcPr>
          <w:p>
            <w:pPr>
              <w:spacing w:after="0"/>
              <w:rPr>
                <w:sz w:val="12"/>
                <w:szCs w:val="12"/>
                <w:color w:val="auto"/>
              </w:rPr>
            </w:pPr>
          </w:p>
        </w:tc>
        <w:tc>
          <w:tcPr>
            <w:tcW w:w="840" w:type="dxa"/>
            <w:vAlign w:val="bottom"/>
            <w:gridSpan w:val="4"/>
            <w:shd w:val="clear" w:color="auto" w:fill="CCEEFF"/>
          </w:tcPr>
          <w:p>
            <w:pPr>
              <w:spacing w:after="0" w:line="148" w:lineRule="exact"/>
              <w:rPr>
                <w:sz w:val="20"/>
                <w:szCs w:val="20"/>
                <w:color w:val="auto"/>
              </w:rPr>
            </w:pPr>
            <w:r>
              <w:rPr>
                <w:rFonts w:ascii="Arial" w:cs="Arial" w:eastAsia="Arial" w:hAnsi="Arial"/>
                <w:sz w:val="13"/>
                <w:szCs w:val="13"/>
                <w:color w:val="auto"/>
              </w:rPr>
              <w:t>Cocowalk</w:t>
            </w:r>
          </w:p>
        </w:tc>
        <w:tc>
          <w:tcPr>
            <w:tcW w:w="4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7"/>
              </w:rPr>
              <w:t>(4)</w:t>
            </w:r>
          </w:p>
        </w:tc>
        <w:tc>
          <w:tcPr>
            <w:tcW w:w="232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w w:val="93"/>
              </w:rPr>
              <w:t>Miami-Fort Lauderdale-West Palm Beach,</w:t>
            </w:r>
          </w:p>
        </w:tc>
        <w:tc>
          <w:tcPr>
            <w:tcW w:w="66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161,934</w:t>
            </w:r>
          </w:p>
        </w:tc>
        <w:tc>
          <w:tcPr>
            <w:tcW w:w="104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168,000</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85%</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Cinepolis Theaters / Youfit Health</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(10)</w:t>
            </w:r>
          </w:p>
        </w:tc>
        <w:tc>
          <w:tcPr>
            <w:tcW w:w="23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FL</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Club</w:t>
            </w:r>
          </w:p>
        </w:tc>
      </w:tr>
      <w:tr>
        <w:trPr>
          <w:trHeight w:val="148"/>
        </w:trPr>
        <w:tc>
          <w:tcPr>
            <w:tcW w:w="40" w:type="dxa"/>
            <w:vAlign w:val="bottom"/>
          </w:tcPr>
          <w:p>
            <w:pPr>
              <w:spacing w:after="0"/>
              <w:rPr>
                <w:sz w:val="12"/>
                <w:szCs w:val="12"/>
                <w:color w:val="auto"/>
              </w:rPr>
            </w:pPr>
          </w:p>
        </w:tc>
        <w:tc>
          <w:tcPr>
            <w:tcW w:w="840" w:type="dxa"/>
            <w:vAlign w:val="bottom"/>
            <w:gridSpan w:val="4"/>
          </w:tcPr>
          <w:p>
            <w:pPr>
              <w:spacing w:after="0" w:line="148" w:lineRule="exact"/>
              <w:rPr>
                <w:sz w:val="20"/>
                <w:szCs w:val="20"/>
                <w:color w:val="auto"/>
              </w:rPr>
            </w:pPr>
            <w:r>
              <w:rPr>
                <w:rFonts w:ascii="Arial" w:cs="Arial" w:eastAsia="Arial" w:hAnsi="Arial"/>
                <w:sz w:val="13"/>
                <w:szCs w:val="13"/>
                <w:color w:val="auto"/>
              </w:rPr>
              <w:t>Del Mar</w:t>
            </w:r>
          </w:p>
        </w:tc>
        <w:tc>
          <w:tcPr>
            <w:tcW w:w="420" w:type="dxa"/>
            <w:vAlign w:val="bottom"/>
          </w:tcPr>
          <w:p>
            <w:pPr>
              <w:spacing w:after="0"/>
              <w:rPr>
                <w:sz w:val="12"/>
                <w:szCs w:val="12"/>
                <w:color w:val="auto"/>
              </w:rPr>
            </w:pPr>
          </w:p>
        </w:tc>
        <w:tc>
          <w:tcPr>
            <w:tcW w:w="232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3"/>
              </w:rPr>
              <w:t>Miami-Fort Lauderdale-West Palm Beach,</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73,341</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17</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191,000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44,000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Winn Dixie</w:t>
            </w:r>
          </w:p>
        </w:tc>
        <w:tc>
          <w:tcPr>
            <w:tcW w:w="2060" w:type="dxa"/>
            <w:vAlign w:val="bottom"/>
          </w:tcPr>
          <w:p>
            <w:pPr>
              <w:ind w:left="40"/>
              <w:spacing w:after="0" w:line="148" w:lineRule="exact"/>
              <w:rPr>
                <w:sz w:val="20"/>
                <w:szCs w:val="20"/>
                <w:color w:val="auto"/>
              </w:rPr>
            </w:pPr>
            <w:r>
              <w:rPr>
                <w:rFonts w:ascii="Arial" w:cs="Arial" w:eastAsia="Arial" w:hAnsi="Arial"/>
                <w:sz w:val="13"/>
                <w:szCs w:val="13"/>
                <w:color w:val="auto"/>
              </w:rPr>
              <w:t>CVS / L.A. Fitness</w:t>
            </w:r>
          </w:p>
        </w:tc>
      </w:tr>
      <w:tr>
        <w:trPr>
          <w:trHeight w:val="168"/>
        </w:trPr>
        <w:tc>
          <w:tcPr>
            <w:tcW w:w="4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Arial" w:cs="Arial" w:eastAsia="Arial" w:hAnsi="Arial"/>
                <w:sz w:val="13"/>
                <w:szCs w:val="13"/>
                <w:color w:val="auto"/>
              </w:rPr>
              <w:t>Village</w:t>
            </w:r>
          </w:p>
        </w:tc>
        <w:tc>
          <w:tcPr>
            <w:tcW w:w="420" w:type="dxa"/>
            <w:vAlign w:val="bottom"/>
          </w:tcPr>
          <w:p>
            <w:pPr>
              <w:spacing w:after="0"/>
              <w:rPr>
                <w:sz w:val="14"/>
                <w:szCs w:val="14"/>
                <w:color w:val="auto"/>
              </w:rPr>
            </w:pPr>
          </w:p>
        </w:tc>
        <w:tc>
          <w:tcPr>
            <w:tcW w:w="2320" w:type="dxa"/>
            <w:vAlign w:val="bottom"/>
            <w:gridSpan w:val="2"/>
          </w:tcPr>
          <w:p>
            <w:pPr>
              <w:ind w:left="40"/>
              <w:spacing w:after="0"/>
              <w:rPr>
                <w:sz w:val="20"/>
                <w:szCs w:val="20"/>
                <w:color w:val="auto"/>
              </w:rPr>
            </w:pPr>
            <w:r>
              <w:rPr>
                <w:rFonts w:ascii="Arial" w:cs="Arial" w:eastAsia="Arial" w:hAnsi="Arial"/>
                <w:sz w:val="13"/>
                <w:szCs w:val="13"/>
                <w:color w:val="auto"/>
              </w:rPr>
              <w:t>FL</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56"/>
        </w:trPr>
        <w:tc>
          <w:tcPr>
            <w:tcW w:w="40" w:type="dxa"/>
            <w:vAlign w:val="bottom"/>
            <w:shd w:val="clear" w:color="auto" w:fill="CCEEFF"/>
          </w:tcPr>
          <w:p>
            <w:pPr>
              <w:spacing w:after="0"/>
              <w:rPr>
                <w:sz w:val="13"/>
                <w:szCs w:val="13"/>
                <w:color w:val="auto"/>
              </w:rPr>
            </w:pPr>
          </w:p>
        </w:tc>
        <w:tc>
          <w:tcPr>
            <w:tcW w:w="84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The Shops at</w:t>
            </w:r>
          </w:p>
        </w:tc>
        <w:tc>
          <w:tcPr>
            <w:tcW w:w="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(4)</w:t>
            </w:r>
          </w:p>
        </w:tc>
        <w:tc>
          <w:tcPr>
            <w:tcW w:w="23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3"/>
              </w:rPr>
              <w:t>Miami-Fort Lauderdale-West Palm Beach,</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124,404</w:t>
            </w:r>
          </w:p>
        </w:tc>
        <w:tc>
          <w:tcPr>
            <w:tcW w:w="104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61,585</w:t>
            </w: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523,000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5"/>
              </w:rPr>
              <w:t>AMC / L.A. Fitness / Barnes &amp; Noble</w:t>
            </w:r>
          </w:p>
        </w:tc>
      </w:tr>
      <w:tr>
        <w:trPr>
          <w:trHeight w:val="176"/>
        </w:trPr>
        <w:tc>
          <w:tcPr>
            <w:tcW w:w="40" w:type="dxa"/>
            <w:vAlign w:val="bottom"/>
            <w:shd w:val="clear" w:color="auto" w:fill="CCEEFF"/>
          </w:tcPr>
          <w:p>
            <w:pPr>
              <w:spacing w:after="0"/>
              <w:rPr>
                <w:sz w:val="15"/>
                <w:szCs w:val="15"/>
                <w:color w:val="auto"/>
              </w:rPr>
            </w:pPr>
          </w:p>
        </w:tc>
        <w:tc>
          <w:tcPr>
            <w:tcW w:w="84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Sunset Place</w:t>
            </w:r>
          </w:p>
        </w:tc>
        <w:tc>
          <w:tcPr>
            <w:tcW w:w="420" w:type="dxa"/>
            <w:vAlign w:val="bottom"/>
            <w:shd w:val="clear" w:color="auto" w:fill="CCEEFF"/>
          </w:tcPr>
          <w:p>
            <w:pPr>
              <w:spacing w:after="0"/>
              <w:rPr>
                <w:sz w:val="15"/>
                <w:szCs w:val="15"/>
                <w:color w:val="auto"/>
              </w:rPr>
            </w:pPr>
          </w:p>
        </w:tc>
        <w:tc>
          <w:tcPr>
            <w:tcW w:w="23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FL</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 Restoration Hardware Outlet</w:t>
            </w:r>
          </w:p>
        </w:tc>
      </w:tr>
      <w:tr>
        <w:trPr>
          <w:trHeight w:val="148"/>
        </w:trPr>
        <w:tc>
          <w:tcPr>
            <w:tcW w:w="40" w:type="dxa"/>
            <w:vAlign w:val="bottom"/>
          </w:tcPr>
          <w:p>
            <w:pPr>
              <w:spacing w:after="0"/>
              <w:rPr>
                <w:sz w:val="12"/>
                <w:szCs w:val="12"/>
                <w:color w:val="auto"/>
              </w:rPr>
            </w:pPr>
          </w:p>
        </w:tc>
        <w:tc>
          <w:tcPr>
            <w:tcW w:w="840" w:type="dxa"/>
            <w:vAlign w:val="bottom"/>
            <w:gridSpan w:val="4"/>
          </w:tcPr>
          <w:p>
            <w:pPr>
              <w:spacing w:after="0" w:line="148" w:lineRule="exact"/>
              <w:rPr>
                <w:sz w:val="20"/>
                <w:szCs w:val="20"/>
                <w:color w:val="auto"/>
              </w:rPr>
            </w:pPr>
            <w:r>
              <w:rPr>
                <w:rFonts w:ascii="Arial" w:cs="Arial" w:eastAsia="Arial" w:hAnsi="Arial"/>
                <w:sz w:val="13"/>
                <w:szCs w:val="13"/>
                <w:color w:val="auto"/>
              </w:rPr>
              <w:t>Tower Shops</w:t>
            </w:r>
          </w:p>
        </w:tc>
        <w:tc>
          <w:tcPr>
            <w:tcW w:w="420" w:type="dxa"/>
            <w:vAlign w:val="bottom"/>
          </w:tcPr>
          <w:p>
            <w:pPr>
              <w:spacing w:after="0"/>
              <w:rPr>
                <w:sz w:val="12"/>
                <w:szCs w:val="12"/>
                <w:color w:val="auto"/>
              </w:rPr>
            </w:pPr>
          </w:p>
        </w:tc>
        <w:tc>
          <w:tcPr>
            <w:tcW w:w="232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3"/>
              </w:rPr>
              <w:t>Miami-Fort Lauderdale-West Palm Beach,</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98,326</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67</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426,000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12,000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Trader Joe's</w:t>
            </w:r>
          </w:p>
        </w:tc>
        <w:tc>
          <w:tcPr>
            <w:tcW w:w="2060" w:type="dxa"/>
            <w:vAlign w:val="bottom"/>
          </w:tcPr>
          <w:p>
            <w:pPr>
              <w:ind w:left="40"/>
              <w:spacing w:after="0" w:line="148" w:lineRule="exact"/>
              <w:rPr>
                <w:sz w:val="20"/>
                <w:szCs w:val="20"/>
                <w:color w:val="auto"/>
              </w:rPr>
            </w:pPr>
            <w:r>
              <w:rPr>
                <w:rFonts w:ascii="Arial" w:cs="Arial" w:eastAsia="Arial" w:hAnsi="Arial"/>
                <w:sz w:val="13"/>
                <w:szCs w:val="13"/>
                <w:color w:val="auto"/>
                <w:w w:val="91"/>
              </w:rPr>
              <w:t>TJ Maxx / Ross Dress For Less / Best</w:t>
            </w:r>
          </w:p>
        </w:tc>
      </w:tr>
      <w:tr>
        <w:trPr>
          <w:trHeight w:val="170"/>
        </w:trPr>
        <w:tc>
          <w:tcPr>
            <w:tcW w:w="4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232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FL</w:t>
            </w:r>
          </w:p>
        </w:tc>
        <w:tc>
          <w:tcPr>
            <w:tcW w:w="660" w:type="dxa"/>
            <w:vAlign w:val="bottom"/>
            <w:tcBorders>
              <w:bottom w:val="single" w:sz="8" w:color="auto"/>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20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Buy / Ulta</w:t>
            </w:r>
          </w:p>
        </w:tc>
      </w:tr>
      <w:tr>
        <w:trPr>
          <w:trHeight w:val="173"/>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3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Total South Florida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458,005</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97</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3"/>
              </w:rPr>
              <w:t>1,308,000</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84"/>
        </w:trPr>
        <w:tc>
          <w:tcPr>
            <w:tcW w:w="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8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060" w:type="dxa"/>
            <w:vAlign w:val="bottom"/>
            <w:shd w:val="clear" w:color="auto" w:fill="CCEEFF"/>
          </w:tcPr>
          <w:p>
            <w:pPr>
              <w:spacing w:after="0"/>
              <w:rPr>
                <w:sz w:val="7"/>
                <w:szCs w:val="7"/>
                <w:color w:val="auto"/>
              </w:rPr>
            </w:pPr>
          </w:p>
        </w:tc>
      </w:tr>
      <w:tr>
        <w:trPr>
          <w:trHeight w:val="270"/>
        </w:trPr>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60" w:type="dxa"/>
            <w:vAlign w:val="bottom"/>
          </w:tcPr>
          <w:p>
            <w:pPr>
              <w:spacing w:after="0"/>
              <w:rPr>
                <w:sz w:val="23"/>
                <w:szCs w:val="23"/>
                <w:color w:val="auto"/>
              </w:rPr>
            </w:pPr>
          </w:p>
        </w:tc>
      </w:tr>
      <w:tr>
        <w:trPr>
          <w:trHeight w:val="149"/>
        </w:trPr>
        <w:tc>
          <w:tcPr>
            <w:tcW w:w="40" w:type="dxa"/>
            <w:vAlign w:val="bottom"/>
            <w:shd w:val="clear" w:color="auto" w:fill="CCEEFF"/>
          </w:tcPr>
          <w:p>
            <w:pPr>
              <w:spacing w:after="0"/>
              <w:rPr>
                <w:sz w:val="12"/>
                <w:szCs w:val="12"/>
                <w:color w:val="auto"/>
              </w:rPr>
            </w:pPr>
          </w:p>
        </w:tc>
        <w:tc>
          <w:tcPr>
            <w:tcW w:w="840" w:type="dxa"/>
            <w:vAlign w:val="bottom"/>
            <w:gridSpan w:val="4"/>
            <w:shd w:val="clear" w:color="auto" w:fill="CCEEFF"/>
          </w:tcPr>
          <w:p>
            <w:pPr>
              <w:ind w:left="60"/>
              <w:spacing w:after="0"/>
              <w:rPr>
                <w:sz w:val="20"/>
                <w:szCs w:val="20"/>
                <w:color w:val="auto"/>
              </w:rPr>
            </w:pPr>
            <w:r>
              <w:rPr>
                <w:rFonts w:ascii="Arial" w:cs="Arial" w:eastAsia="Arial" w:hAnsi="Arial"/>
                <w:sz w:val="13"/>
                <w:szCs w:val="13"/>
                <w:b w:val="1"/>
                <w:bCs w:val="1"/>
                <w:color w:val="auto"/>
              </w:rPr>
              <w:t>Baltimore</w:t>
            </w:r>
          </w:p>
        </w:tc>
        <w:tc>
          <w:tcPr>
            <w:tcW w:w="4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r>
      <w:tr>
        <w:trPr>
          <w:trHeight w:val="101"/>
        </w:trPr>
        <w:tc>
          <w:tcPr>
            <w:tcW w:w="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18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04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2060" w:type="dxa"/>
            <w:vAlign w:val="bottom"/>
            <w:tcBorders>
              <w:top w:val="single" w:sz="8" w:color="CCEEFF"/>
            </w:tcBorders>
            <w:shd w:val="clear" w:color="auto" w:fill="CCEEFF"/>
          </w:tcPr>
          <w:p>
            <w:pPr>
              <w:spacing w:after="0"/>
              <w:rPr>
                <w:sz w:val="8"/>
                <w:szCs w:val="8"/>
                <w:color w:val="auto"/>
              </w:rPr>
            </w:pPr>
          </w:p>
        </w:tc>
      </w:tr>
      <w:tr>
        <w:trPr>
          <w:trHeight w:val="173"/>
        </w:trPr>
        <w:tc>
          <w:tcPr>
            <w:tcW w:w="40" w:type="dxa"/>
            <w:vAlign w:val="bottom"/>
          </w:tcPr>
          <w:p>
            <w:pPr>
              <w:spacing w:after="0"/>
              <w:rPr>
                <w:sz w:val="15"/>
                <w:szCs w:val="15"/>
                <w:color w:val="auto"/>
              </w:rPr>
            </w:pPr>
          </w:p>
        </w:tc>
        <w:tc>
          <w:tcPr>
            <w:tcW w:w="840" w:type="dxa"/>
            <w:vAlign w:val="bottom"/>
            <w:gridSpan w:val="4"/>
          </w:tcPr>
          <w:p>
            <w:pPr>
              <w:spacing w:after="0"/>
              <w:rPr>
                <w:sz w:val="20"/>
                <w:szCs w:val="20"/>
                <w:color w:val="auto"/>
              </w:rPr>
            </w:pPr>
            <w:r>
              <w:rPr>
                <w:rFonts w:ascii="Arial" w:cs="Arial" w:eastAsia="Arial" w:hAnsi="Arial"/>
                <w:sz w:val="13"/>
                <w:szCs w:val="13"/>
                <w:color w:val="auto"/>
                <w:w w:val="90"/>
              </w:rPr>
              <w:t>Governor Plaza</w:t>
            </w:r>
          </w:p>
        </w:tc>
        <w:tc>
          <w:tcPr>
            <w:tcW w:w="420" w:type="dxa"/>
            <w:vAlign w:val="bottom"/>
          </w:tcPr>
          <w:p>
            <w:pPr>
              <w:spacing w:after="0"/>
              <w:rPr>
                <w:sz w:val="15"/>
                <w:szCs w:val="15"/>
                <w:color w:val="auto"/>
              </w:rPr>
            </w:pPr>
          </w:p>
        </w:tc>
        <w:tc>
          <w:tcPr>
            <w:tcW w:w="2320" w:type="dxa"/>
            <w:vAlign w:val="bottom"/>
            <w:gridSpan w:val="2"/>
          </w:tcPr>
          <w:p>
            <w:pPr>
              <w:ind w:left="40"/>
              <w:spacing w:after="0"/>
              <w:rPr>
                <w:sz w:val="20"/>
                <w:szCs w:val="20"/>
                <w:color w:val="auto"/>
              </w:rPr>
            </w:pPr>
            <w:r>
              <w:rPr>
                <w:rFonts w:ascii="Arial" w:cs="Arial" w:eastAsia="Arial" w:hAnsi="Arial"/>
                <w:sz w:val="13"/>
                <w:szCs w:val="13"/>
                <w:color w:val="auto"/>
              </w:rPr>
              <w:t>Baltimore-Columbia-Towson, MD</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26,917</w:t>
            </w:r>
          </w:p>
        </w:tc>
        <w:tc>
          <w:tcPr>
            <w:tcW w:w="1040" w:type="dxa"/>
            <w:vAlign w:val="bottom"/>
          </w:tcPr>
          <w:p>
            <w:pPr>
              <w:spacing w:after="0"/>
              <w:rPr>
                <w:sz w:val="15"/>
                <w:szCs w:val="15"/>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242,000</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98%</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16,500</w:t>
            </w:r>
          </w:p>
        </w:tc>
        <w:tc>
          <w:tcPr>
            <w:tcW w:w="820" w:type="dxa"/>
            <w:vAlign w:val="bottom"/>
          </w:tcPr>
          <w:p>
            <w:pPr>
              <w:ind w:left="80"/>
              <w:spacing w:after="0"/>
              <w:rPr>
                <w:sz w:val="20"/>
                <w:szCs w:val="20"/>
                <w:color w:val="auto"/>
              </w:rPr>
            </w:pPr>
            <w:r>
              <w:rPr>
                <w:rFonts w:ascii="Arial" w:cs="Arial" w:eastAsia="Arial" w:hAnsi="Arial"/>
                <w:sz w:val="13"/>
                <w:szCs w:val="13"/>
                <w:color w:val="auto"/>
              </w:rPr>
              <w:t>Aldi</w:t>
            </w:r>
          </w:p>
        </w:tc>
        <w:tc>
          <w:tcPr>
            <w:tcW w:w="2060" w:type="dxa"/>
            <w:vAlign w:val="bottom"/>
          </w:tcPr>
          <w:p>
            <w:pPr>
              <w:ind w:left="40"/>
              <w:spacing w:after="0"/>
              <w:rPr>
                <w:sz w:val="20"/>
                <w:szCs w:val="20"/>
                <w:color w:val="auto"/>
              </w:rPr>
            </w:pPr>
            <w:r>
              <w:rPr>
                <w:rFonts w:ascii="Arial" w:cs="Arial" w:eastAsia="Arial" w:hAnsi="Arial"/>
                <w:sz w:val="13"/>
                <w:szCs w:val="13"/>
                <w:color w:val="auto"/>
              </w:rPr>
              <w:t>Dick's Sporting Goods</w:t>
            </w:r>
          </w:p>
        </w:tc>
      </w:tr>
    </w:tbl>
    <w:p>
      <w:pPr>
        <w:spacing w:after="0" w:line="200" w:lineRule="exact"/>
        <w:rPr>
          <w:sz w:val="20"/>
          <w:szCs w:val="20"/>
          <w:color w:val="auto"/>
        </w:rPr>
      </w:pPr>
    </w:p>
    <w:p>
      <w:pPr>
        <w:sectPr>
          <w:pgSz w:w="11900" w:h="16838" w:orient="portrait"/>
          <w:cols w:equalWidth="0" w:num="1">
            <w:col w:w="11240"/>
          </w:cols>
          <w:pgMar w:left="320" w:top="720" w:right="339" w:bottom="1440" w:gutter="0" w:footer="0" w:header="0"/>
        </w:sectPr>
      </w:pP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720" w:right="339" w:bottom="1440" w:gutter="0" w:footer="0" w:header="0"/>
          <w:type w:val="continuous"/>
        </w:sectPr>
      </w:pPr>
    </w:p>
    <w:bookmarkStart w:id="25" w:name="page26"/>
    <w:bookmarkEnd w:id="25"/>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March 31, 2020</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Mortgage/Finance</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17"/>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3"/>
                <w:szCs w:val="13"/>
                <w:b w:val="1"/>
                <w:bCs w:val="1"/>
                <w:color w:val="auto"/>
              </w:rPr>
              <w:t>Grocery</w:t>
            </w:r>
          </w:p>
        </w:tc>
        <w:tc>
          <w:tcPr>
            <w:tcW w:w="820" w:type="dxa"/>
            <w:vAlign w:val="bottom"/>
          </w:tcPr>
          <w:p>
            <w:pPr>
              <w:spacing w:after="0"/>
              <w:rPr>
                <w:sz w:val="13"/>
                <w:szCs w:val="13"/>
                <w:color w:val="auto"/>
              </w:rPr>
            </w:pPr>
          </w:p>
        </w:tc>
        <w:tc>
          <w:tcPr>
            <w:tcW w:w="200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860" w:type="dxa"/>
            <w:vAlign w:val="bottom"/>
            <w:gridSpan w:val="3"/>
          </w:tcPr>
          <w:p>
            <w:pPr>
              <w:ind w:left="160"/>
              <w:spacing w:after="0" w:line="135" w:lineRule="exact"/>
              <w:rPr>
                <w:sz w:val="20"/>
                <w:szCs w:val="20"/>
                <w:color w:val="auto"/>
              </w:rPr>
            </w:pPr>
            <w:r>
              <w:rPr>
                <w:rFonts w:ascii="Arial" w:cs="Arial" w:eastAsia="Arial" w:hAnsi="Arial"/>
                <w:sz w:val="13"/>
                <w:szCs w:val="13"/>
                <w:b w:val="1"/>
                <w:bCs w:val="1"/>
                <w:color w:val="auto"/>
              </w:rPr>
              <w:t>Property</w:t>
            </w:r>
          </w:p>
        </w:tc>
        <w:tc>
          <w:tcPr>
            <w:tcW w:w="3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Real Estate</w:t>
            </w:r>
          </w:p>
        </w:tc>
        <w:tc>
          <w:tcPr>
            <w:tcW w:w="10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Lease Liabilities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Leased</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Residential</w:t>
            </w: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Anchor</w:t>
            </w:r>
          </w:p>
        </w:tc>
        <w:tc>
          <w:tcPr>
            <w:tcW w:w="82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Grocery</w:t>
            </w:r>
          </w:p>
        </w:tc>
        <w:tc>
          <w:tcPr>
            <w:tcW w:w="2000" w:type="dxa"/>
            <w:vAlign w:val="bottom"/>
          </w:tcPr>
          <w:p>
            <w:pPr>
              <w:spacing w:after="0"/>
              <w:rPr>
                <w:sz w:val="11"/>
                <w:szCs w:val="11"/>
                <w:color w:val="auto"/>
              </w:rPr>
            </w:pPr>
          </w:p>
        </w:tc>
      </w:tr>
      <w:tr>
        <w:trPr>
          <w:trHeight w:val="174"/>
        </w:trPr>
        <w:tc>
          <w:tcPr>
            <w:tcW w:w="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ind w:left="240"/>
              <w:spacing w:after="0"/>
              <w:rPr>
                <w:sz w:val="20"/>
                <w:szCs w:val="20"/>
                <w:color w:val="auto"/>
              </w:rPr>
            </w:pPr>
            <w:r>
              <w:rPr>
                <w:rFonts w:ascii="Arial" w:cs="Arial" w:eastAsia="Arial" w:hAnsi="Arial"/>
                <w:sz w:val="13"/>
                <w:szCs w:val="13"/>
                <w:b w:val="1"/>
                <w:bCs w:val="1"/>
                <w:color w:val="auto"/>
              </w:rPr>
              <w:t>Name</w:t>
            </w:r>
          </w:p>
        </w:tc>
        <w:tc>
          <w:tcPr>
            <w:tcW w:w="3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tcPr>
          <w:p>
            <w:pPr>
              <w:ind w:left="720"/>
              <w:spacing w:after="0"/>
              <w:rPr>
                <w:sz w:val="20"/>
                <w:szCs w:val="20"/>
                <w:color w:val="auto"/>
              </w:rPr>
            </w:pPr>
            <w:r>
              <w:rPr>
                <w:rFonts w:ascii="Arial" w:cs="Arial" w:eastAsia="Arial" w:hAnsi="Arial"/>
                <w:sz w:val="13"/>
                <w:szCs w:val="13"/>
                <w:b w:val="1"/>
                <w:bCs w:val="1"/>
                <w:color w:val="auto"/>
              </w:rPr>
              <w:t>MSA Description</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at Cost (1)</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99"/>
              <w:spacing w:after="0"/>
              <w:rPr>
                <w:sz w:val="20"/>
                <w:szCs w:val="20"/>
                <w:color w:val="auto"/>
              </w:rPr>
            </w:pPr>
            <w:r>
              <w:rPr>
                <w:rFonts w:ascii="Arial" w:cs="Arial" w:eastAsia="Arial" w:hAnsi="Arial"/>
                <w:sz w:val="13"/>
                <w:szCs w:val="13"/>
                <w:b w:val="1"/>
                <w:bCs w:val="1"/>
                <w:color w:val="auto"/>
              </w:rPr>
              <w:t>(2)</w:t>
            </w:r>
          </w:p>
        </w:tc>
        <w:tc>
          <w:tcPr>
            <w:tcW w:w="5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3"/>
              </w:rPr>
              <w:t>Acreage</w:t>
            </w:r>
          </w:p>
        </w:tc>
        <w:tc>
          <w:tcPr>
            <w:tcW w:w="82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GLA (3)</w:t>
            </w:r>
          </w:p>
        </w:tc>
        <w:tc>
          <w:tcPr>
            <w:tcW w:w="4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(3)</w:t>
            </w: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Units</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GLA</w:t>
            </w: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Anchor</w:t>
            </w:r>
          </w:p>
        </w:tc>
        <w:tc>
          <w:tcPr>
            <w:tcW w:w="20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Other Retail Tenants</w:t>
            </w:r>
          </w:p>
        </w:tc>
      </w:tr>
      <w:tr>
        <w:trPr>
          <w:trHeight w:val="248"/>
        </w:trPr>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160" w:type="dxa"/>
            <w:vAlign w:val="bottom"/>
          </w:tcPr>
          <w:p>
            <w:pPr>
              <w:spacing w:after="0"/>
              <w:rPr>
                <w:sz w:val="21"/>
                <w:szCs w:val="21"/>
                <w:color w:val="auto"/>
              </w:rPr>
            </w:pPr>
          </w:p>
        </w:tc>
        <w:tc>
          <w:tcPr>
            <w:tcW w:w="880" w:type="dxa"/>
            <w:vAlign w:val="bottom"/>
          </w:tcPr>
          <w:p>
            <w:pPr>
              <w:jc w:val="center"/>
              <w:ind w:right="79"/>
              <w:spacing w:after="0"/>
              <w:rPr>
                <w:sz w:val="20"/>
                <w:szCs w:val="20"/>
                <w:color w:val="auto"/>
              </w:rPr>
            </w:pPr>
            <w:r>
              <w:rPr>
                <w:rFonts w:ascii="Arial" w:cs="Arial" w:eastAsia="Arial" w:hAnsi="Arial"/>
                <w:sz w:val="11"/>
                <w:szCs w:val="11"/>
                <w:color w:val="auto"/>
                <w:w w:val="88"/>
              </w:rPr>
              <w:t>(in thousands)</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2"/>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Perring Plaza</w:t>
            </w:r>
          </w:p>
        </w:tc>
        <w:tc>
          <w:tcPr>
            <w:tcW w:w="320" w:type="dxa"/>
            <w:vAlign w:val="bottom"/>
            <w:shd w:val="clear" w:color="auto" w:fill="CCEEFF"/>
          </w:tcPr>
          <w:p>
            <w:pPr>
              <w:spacing w:after="0"/>
              <w:rPr>
                <w:sz w:val="12"/>
                <w:szCs w:val="12"/>
                <w:color w:val="auto"/>
              </w:rPr>
            </w:pPr>
          </w:p>
        </w:tc>
        <w:tc>
          <w:tcPr>
            <w:tcW w:w="23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Baltimore-Columbia-Towson, MD</w:t>
            </w:r>
          </w:p>
        </w:tc>
        <w:tc>
          <w:tcPr>
            <w:tcW w:w="74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32,562</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396,000</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99%</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0"/>
              </w:rPr>
              <w:t>58,000</w:t>
            </w:r>
          </w:p>
        </w:tc>
        <w:tc>
          <w:tcPr>
            <w:tcW w:w="82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Shoppers</w:t>
            </w:r>
          </w:p>
        </w:tc>
        <w:tc>
          <w:tcPr>
            <w:tcW w:w="200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Home Depot / Micro Center /</w:t>
            </w:r>
          </w:p>
        </w:tc>
      </w:tr>
      <w:tr>
        <w:trPr>
          <w:trHeight w:val="135"/>
        </w:trPr>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Food</w:t>
            </w:r>
          </w:p>
        </w:tc>
        <w:tc>
          <w:tcPr>
            <w:tcW w:w="200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Burlington</w:t>
            </w:r>
          </w:p>
        </w:tc>
      </w:tr>
      <w:tr>
        <w:trPr>
          <w:trHeight w:val="176"/>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Warehouse</w:t>
            </w:r>
          </w:p>
        </w:tc>
        <w:tc>
          <w:tcPr>
            <w:tcW w:w="200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860" w:type="dxa"/>
            <w:vAlign w:val="bottom"/>
            <w:gridSpan w:val="3"/>
          </w:tcPr>
          <w:p>
            <w:pPr>
              <w:spacing w:after="0" w:line="148" w:lineRule="exact"/>
              <w:rPr>
                <w:sz w:val="20"/>
                <w:szCs w:val="20"/>
                <w:color w:val="auto"/>
              </w:rPr>
            </w:pPr>
            <w:r>
              <w:rPr>
                <w:rFonts w:ascii="Arial" w:cs="Arial" w:eastAsia="Arial" w:hAnsi="Arial"/>
                <w:sz w:val="13"/>
                <w:szCs w:val="13"/>
                <w:color w:val="auto"/>
              </w:rPr>
              <w:t>THE AVENUE</w:t>
            </w:r>
          </w:p>
        </w:tc>
        <w:tc>
          <w:tcPr>
            <w:tcW w:w="3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(5)</w:t>
            </w:r>
          </w:p>
        </w:tc>
        <w:tc>
          <w:tcPr>
            <w:tcW w:w="2320" w:type="dxa"/>
            <w:vAlign w:val="bottom"/>
          </w:tcPr>
          <w:p>
            <w:pPr>
              <w:ind w:left="80"/>
              <w:spacing w:after="0" w:line="148" w:lineRule="exact"/>
              <w:rPr>
                <w:sz w:val="20"/>
                <w:szCs w:val="20"/>
                <w:color w:val="auto"/>
              </w:rPr>
            </w:pPr>
            <w:r>
              <w:rPr>
                <w:rFonts w:ascii="Arial" w:cs="Arial" w:eastAsia="Arial" w:hAnsi="Arial"/>
                <w:sz w:val="13"/>
                <w:szCs w:val="13"/>
                <w:color w:val="auto"/>
              </w:rPr>
              <w:t>Baltimore-Columbia-Towson, MD</w:t>
            </w:r>
          </w:p>
        </w:tc>
        <w:tc>
          <w:tcPr>
            <w:tcW w:w="74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122,282</w:t>
            </w:r>
          </w:p>
        </w:tc>
        <w:tc>
          <w:tcPr>
            <w:tcW w:w="160" w:type="dxa"/>
            <w:vAlign w:val="bottom"/>
          </w:tcPr>
          <w:p>
            <w:pPr>
              <w:spacing w:after="0"/>
              <w:rPr>
                <w:sz w:val="12"/>
                <w:szCs w:val="12"/>
                <w:color w:val="auto"/>
              </w:rPr>
            </w:pPr>
          </w:p>
        </w:tc>
        <w:tc>
          <w:tcPr>
            <w:tcW w:w="880" w:type="dxa"/>
            <w:vAlign w:val="bottom"/>
          </w:tcPr>
          <w:p>
            <w:pPr>
              <w:jc w:val="right"/>
              <w:ind w:right="99"/>
              <w:spacing w:after="0" w:line="148" w:lineRule="exact"/>
              <w:rPr>
                <w:sz w:val="20"/>
                <w:szCs w:val="20"/>
                <w:color w:val="auto"/>
              </w:rPr>
            </w:pPr>
            <w:r>
              <w:rPr>
                <w:rFonts w:ascii="Arial" w:cs="Arial" w:eastAsia="Arial" w:hAnsi="Arial"/>
                <w:sz w:val="13"/>
                <w:szCs w:val="13"/>
                <w:color w:val="auto"/>
              </w:rPr>
              <w:t>52,705</w:t>
            </w: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35</w:t>
            </w:r>
          </w:p>
        </w:tc>
        <w:tc>
          <w:tcPr>
            <w:tcW w:w="100" w:type="dxa"/>
            <w:vAlign w:val="bottom"/>
          </w:tcPr>
          <w:p>
            <w:pPr>
              <w:spacing w:after="0"/>
              <w:rPr>
                <w:sz w:val="12"/>
                <w:szCs w:val="12"/>
                <w:color w:val="auto"/>
              </w:rPr>
            </w:pPr>
          </w:p>
        </w:tc>
        <w:tc>
          <w:tcPr>
            <w:tcW w:w="70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314,000</w:t>
            </w:r>
          </w:p>
        </w:tc>
        <w:tc>
          <w:tcPr>
            <w:tcW w:w="12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0" w:type="dxa"/>
            <w:vAlign w:val="bottom"/>
          </w:tcPr>
          <w:p>
            <w:pPr>
              <w:ind w:left="40"/>
              <w:spacing w:after="0" w:line="148" w:lineRule="exact"/>
              <w:rPr>
                <w:sz w:val="20"/>
                <w:szCs w:val="20"/>
                <w:color w:val="auto"/>
              </w:rPr>
            </w:pPr>
            <w:r>
              <w:rPr>
                <w:rFonts w:ascii="Arial" w:cs="Arial" w:eastAsia="Arial" w:hAnsi="Arial"/>
                <w:sz w:val="13"/>
                <w:szCs w:val="13"/>
                <w:color w:val="auto"/>
              </w:rPr>
              <w:t>AMC / Ulta / Old Navy / Barnes &amp;</w:t>
            </w:r>
          </w:p>
        </w:tc>
      </w:tr>
      <w:tr>
        <w:trPr>
          <w:trHeight w:val="168"/>
        </w:trPr>
        <w:tc>
          <w:tcPr>
            <w:tcW w:w="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3"/>
                <w:szCs w:val="13"/>
                <w:color w:val="auto"/>
                <w:w w:val="96"/>
              </w:rPr>
              <w:t>at White Marsh</w:t>
            </w:r>
          </w:p>
        </w:tc>
        <w:tc>
          <w:tcPr>
            <w:tcW w:w="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ind w:left="40"/>
              <w:spacing w:after="0"/>
              <w:rPr>
                <w:sz w:val="20"/>
                <w:szCs w:val="20"/>
                <w:color w:val="auto"/>
              </w:rPr>
            </w:pPr>
            <w:r>
              <w:rPr>
                <w:rFonts w:ascii="Arial" w:cs="Arial" w:eastAsia="Arial" w:hAnsi="Arial"/>
                <w:sz w:val="13"/>
                <w:szCs w:val="13"/>
                <w:color w:val="auto"/>
              </w:rPr>
              <w:t>Noble</w:t>
            </w:r>
          </w:p>
        </w:tc>
      </w:tr>
      <w:tr>
        <w:trPr>
          <w:trHeight w:val="156"/>
        </w:trPr>
        <w:tc>
          <w:tcPr>
            <w:tcW w:w="40" w:type="dxa"/>
            <w:vAlign w:val="bottom"/>
            <w:shd w:val="clear" w:color="auto" w:fill="CCEEFF"/>
          </w:tcPr>
          <w:p>
            <w:pPr>
              <w:spacing w:after="0"/>
              <w:rPr>
                <w:sz w:val="13"/>
                <w:szCs w:val="13"/>
                <w:color w:val="auto"/>
              </w:rPr>
            </w:pPr>
          </w:p>
        </w:tc>
        <w:tc>
          <w:tcPr>
            <w:tcW w:w="860" w:type="dxa"/>
            <w:vAlign w:val="bottom"/>
            <w:gridSpan w:val="3"/>
            <w:shd w:val="clear" w:color="auto" w:fill="CCEEFF"/>
          </w:tcPr>
          <w:p>
            <w:pPr>
              <w:spacing w:after="0"/>
              <w:rPr>
                <w:sz w:val="20"/>
                <w:szCs w:val="20"/>
                <w:color w:val="auto"/>
              </w:rPr>
            </w:pPr>
            <w:r>
              <w:rPr>
                <w:rFonts w:ascii="Arial" w:cs="Arial" w:eastAsia="Arial" w:hAnsi="Arial"/>
                <w:sz w:val="13"/>
                <w:szCs w:val="13"/>
                <w:color w:val="auto"/>
                <w:w w:val="91"/>
              </w:rPr>
              <w:t>The Shoppes at</w:t>
            </w:r>
          </w:p>
        </w:tc>
        <w:tc>
          <w:tcPr>
            <w:tcW w:w="320" w:type="dxa"/>
            <w:vAlign w:val="bottom"/>
            <w:shd w:val="clear" w:color="auto" w:fill="CCEEFF"/>
          </w:tcPr>
          <w:p>
            <w:pPr>
              <w:spacing w:after="0"/>
              <w:rPr>
                <w:sz w:val="13"/>
                <w:szCs w:val="13"/>
                <w:color w:val="auto"/>
              </w:rPr>
            </w:pPr>
          </w:p>
        </w:tc>
        <w:tc>
          <w:tcPr>
            <w:tcW w:w="2320" w:type="dxa"/>
            <w:vAlign w:val="bottom"/>
            <w:shd w:val="clear" w:color="auto" w:fill="CCEEFF"/>
          </w:tcPr>
          <w:p>
            <w:pPr>
              <w:ind w:left="80"/>
              <w:spacing w:after="0"/>
              <w:rPr>
                <w:sz w:val="20"/>
                <w:szCs w:val="20"/>
                <w:color w:val="auto"/>
              </w:rPr>
            </w:pPr>
            <w:r>
              <w:rPr>
                <w:rFonts w:ascii="Arial" w:cs="Arial" w:eastAsia="Arial" w:hAnsi="Arial"/>
                <w:sz w:val="13"/>
                <w:szCs w:val="13"/>
                <w:color w:val="auto"/>
              </w:rPr>
              <w:t>Baltimore-Columbia-Towson, MD</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18,107</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32,000</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r>
      <w:tr>
        <w:trPr>
          <w:trHeight w:val="135"/>
        </w:trPr>
        <w:tc>
          <w:tcPr>
            <w:tcW w:w="40" w:type="dxa"/>
            <w:vAlign w:val="bottom"/>
            <w:shd w:val="clear" w:color="auto" w:fill="CCEEFF"/>
          </w:tcPr>
          <w:p>
            <w:pPr>
              <w:spacing w:after="0"/>
              <w:rPr>
                <w:sz w:val="11"/>
                <w:szCs w:val="11"/>
                <w:color w:val="auto"/>
              </w:rPr>
            </w:pPr>
          </w:p>
        </w:tc>
        <w:tc>
          <w:tcPr>
            <w:tcW w:w="86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Nottingham</w:t>
            </w:r>
          </w:p>
        </w:tc>
        <w:tc>
          <w:tcPr>
            <w:tcW w:w="32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8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Square</w:t>
            </w:r>
          </w:p>
        </w:tc>
        <w:tc>
          <w:tcPr>
            <w:tcW w:w="3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860" w:type="dxa"/>
            <w:vAlign w:val="bottom"/>
            <w:gridSpan w:val="3"/>
          </w:tcPr>
          <w:p>
            <w:pPr>
              <w:spacing w:after="0" w:line="148" w:lineRule="exact"/>
              <w:rPr>
                <w:sz w:val="20"/>
                <w:szCs w:val="20"/>
                <w:color w:val="auto"/>
              </w:rPr>
            </w:pPr>
            <w:r>
              <w:rPr>
                <w:rFonts w:ascii="Arial" w:cs="Arial" w:eastAsia="Arial" w:hAnsi="Arial"/>
                <w:sz w:val="13"/>
                <w:szCs w:val="13"/>
                <w:color w:val="auto"/>
              </w:rPr>
              <w:t>Towson</w:t>
            </w:r>
          </w:p>
        </w:tc>
        <w:tc>
          <w:tcPr>
            <w:tcW w:w="320" w:type="dxa"/>
            <w:vAlign w:val="bottom"/>
          </w:tcPr>
          <w:p>
            <w:pPr>
              <w:spacing w:after="0"/>
              <w:rPr>
                <w:sz w:val="12"/>
                <w:szCs w:val="12"/>
                <w:color w:val="auto"/>
              </w:rPr>
            </w:pPr>
          </w:p>
        </w:tc>
        <w:tc>
          <w:tcPr>
            <w:tcW w:w="2320" w:type="dxa"/>
            <w:vAlign w:val="bottom"/>
          </w:tcPr>
          <w:p>
            <w:pPr>
              <w:ind w:left="80"/>
              <w:spacing w:after="0" w:line="148" w:lineRule="exact"/>
              <w:rPr>
                <w:sz w:val="20"/>
                <w:szCs w:val="20"/>
                <w:color w:val="auto"/>
              </w:rPr>
            </w:pPr>
            <w:r>
              <w:rPr>
                <w:rFonts w:ascii="Arial" w:cs="Arial" w:eastAsia="Arial" w:hAnsi="Arial"/>
                <w:sz w:val="13"/>
                <w:szCs w:val="13"/>
                <w:color w:val="auto"/>
              </w:rPr>
              <w:t>Baltimore-Columbia-Towson, MD</w:t>
            </w:r>
          </w:p>
        </w:tc>
        <w:tc>
          <w:tcPr>
            <w:tcW w:w="74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22,370</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70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4,000</w:t>
            </w:r>
          </w:p>
        </w:tc>
        <w:tc>
          <w:tcPr>
            <w:tcW w:w="12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105</w:t>
            </w: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0" w:type="dxa"/>
            <w:vAlign w:val="bottom"/>
          </w:tcPr>
          <w:p>
            <w:pPr>
              <w:spacing w:after="0"/>
              <w:rPr>
                <w:sz w:val="12"/>
                <w:szCs w:val="12"/>
                <w:color w:val="auto"/>
              </w:rPr>
            </w:pPr>
          </w:p>
        </w:tc>
      </w:tr>
      <w:tr>
        <w:trPr>
          <w:trHeight w:val="135"/>
        </w:trPr>
        <w:tc>
          <w:tcPr>
            <w:tcW w:w="40" w:type="dxa"/>
            <w:vAlign w:val="bottom"/>
          </w:tcPr>
          <w:p>
            <w:pPr>
              <w:spacing w:after="0"/>
              <w:rPr>
                <w:sz w:val="11"/>
                <w:szCs w:val="11"/>
                <w:color w:val="auto"/>
              </w:rPr>
            </w:pPr>
          </w:p>
        </w:tc>
        <w:tc>
          <w:tcPr>
            <w:tcW w:w="860" w:type="dxa"/>
            <w:vAlign w:val="bottom"/>
            <w:gridSpan w:val="3"/>
          </w:tcPr>
          <w:p>
            <w:pPr>
              <w:spacing w:after="0" w:line="135" w:lineRule="exact"/>
              <w:rPr>
                <w:sz w:val="20"/>
                <w:szCs w:val="20"/>
                <w:color w:val="auto"/>
              </w:rPr>
            </w:pPr>
            <w:r>
              <w:rPr>
                <w:rFonts w:ascii="Arial" w:cs="Arial" w:eastAsia="Arial" w:hAnsi="Arial"/>
                <w:sz w:val="13"/>
                <w:szCs w:val="13"/>
                <w:color w:val="auto"/>
              </w:rPr>
              <w:t>Residential</w:t>
            </w:r>
          </w:p>
        </w:tc>
        <w:tc>
          <w:tcPr>
            <w:tcW w:w="3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0" w:type="dxa"/>
            <w:vAlign w:val="bottom"/>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3"/>
                <w:szCs w:val="13"/>
                <w:color w:val="auto"/>
              </w:rPr>
              <w:t>(Flats @ 703)</w:t>
            </w:r>
          </w:p>
        </w:tc>
        <w:tc>
          <w:tcPr>
            <w:tcW w:w="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156"/>
        </w:trPr>
        <w:tc>
          <w:tcPr>
            <w:tcW w:w="40" w:type="dxa"/>
            <w:vAlign w:val="bottom"/>
            <w:shd w:val="clear" w:color="auto" w:fill="CCEEFF"/>
          </w:tcPr>
          <w:p>
            <w:pPr>
              <w:spacing w:after="0"/>
              <w:rPr>
                <w:sz w:val="13"/>
                <w:szCs w:val="13"/>
                <w:color w:val="auto"/>
              </w:rPr>
            </w:pPr>
          </w:p>
        </w:tc>
        <w:tc>
          <w:tcPr>
            <w:tcW w:w="8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White Marsh</w:t>
            </w:r>
          </w:p>
        </w:tc>
        <w:tc>
          <w:tcPr>
            <w:tcW w:w="320" w:type="dxa"/>
            <w:vAlign w:val="bottom"/>
            <w:shd w:val="clear" w:color="auto" w:fill="CCEEFF"/>
          </w:tcPr>
          <w:p>
            <w:pPr>
              <w:spacing w:after="0"/>
              <w:rPr>
                <w:sz w:val="13"/>
                <w:szCs w:val="13"/>
                <w:color w:val="auto"/>
              </w:rPr>
            </w:pPr>
          </w:p>
        </w:tc>
        <w:tc>
          <w:tcPr>
            <w:tcW w:w="2320" w:type="dxa"/>
            <w:vAlign w:val="bottom"/>
            <w:shd w:val="clear" w:color="auto" w:fill="CCEEFF"/>
          </w:tcPr>
          <w:p>
            <w:pPr>
              <w:ind w:left="80"/>
              <w:spacing w:after="0"/>
              <w:rPr>
                <w:sz w:val="20"/>
                <w:szCs w:val="20"/>
                <w:color w:val="auto"/>
              </w:rPr>
            </w:pPr>
            <w:r>
              <w:rPr>
                <w:rFonts w:ascii="Arial" w:cs="Arial" w:eastAsia="Arial" w:hAnsi="Arial"/>
                <w:sz w:val="13"/>
                <w:szCs w:val="13"/>
                <w:color w:val="auto"/>
              </w:rPr>
              <w:t>Baltimore-Columbia-Towson, MD</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25,982</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80,000</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54,000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Giant Food</w:t>
            </w:r>
          </w:p>
        </w:tc>
        <w:tc>
          <w:tcPr>
            <w:tcW w:w="2000" w:type="dxa"/>
            <w:vAlign w:val="bottom"/>
            <w:shd w:val="clear" w:color="auto" w:fill="CCEEFF"/>
          </w:tcPr>
          <w:p>
            <w:pPr>
              <w:spacing w:after="0"/>
              <w:rPr>
                <w:sz w:val="13"/>
                <w:szCs w:val="13"/>
                <w:color w:val="auto"/>
              </w:rPr>
            </w:pPr>
          </w:p>
        </w:tc>
      </w:tr>
      <w:tr>
        <w:trPr>
          <w:trHeight w:val="176"/>
        </w:trPr>
        <w:tc>
          <w:tcPr>
            <w:tcW w:w="40" w:type="dxa"/>
            <w:vAlign w:val="bottom"/>
            <w:shd w:val="clear" w:color="auto" w:fill="CCEEFF"/>
          </w:tcPr>
          <w:p>
            <w:pPr>
              <w:spacing w:after="0"/>
              <w:rPr>
                <w:sz w:val="15"/>
                <w:szCs w:val="15"/>
                <w:color w:val="auto"/>
              </w:rPr>
            </w:pPr>
          </w:p>
        </w:tc>
        <w:tc>
          <w:tcPr>
            <w:tcW w:w="8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Plaza</w:t>
            </w:r>
          </w:p>
        </w:tc>
        <w:tc>
          <w:tcPr>
            <w:tcW w:w="3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860" w:type="dxa"/>
            <w:vAlign w:val="bottom"/>
            <w:gridSpan w:val="3"/>
          </w:tcPr>
          <w:p>
            <w:pPr>
              <w:spacing w:after="0" w:line="148" w:lineRule="exact"/>
              <w:rPr>
                <w:sz w:val="20"/>
                <w:szCs w:val="20"/>
                <w:color w:val="auto"/>
              </w:rPr>
            </w:pPr>
            <w:r>
              <w:rPr>
                <w:rFonts w:ascii="Arial" w:cs="Arial" w:eastAsia="Arial" w:hAnsi="Arial"/>
                <w:sz w:val="13"/>
                <w:szCs w:val="13"/>
                <w:color w:val="auto"/>
              </w:rPr>
              <w:t>White Marsh</w:t>
            </w:r>
          </w:p>
        </w:tc>
        <w:tc>
          <w:tcPr>
            <w:tcW w:w="320" w:type="dxa"/>
            <w:vAlign w:val="bottom"/>
          </w:tcPr>
          <w:p>
            <w:pPr>
              <w:spacing w:after="0"/>
              <w:rPr>
                <w:sz w:val="12"/>
                <w:szCs w:val="12"/>
                <w:color w:val="auto"/>
              </w:rPr>
            </w:pPr>
          </w:p>
        </w:tc>
        <w:tc>
          <w:tcPr>
            <w:tcW w:w="2320" w:type="dxa"/>
            <w:vAlign w:val="bottom"/>
          </w:tcPr>
          <w:p>
            <w:pPr>
              <w:ind w:left="80"/>
              <w:spacing w:after="0" w:line="148" w:lineRule="exact"/>
              <w:rPr>
                <w:sz w:val="20"/>
                <w:szCs w:val="20"/>
                <w:color w:val="auto"/>
              </w:rPr>
            </w:pPr>
            <w:r>
              <w:rPr>
                <w:rFonts w:ascii="Arial" w:cs="Arial" w:eastAsia="Arial" w:hAnsi="Arial"/>
                <w:sz w:val="13"/>
                <w:szCs w:val="13"/>
                <w:color w:val="auto"/>
              </w:rPr>
              <w:t>Baltimore-Columbia-Towson, MD</w:t>
            </w:r>
          </w:p>
        </w:tc>
        <w:tc>
          <w:tcPr>
            <w:tcW w:w="74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31,714</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18</w:t>
            </w:r>
          </w:p>
        </w:tc>
        <w:tc>
          <w:tcPr>
            <w:tcW w:w="100" w:type="dxa"/>
            <w:vAlign w:val="bottom"/>
          </w:tcPr>
          <w:p>
            <w:pPr>
              <w:spacing w:after="0"/>
              <w:rPr>
                <w:sz w:val="12"/>
                <w:szCs w:val="12"/>
                <w:color w:val="auto"/>
              </w:rPr>
            </w:pPr>
          </w:p>
        </w:tc>
        <w:tc>
          <w:tcPr>
            <w:tcW w:w="700" w:type="dxa"/>
            <w:vAlign w:val="bottom"/>
          </w:tcPr>
          <w:p>
            <w:pPr>
              <w:jc w:val="right"/>
              <w:ind w:right="37"/>
              <w:spacing w:after="0" w:line="148" w:lineRule="exact"/>
              <w:rPr>
                <w:sz w:val="20"/>
                <w:szCs w:val="20"/>
                <w:color w:val="auto"/>
              </w:rPr>
            </w:pPr>
            <w:r>
              <w:rPr>
                <w:rFonts w:ascii="Arial" w:cs="Arial" w:eastAsia="Arial" w:hAnsi="Arial"/>
                <w:sz w:val="13"/>
                <w:szCs w:val="13"/>
                <w:color w:val="auto"/>
              </w:rPr>
              <w:t>70,000</w:t>
            </w:r>
          </w:p>
        </w:tc>
        <w:tc>
          <w:tcPr>
            <w:tcW w:w="12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0" w:type="dxa"/>
            <w:vAlign w:val="bottom"/>
          </w:tcPr>
          <w:p>
            <w:pPr>
              <w:spacing w:after="0"/>
              <w:rPr>
                <w:sz w:val="12"/>
                <w:szCs w:val="12"/>
                <w:color w:val="auto"/>
              </w:rPr>
            </w:pPr>
          </w:p>
        </w:tc>
      </w:tr>
      <w:tr>
        <w:trPr>
          <w:trHeight w:val="170"/>
        </w:trPr>
        <w:tc>
          <w:tcPr>
            <w:tcW w:w="4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gridSpan w:val="3"/>
          </w:tcPr>
          <w:p>
            <w:pPr>
              <w:spacing w:after="0"/>
              <w:rPr>
                <w:sz w:val="20"/>
                <w:szCs w:val="20"/>
                <w:color w:val="auto"/>
              </w:rPr>
            </w:pPr>
            <w:r>
              <w:rPr>
                <w:rFonts w:ascii="Arial" w:cs="Arial" w:eastAsia="Arial" w:hAnsi="Arial"/>
                <w:sz w:val="13"/>
                <w:szCs w:val="13"/>
                <w:color w:val="auto"/>
              </w:rPr>
              <w:t>Other</w:t>
            </w:r>
          </w:p>
        </w:tc>
        <w:tc>
          <w:tcPr>
            <w:tcW w:w="320" w:type="dxa"/>
            <w:vAlign w:val="bottom"/>
            <w:tcBorders>
              <w:bottom w:val="single" w:sz="8" w:color="CCEEFF"/>
            </w:tcBorders>
          </w:tcPr>
          <w:p>
            <w:pPr>
              <w:spacing w:after="0"/>
              <w:rPr>
                <w:sz w:val="14"/>
                <w:szCs w:val="14"/>
                <w:color w:val="auto"/>
              </w:rPr>
            </w:pPr>
          </w:p>
        </w:tc>
        <w:tc>
          <w:tcPr>
            <w:tcW w:w="23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2000" w:type="dxa"/>
            <w:vAlign w:val="bottom"/>
            <w:tcBorders>
              <w:bottom w:val="single" w:sz="8" w:color="CCEEFF"/>
            </w:tcBorders>
          </w:tcPr>
          <w:p>
            <w:pPr>
              <w:spacing w:after="0"/>
              <w:rPr>
                <w:sz w:val="14"/>
                <w:szCs w:val="14"/>
                <w:color w:val="auto"/>
              </w:rPr>
            </w:pPr>
          </w:p>
        </w:tc>
      </w:tr>
      <w:tr>
        <w:trPr>
          <w:trHeight w:val="173"/>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320" w:type="dxa"/>
            <w:vAlign w:val="bottom"/>
            <w:shd w:val="clear" w:color="auto" w:fill="CCEEFF"/>
          </w:tcPr>
          <w:p>
            <w:pPr>
              <w:ind w:left="80"/>
              <w:spacing w:after="0"/>
              <w:rPr>
                <w:sz w:val="20"/>
                <w:szCs w:val="20"/>
                <w:color w:val="auto"/>
              </w:rPr>
            </w:pPr>
            <w:r>
              <w:rPr>
                <w:rFonts w:ascii="Arial" w:cs="Arial" w:eastAsia="Arial" w:hAnsi="Arial"/>
                <w:sz w:val="13"/>
                <w:szCs w:val="13"/>
                <w:b w:val="1"/>
                <w:bCs w:val="1"/>
                <w:color w:val="auto"/>
              </w:rPr>
              <w:t>Total Baltimore</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279,934</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118</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1,138,000</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r>
      <w:tr>
        <w:trPr>
          <w:trHeight w:val="83"/>
        </w:trPr>
        <w:tc>
          <w:tcPr>
            <w:tcW w:w="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32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000" w:type="dxa"/>
            <w:vAlign w:val="bottom"/>
            <w:shd w:val="clear" w:color="auto" w:fill="CCEEFF"/>
          </w:tcPr>
          <w:p>
            <w:pPr>
              <w:spacing w:after="0"/>
              <w:rPr>
                <w:sz w:val="7"/>
                <w:szCs w:val="7"/>
                <w:color w:val="auto"/>
              </w:rPr>
            </w:pPr>
          </w:p>
        </w:tc>
      </w:tr>
      <w:tr>
        <w:trPr>
          <w:trHeight w:val="270"/>
        </w:trPr>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148"/>
        </w:trPr>
        <w:tc>
          <w:tcPr>
            <w:tcW w:w="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ind w:left="60"/>
              <w:spacing w:after="0"/>
              <w:rPr>
                <w:sz w:val="20"/>
                <w:szCs w:val="20"/>
                <w:color w:val="auto"/>
              </w:rPr>
            </w:pPr>
            <w:r>
              <w:rPr>
                <w:rFonts w:ascii="Arial" w:cs="Arial" w:eastAsia="Arial" w:hAnsi="Arial"/>
                <w:sz w:val="13"/>
                <w:szCs w:val="13"/>
                <w:b w:val="1"/>
                <w:bCs w:val="1"/>
                <w:color w:val="auto"/>
              </w:rPr>
              <w:t>Chicago</w:t>
            </w:r>
          </w:p>
        </w:tc>
        <w:tc>
          <w:tcPr>
            <w:tcW w:w="32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232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88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2000" w:type="dxa"/>
            <w:vAlign w:val="bottom"/>
            <w:tcBorders>
              <w:top w:val="single" w:sz="8" w:color="CCEEFF"/>
            </w:tcBorders>
            <w:shd w:val="clear" w:color="auto" w:fill="CCEEFF"/>
          </w:tcPr>
          <w:p>
            <w:pPr>
              <w:spacing w:after="0"/>
              <w:rPr>
                <w:sz w:val="8"/>
                <w:szCs w:val="8"/>
                <w:color w:val="auto"/>
              </w:rPr>
            </w:pPr>
          </w:p>
        </w:tc>
      </w:tr>
      <w:tr>
        <w:trPr>
          <w:trHeight w:val="148"/>
        </w:trPr>
        <w:tc>
          <w:tcPr>
            <w:tcW w:w="40" w:type="dxa"/>
            <w:vAlign w:val="bottom"/>
          </w:tcPr>
          <w:p>
            <w:pPr>
              <w:spacing w:after="0"/>
              <w:rPr>
                <w:sz w:val="12"/>
                <w:szCs w:val="12"/>
                <w:color w:val="auto"/>
              </w:rPr>
            </w:pPr>
          </w:p>
        </w:tc>
        <w:tc>
          <w:tcPr>
            <w:tcW w:w="860" w:type="dxa"/>
            <w:vAlign w:val="bottom"/>
            <w:gridSpan w:val="3"/>
          </w:tcPr>
          <w:p>
            <w:pPr>
              <w:spacing w:after="0" w:line="148" w:lineRule="exact"/>
              <w:rPr>
                <w:sz w:val="20"/>
                <w:szCs w:val="20"/>
                <w:color w:val="auto"/>
              </w:rPr>
            </w:pPr>
            <w:r>
              <w:rPr>
                <w:rFonts w:ascii="Arial" w:cs="Arial" w:eastAsia="Arial" w:hAnsi="Arial"/>
                <w:sz w:val="13"/>
                <w:szCs w:val="13"/>
                <w:color w:val="auto"/>
              </w:rPr>
              <w:t>Crossroads</w:t>
            </w:r>
          </w:p>
        </w:tc>
        <w:tc>
          <w:tcPr>
            <w:tcW w:w="320" w:type="dxa"/>
            <w:vAlign w:val="bottom"/>
          </w:tcPr>
          <w:p>
            <w:pPr>
              <w:spacing w:after="0"/>
              <w:rPr>
                <w:sz w:val="12"/>
                <w:szCs w:val="12"/>
                <w:color w:val="auto"/>
              </w:rPr>
            </w:pPr>
          </w:p>
        </w:tc>
        <w:tc>
          <w:tcPr>
            <w:tcW w:w="2320" w:type="dxa"/>
            <w:vAlign w:val="bottom"/>
          </w:tcPr>
          <w:p>
            <w:pPr>
              <w:ind w:left="80"/>
              <w:spacing w:after="0" w:line="148" w:lineRule="exact"/>
              <w:rPr>
                <w:sz w:val="20"/>
                <w:szCs w:val="20"/>
                <w:color w:val="auto"/>
              </w:rPr>
            </w:pPr>
            <w:r>
              <w:rPr>
                <w:rFonts w:ascii="Arial" w:cs="Arial" w:eastAsia="Arial" w:hAnsi="Arial"/>
                <w:sz w:val="13"/>
                <w:szCs w:val="13"/>
                <w:color w:val="auto"/>
              </w:rPr>
              <w:t>Chicago-Naperville-Elgin, IL-IN-WI</w:t>
            </w:r>
          </w:p>
        </w:tc>
        <w:tc>
          <w:tcPr>
            <w:tcW w:w="74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35,800</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14</w:t>
            </w:r>
          </w:p>
        </w:tc>
        <w:tc>
          <w:tcPr>
            <w:tcW w:w="100" w:type="dxa"/>
            <w:vAlign w:val="bottom"/>
          </w:tcPr>
          <w:p>
            <w:pPr>
              <w:spacing w:after="0"/>
              <w:rPr>
                <w:sz w:val="12"/>
                <w:szCs w:val="12"/>
                <w:color w:val="auto"/>
              </w:rPr>
            </w:pPr>
          </w:p>
        </w:tc>
        <w:tc>
          <w:tcPr>
            <w:tcW w:w="70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168,000</w:t>
            </w:r>
          </w:p>
        </w:tc>
        <w:tc>
          <w:tcPr>
            <w:tcW w:w="12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91%</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0" w:type="dxa"/>
            <w:vAlign w:val="bottom"/>
          </w:tcPr>
          <w:p>
            <w:pPr>
              <w:ind w:left="40"/>
              <w:spacing w:after="0" w:line="148" w:lineRule="exact"/>
              <w:rPr>
                <w:sz w:val="20"/>
                <w:szCs w:val="20"/>
                <w:color w:val="auto"/>
              </w:rPr>
            </w:pPr>
            <w:r>
              <w:rPr>
                <w:rFonts w:ascii="Arial" w:cs="Arial" w:eastAsia="Arial" w:hAnsi="Arial"/>
                <w:sz w:val="13"/>
                <w:szCs w:val="13"/>
                <w:color w:val="auto"/>
              </w:rPr>
              <w:t>L.A. Fitness / Ulta / Binny's /</w:t>
            </w: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0" w:type="dxa"/>
            <w:vAlign w:val="bottom"/>
          </w:tcPr>
          <w:p>
            <w:pPr>
              <w:ind w:left="40"/>
              <w:spacing w:after="0" w:line="135" w:lineRule="exact"/>
              <w:rPr>
                <w:sz w:val="20"/>
                <w:szCs w:val="20"/>
                <w:color w:val="auto"/>
              </w:rPr>
            </w:pPr>
            <w:r>
              <w:rPr>
                <w:rFonts w:ascii="Arial" w:cs="Arial" w:eastAsia="Arial" w:hAnsi="Arial"/>
                <w:sz w:val="13"/>
                <w:szCs w:val="13"/>
                <w:color w:val="auto"/>
                <w:w w:val="94"/>
              </w:rPr>
              <w:t>Ferguson's Bath, Kitchen &amp; Lighting</w:t>
            </w:r>
          </w:p>
        </w:tc>
      </w:tr>
      <w:tr>
        <w:trPr>
          <w:trHeight w:val="168"/>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ind w:left="40"/>
              <w:spacing w:after="0"/>
              <w:rPr>
                <w:sz w:val="20"/>
                <w:szCs w:val="20"/>
                <w:color w:val="auto"/>
              </w:rPr>
            </w:pPr>
            <w:r>
              <w:rPr>
                <w:rFonts w:ascii="Arial" w:cs="Arial" w:eastAsia="Arial" w:hAnsi="Arial"/>
                <w:sz w:val="13"/>
                <w:szCs w:val="13"/>
                <w:color w:val="auto"/>
              </w:rPr>
              <w:t>Gallery</w:t>
            </w:r>
          </w:p>
        </w:tc>
      </w:tr>
      <w:tr>
        <w:trPr>
          <w:trHeight w:val="156"/>
        </w:trPr>
        <w:tc>
          <w:tcPr>
            <w:tcW w:w="40" w:type="dxa"/>
            <w:vAlign w:val="bottom"/>
            <w:shd w:val="clear" w:color="auto" w:fill="CCEEFF"/>
          </w:tcPr>
          <w:p>
            <w:pPr>
              <w:spacing w:after="0"/>
              <w:rPr>
                <w:sz w:val="13"/>
                <w:szCs w:val="13"/>
                <w:color w:val="auto"/>
              </w:rPr>
            </w:pPr>
          </w:p>
        </w:tc>
        <w:tc>
          <w:tcPr>
            <w:tcW w:w="8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Finley Square</w:t>
            </w:r>
          </w:p>
        </w:tc>
        <w:tc>
          <w:tcPr>
            <w:tcW w:w="320" w:type="dxa"/>
            <w:vAlign w:val="bottom"/>
            <w:shd w:val="clear" w:color="auto" w:fill="CCEEFF"/>
          </w:tcPr>
          <w:p>
            <w:pPr>
              <w:spacing w:after="0"/>
              <w:rPr>
                <w:sz w:val="13"/>
                <w:szCs w:val="13"/>
                <w:color w:val="auto"/>
              </w:rPr>
            </w:pPr>
          </w:p>
        </w:tc>
        <w:tc>
          <w:tcPr>
            <w:tcW w:w="2320" w:type="dxa"/>
            <w:vAlign w:val="bottom"/>
            <w:shd w:val="clear" w:color="auto" w:fill="CCEEFF"/>
          </w:tcPr>
          <w:p>
            <w:pPr>
              <w:ind w:left="80"/>
              <w:spacing w:after="0"/>
              <w:rPr>
                <w:sz w:val="20"/>
                <w:szCs w:val="20"/>
                <w:color w:val="auto"/>
              </w:rPr>
            </w:pPr>
            <w:r>
              <w:rPr>
                <w:rFonts w:ascii="Arial" w:cs="Arial" w:eastAsia="Arial" w:hAnsi="Arial"/>
                <w:sz w:val="13"/>
                <w:szCs w:val="13"/>
                <w:color w:val="auto"/>
              </w:rPr>
              <w:t>Chicago-Naperville-Elgin, IL-IN-WI</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41,428</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278,000</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0" w:type="dxa"/>
            <w:vAlign w:val="bottom"/>
            <w:shd w:val="clear" w:color="auto" w:fill="CCEEFF"/>
          </w:tcPr>
          <w:p>
            <w:pPr>
              <w:ind w:left="40"/>
              <w:spacing w:after="0"/>
              <w:rPr>
                <w:sz w:val="20"/>
                <w:szCs w:val="20"/>
                <w:color w:val="auto"/>
              </w:rPr>
            </w:pPr>
            <w:r>
              <w:rPr>
                <w:rFonts w:ascii="Arial" w:cs="Arial" w:eastAsia="Arial" w:hAnsi="Arial"/>
                <w:sz w:val="13"/>
                <w:szCs w:val="13"/>
                <w:color w:val="auto"/>
                <w:w w:val="92"/>
              </w:rPr>
              <w:t>Bed, Bath &amp; Beyond / Buy Buy Baby</w:t>
            </w:r>
          </w:p>
        </w:tc>
      </w:tr>
      <w:tr>
        <w:trPr>
          <w:trHeight w:val="176"/>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 Michaels / Portillo's</w:t>
            </w:r>
          </w:p>
        </w:tc>
      </w:tr>
      <w:tr>
        <w:trPr>
          <w:trHeight w:val="148"/>
        </w:trPr>
        <w:tc>
          <w:tcPr>
            <w:tcW w:w="40" w:type="dxa"/>
            <w:vAlign w:val="bottom"/>
          </w:tcPr>
          <w:p>
            <w:pPr>
              <w:spacing w:after="0"/>
              <w:rPr>
                <w:sz w:val="12"/>
                <w:szCs w:val="12"/>
                <w:color w:val="auto"/>
              </w:rPr>
            </w:pPr>
          </w:p>
        </w:tc>
        <w:tc>
          <w:tcPr>
            <w:tcW w:w="860" w:type="dxa"/>
            <w:vAlign w:val="bottom"/>
            <w:gridSpan w:val="3"/>
          </w:tcPr>
          <w:p>
            <w:pPr>
              <w:spacing w:after="0" w:line="148" w:lineRule="exact"/>
              <w:rPr>
                <w:sz w:val="20"/>
                <w:szCs w:val="20"/>
                <w:color w:val="auto"/>
              </w:rPr>
            </w:pPr>
            <w:r>
              <w:rPr>
                <w:rFonts w:ascii="Arial" w:cs="Arial" w:eastAsia="Arial" w:hAnsi="Arial"/>
                <w:sz w:val="13"/>
                <w:szCs w:val="13"/>
                <w:color w:val="auto"/>
                <w:w w:val="96"/>
              </w:rPr>
              <w:t>Garden Market</w:t>
            </w:r>
          </w:p>
        </w:tc>
        <w:tc>
          <w:tcPr>
            <w:tcW w:w="320" w:type="dxa"/>
            <w:vAlign w:val="bottom"/>
          </w:tcPr>
          <w:p>
            <w:pPr>
              <w:spacing w:after="0"/>
              <w:rPr>
                <w:sz w:val="12"/>
                <w:szCs w:val="12"/>
                <w:color w:val="auto"/>
              </w:rPr>
            </w:pPr>
          </w:p>
        </w:tc>
        <w:tc>
          <w:tcPr>
            <w:tcW w:w="2320" w:type="dxa"/>
            <w:vAlign w:val="bottom"/>
          </w:tcPr>
          <w:p>
            <w:pPr>
              <w:ind w:left="80"/>
              <w:spacing w:after="0" w:line="148" w:lineRule="exact"/>
              <w:rPr>
                <w:sz w:val="20"/>
                <w:szCs w:val="20"/>
                <w:color w:val="auto"/>
              </w:rPr>
            </w:pPr>
            <w:r>
              <w:rPr>
                <w:rFonts w:ascii="Arial" w:cs="Arial" w:eastAsia="Arial" w:hAnsi="Arial"/>
                <w:sz w:val="13"/>
                <w:szCs w:val="13"/>
                <w:color w:val="auto"/>
              </w:rPr>
              <w:t>Chicago-Naperville-Elgin, IL-IN-WI</w:t>
            </w:r>
          </w:p>
        </w:tc>
        <w:tc>
          <w:tcPr>
            <w:tcW w:w="74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14,833</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11</w:t>
            </w:r>
          </w:p>
        </w:tc>
        <w:tc>
          <w:tcPr>
            <w:tcW w:w="100" w:type="dxa"/>
            <w:vAlign w:val="bottom"/>
          </w:tcPr>
          <w:p>
            <w:pPr>
              <w:spacing w:after="0"/>
              <w:rPr>
                <w:sz w:val="12"/>
                <w:szCs w:val="12"/>
                <w:color w:val="auto"/>
              </w:rPr>
            </w:pPr>
          </w:p>
        </w:tc>
        <w:tc>
          <w:tcPr>
            <w:tcW w:w="70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140,000</w:t>
            </w:r>
          </w:p>
        </w:tc>
        <w:tc>
          <w:tcPr>
            <w:tcW w:w="12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80" w:type="dxa"/>
            <w:vAlign w:val="bottom"/>
          </w:tcPr>
          <w:p>
            <w:pPr>
              <w:spacing w:after="0"/>
              <w:rPr>
                <w:sz w:val="12"/>
                <w:szCs w:val="12"/>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3"/>
                <w:szCs w:val="13"/>
                <w:color w:val="auto"/>
                <w:w w:val="90"/>
              </w:rPr>
              <w:t>63,000</w:t>
            </w:r>
          </w:p>
        </w:tc>
        <w:tc>
          <w:tcPr>
            <w:tcW w:w="820" w:type="dxa"/>
            <w:vAlign w:val="bottom"/>
          </w:tcPr>
          <w:p>
            <w:pPr>
              <w:ind w:left="100"/>
              <w:spacing w:after="0" w:line="148" w:lineRule="exact"/>
              <w:rPr>
                <w:sz w:val="20"/>
                <w:szCs w:val="20"/>
                <w:color w:val="auto"/>
              </w:rPr>
            </w:pPr>
            <w:r>
              <w:rPr>
                <w:rFonts w:ascii="Arial" w:cs="Arial" w:eastAsia="Arial" w:hAnsi="Arial"/>
                <w:sz w:val="13"/>
                <w:szCs w:val="13"/>
                <w:color w:val="auto"/>
              </w:rPr>
              <w:t>Mariano's</w:t>
            </w:r>
          </w:p>
        </w:tc>
        <w:tc>
          <w:tcPr>
            <w:tcW w:w="2000" w:type="dxa"/>
            <w:vAlign w:val="bottom"/>
          </w:tcPr>
          <w:p>
            <w:pPr>
              <w:ind w:left="40"/>
              <w:spacing w:after="0" w:line="148" w:lineRule="exact"/>
              <w:rPr>
                <w:sz w:val="20"/>
                <w:szCs w:val="20"/>
                <w:color w:val="auto"/>
              </w:rPr>
            </w:pPr>
            <w:r>
              <w:rPr>
                <w:rFonts w:ascii="Arial" w:cs="Arial" w:eastAsia="Arial" w:hAnsi="Arial"/>
                <w:sz w:val="13"/>
                <w:szCs w:val="13"/>
                <w:color w:val="auto"/>
              </w:rPr>
              <w:t>Walgreens</w:t>
            </w:r>
          </w:p>
        </w:tc>
      </w:tr>
      <w:tr>
        <w:trPr>
          <w:trHeight w:val="168"/>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3"/>
                <w:szCs w:val="13"/>
                <w:color w:val="auto"/>
                <w:w w:val="91"/>
              </w:rPr>
              <w:t>Fresh Market</w:t>
            </w:r>
          </w:p>
        </w:tc>
        <w:tc>
          <w:tcPr>
            <w:tcW w:w="2000" w:type="dxa"/>
            <w:vAlign w:val="bottom"/>
          </w:tcPr>
          <w:p>
            <w:pPr>
              <w:spacing w:after="0"/>
              <w:rPr>
                <w:sz w:val="14"/>
                <w:szCs w:val="14"/>
                <w:color w:val="auto"/>
              </w:rPr>
            </w:pPr>
          </w:p>
        </w:tc>
      </w:tr>
      <w:tr>
        <w:trPr>
          <w:trHeight w:val="156"/>
        </w:trPr>
        <w:tc>
          <w:tcPr>
            <w:tcW w:w="40" w:type="dxa"/>
            <w:vAlign w:val="bottom"/>
            <w:shd w:val="clear" w:color="auto" w:fill="CCEEFF"/>
          </w:tcPr>
          <w:p>
            <w:pPr>
              <w:spacing w:after="0"/>
              <w:rPr>
                <w:sz w:val="13"/>
                <w:szCs w:val="13"/>
                <w:color w:val="auto"/>
              </w:rPr>
            </w:pPr>
          </w:p>
        </w:tc>
        <w:tc>
          <w:tcPr>
            <w:tcW w:w="8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Riverpoint</w:t>
            </w:r>
          </w:p>
        </w:tc>
        <w:tc>
          <w:tcPr>
            <w:tcW w:w="320" w:type="dxa"/>
            <w:vAlign w:val="bottom"/>
            <w:shd w:val="clear" w:color="auto" w:fill="CCEEFF"/>
          </w:tcPr>
          <w:p>
            <w:pPr>
              <w:spacing w:after="0"/>
              <w:rPr>
                <w:sz w:val="13"/>
                <w:szCs w:val="13"/>
                <w:color w:val="auto"/>
              </w:rPr>
            </w:pPr>
          </w:p>
        </w:tc>
        <w:tc>
          <w:tcPr>
            <w:tcW w:w="2320" w:type="dxa"/>
            <w:vAlign w:val="bottom"/>
            <w:shd w:val="clear" w:color="auto" w:fill="CCEEFF"/>
          </w:tcPr>
          <w:p>
            <w:pPr>
              <w:ind w:left="80"/>
              <w:spacing w:after="0"/>
              <w:rPr>
                <w:sz w:val="20"/>
                <w:szCs w:val="20"/>
                <w:color w:val="auto"/>
              </w:rPr>
            </w:pPr>
            <w:r>
              <w:rPr>
                <w:rFonts w:ascii="Arial" w:cs="Arial" w:eastAsia="Arial" w:hAnsi="Arial"/>
                <w:sz w:val="13"/>
                <w:szCs w:val="13"/>
                <w:color w:val="auto"/>
              </w:rPr>
              <w:t>Chicago-Naperville-Elgin, IL-IN-WI</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122,000</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211,000</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86,000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Jewel Osco</w:t>
            </w:r>
          </w:p>
        </w:tc>
        <w:tc>
          <w:tcPr>
            <w:tcW w:w="2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Marshalls / Old Navy</w:t>
            </w:r>
          </w:p>
        </w:tc>
      </w:tr>
      <w:tr>
        <w:trPr>
          <w:trHeight w:val="176"/>
        </w:trPr>
        <w:tc>
          <w:tcPr>
            <w:tcW w:w="40" w:type="dxa"/>
            <w:vAlign w:val="bottom"/>
            <w:shd w:val="clear" w:color="auto" w:fill="CCEEFF"/>
          </w:tcPr>
          <w:p>
            <w:pPr>
              <w:spacing w:after="0"/>
              <w:rPr>
                <w:sz w:val="15"/>
                <w:szCs w:val="15"/>
                <w:color w:val="auto"/>
              </w:rPr>
            </w:pPr>
          </w:p>
        </w:tc>
        <w:tc>
          <w:tcPr>
            <w:tcW w:w="8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Center</w:t>
            </w:r>
          </w:p>
        </w:tc>
        <w:tc>
          <w:tcPr>
            <w:tcW w:w="3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r>
      <w:tr>
        <w:trPr>
          <w:trHeight w:val="166"/>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20" w:type="dxa"/>
            <w:vAlign w:val="bottom"/>
          </w:tcPr>
          <w:p>
            <w:pPr>
              <w:ind w:left="80"/>
              <w:spacing w:after="0"/>
              <w:rPr>
                <w:sz w:val="20"/>
                <w:szCs w:val="20"/>
                <w:color w:val="auto"/>
              </w:rPr>
            </w:pPr>
            <w:r>
              <w:rPr>
                <w:rFonts w:ascii="Arial" w:cs="Arial" w:eastAsia="Arial" w:hAnsi="Arial"/>
                <w:sz w:val="13"/>
                <w:szCs w:val="13"/>
                <w:b w:val="1"/>
                <w:bCs w:val="1"/>
                <w:color w:val="auto"/>
              </w:rPr>
              <w:t>Total Chicago</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214,061</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color w:val="auto"/>
              </w:rPr>
              <w:t>63</w:t>
            </w:r>
          </w:p>
        </w:tc>
        <w:tc>
          <w:tcPr>
            <w:tcW w:w="10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797,000</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93%</w:t>
            </w: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0" w:type="dxa"/>
            <w:vAlign w:val="bottom"/>
          </w:tcPr>
          <w:p>
            <w:pPr>
              <w:spacing w:after="0"/>
              <w:rPr>
                <w:sz w:val="7"/>
                <w:szCs w:val="7"/>
                <w:color w:val="auto"/>
              </w:rPr>
            </w:pPr>
          </w:p>
        </w:tc>
      </w:tr>
      <w:tr>
        <w:trPr>
          <w:trHeight w:val="270"/>
        </w:trPr>
        <w:tc>
          <w:tcPr>
            <w:tcW w:w="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3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r>
      <w:tr>
        <w:trPr>
          <w:trHeight w:val="148"/>
        </w:trPr>
        <w:tc>
          <w:tcPr>
            <w:tcW w:w="40" w:type="dxa"/>
            <w:vAlign w:val="bottom"/>
          </w:tcPr>
          <w:p>
            <w:pPr>
              <w:spacing w:after="0"/>
              <w:rPr>
                <w:sz w:val="12"/>
                <w:szCs w:val="12"/>
                <w:color w:val="auto"/>
              </w:rPr>
            </w:pPr>
          </w:p>
        </w:tc>
        <w:tc>
          <w:tcPr>
            <w:tcW w:w="860" w:type="dxa"/>
            <w:vAlign w:val="bottom"/>
            <w:gridSpan w:val="3"/>
          </w:tcPr>
          <w:p>
            <w:pPr>
              <w:ind w:left="60"/>
              <w:spacing w:after="0"/>
              <w:rPr>
                <w:sz w:val="20"/>
                <w:szCs w:val="20"/>
                <w:color w:val="auto"/>
              </w:rPr>
            </w:pPr>
            <w:r>
              <w:rPr>
                <w:rFonts w:ascii="Arial" w:cs="Arial" w:eastAsia="Arial" w:hAnsi="Arial"/>
                <w:sz w:val="13"/>
                <w:szCs w:val="13"/>
                <w:b w:val="1"/>
                <w:bCs w:val="1"/>
                <w:color w:val="auto"/>
              </w:rPr>
              <w:t>Other</w:t>
            </w:r>
          </w:p>
        </w:tc>
        <w:tc>
          <w:tcPr>
            <w:tcW w:w="3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0" w:type="dxa"/>
            <w:vAlign w:val="bottom"/>
          </w:tcPr>
          <w:p>
            <w:pPr>
              <w:spacing w:after="0"/>
              <w:rPr>
                <w:sz w:val="8"/>
                <w:szCs w:val="8"/>
                <w:color w:val="auto"/>
              </w:rPr>
            </w:pPr>
          </w:p>
        </w:tc>
      </w:tr>
      <w:tr>
        <w:trPr>
          <w:trHeight w:val="148"/>
        </w:trPr>
        <w:tc>
          <w:tcPr>
            <w:tcW w:w="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w w:val="97"/>
              </w:rPr>
              <w:t>Barracks Road</w:t>
            </w:r>
          </w:p>
        </w:tc>
        <w:tc>
          <w:tcPr>
            <w:tcW w:w="320" w:type="dxa"/>
            <w:vAlign w:val="bottom"/>
            <w:shd w:val="clear" w:color="auto" w:fill="CCEEFF"/>
          </w:tcPr>
          <w:p>
            <w:pPr>
              <w:spacing w:after="0"/>
              <w:rPr>
                <w:sz w:val="12"/>
                <w:szCs w:val="12"/>
                <w:color w:val="auto"/>
              </w:rPr>
            </w:pPr>
          </w:p>
        </w:tc>
        <w:tc>
          <w:tcPr>
            <w:tcW w:w="23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Charlottesville, VA</w:t>
            </w:r>
          </w:p>
        </w:tc>
        <w:tc>
          <w:tcPr>
            <w:tcW w:w="74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69,971</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500,000</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95%</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0"/>
              </w:rPr>
              <w:t>99,000</w:t>
            </w:r>
          </w:p>
        </w:tc>
        <w:tc>
          <w:tcPr>
            <w:tcW w:w="82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w w:val="92"/>
              </w:rPr>
              <w:t>Harris Teeter</w:t>
            </w:r>
          </w:p>
        </w:tc>
        <w:tc>
          <w:tcPr>
            <w:tcW w:w="200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8"/>
              </w:rPr>
              <w:t>Anthropologie / Nike / Bed, Bath &amp;</w:t>
            </w:r>
          </w:p>
        </w:tc>
      </w:tr>
      <w:tr>
        <w:trPr>
          <w:trHeight w:val="176"/>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 Kroger</w:t>
            </w:r>
          </w:p>
        </w:tc>
        <w:tc>
          <w:tcPr>
            <w:tcW w:w="2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Beyond / Old Navy</w:t>
            </w:r>
          </w:p>
        </w:tc>
      </w:tr>
      <w:tr>
        <w:trPr>
          <w:trHeight w:val="173"/>
        </w:trPr>
        <w:tc>
          <w:tcPr>
            <w:tcW w:w="40" w:type="dxa"/>
            <w:vAlign w:val="bottom"/>
          </w:tcPr>
          <w:p>
            <w:pPr>
              <w:spacing w:after="0"/>
              <w:rPr>
                <w:sz w:val="15"/>
                <w:szCs w:val="15"/>
                <w:color w:val="auto"/>
              </w:rPr>
            </w:pPr>
          </w:p>
        </w:tc>
        <w:tc>
          <w:tcPr>
            <w:tcW w:w="860" w:type="dxa"/>
            <w:vAlign w:val="bottom"/>
            <w:gridSpan w:val="3"/>
          </w:tcPr>
          <w:p>
            <w:pPr>
              <w:spacing w:after="0"/>
              <w:rPr>
                <w:sz w:val="20"/>
                <w:szCs w:val="20"/>
                <w:color w:val="auto"/>
              </w:rPr>
            </w:pPr>
            <w:r>
              <w:rPr>
                <w:rFonts w:ascii="Arial" w:cs="Arial" w:eastAsia="Arial" w:hAnsi="Arial"/>
                <w:sz w:val="13"/>
                <w:szCs w:val="13"/>
                <w:color w:val="auto"/>
              </w:rPr>
              <w:t>Bristol Plaza</w:t>
            </w:r>
          </w:p>
        </w:tc>
        <w:tc>
          <w:tcPr>
            <w:tcW w:w="320" w:type="dxa"/>
            <w:vAlign w:val="bottom"/>
          </w:tcPr>
          <w:p>
            <w:pPr>
              <w:spacing w:after="0"/>
              <w:rPr>
                <w:sz w:val="15"/>
                <w:szCs w:val="15"/>
                <w:color w:val="auto"/>
              </w:rPr>
            </w:pPr>
          </w:p>
        </w:tc>
        <w:tc>
          <w:tcPr>
            <w:tcW w:w="2320" w:type="dxa"/>
            <w:vAlign w:val="bottom"/>
          </w:tcPr>
          <w:p>
            <w:pPr>
              <w:ind w:left="80"/>
              <w:spacing w:after="0"/>
              <w:rPr>
                <w:sz w:val="20"/>
                <w:szCs w:val="20"/>
                <w:color w:val="auto"/>
              </w:rPr>
            </w:pPr>
            <w:r>
              <w:rPr>
                <w:rFonts w:ascii="Arial" w:cs="Arial" w:eastAsia="Arial" w:hAnsi="Arial"/>
                <w:sz w:val="13"/>
                <w:szCs w:val="13"/>
                <w:color w:val="auto"/>
                <w:w w:val="93"/>
              </w:rPr>
              <w:t>Hartford-West Hartford-East Hartford, CT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31,715</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5"/>
                <w:szCs w:val="15"/>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266,000</w:t>
            </w: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82%</w:t>
            </w:r>
          </w:p>
        </w:tc>
        <w:tc>
          <w:tcPr>
            <w:tcW w:w="6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auto"/>
                <w:w w:val="90"/>
              </w:rPr>
              <w:t>74,000</w:t>
            </w:r>
          </w:p>
        </w:tc>
        <w:tc>
          <w:tcPr>
            <w:tcW w:w="820" w:type="dxa"/>
            <w:vAlign w:val="bottom"/>
          </w:tcPr>
          <w:p>
            <w:pPr>
              <w:ind w:left="100"/>
              <w:spacing w:after="0"/>
              <w:rPr>
                <w:sz w:val="20"/>
                <w:szCs w:val="20"/>
                <w:color w:val="auto"/>
              </w:rPr>
            </w:pPr>
            <w:r>
              <w:rPr>
                <w:rFonts w:ascii="Arial" w:cs="Arial" w:eastAsia="Arial" w:hAnsi="Arial"/>
                <w:sz w:val="13"/>
                <w:szCs w:val="13"/>
                <w:color w:val="auto"/>
                <w:w w:val="95"/>
              </w:rPr>
              <w:t>Stop &amp; Shop</w:t>
            </w:r>
          </w:p>
        </w:tc>
        <w:tc>
          <w:tcPr>
            <w:tcW w:w="2000" w:type="dxa"/>
            <w:vAlign w:val="bottom"/>
          </w:tcPr>
          <w:p>
            <w:pPr>
              <w:ind w:left="40"/>
              <w:spacing w:after="0"/>
              <w:rPr>
                <w:sz w:val="20"/>
                <w:szCs w:val="20"/>
                <w:color w:val="auto"/>
              </w:rPr>
            </w:pPr>
            <w:r>
              <w:rPr>
                <w:rFonts w:ascii="Arial" w:cs="Arial" w:eastAsia="Arial" w:hAnsi="Arial"/>
                <w:sz w:val="13"/>
                <w:szCs w:val="13"/>
                <w:color w:val="auto"/>
              </w:rPr>
              <w:t>TJ Maxx</w:t>
            </w:r>
          </w:p>
        </w:tc>
      </w:tr>
      <w:tr>
        <w:trPr>
          <w:trHeight w:val="97"/>
        </w:trPr>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0" w:type="dxa"/>
            <w:vAlign w:val="bottom"/>
          </w:tcPr>
          <w:p>
            <w:pPr>
              <w:spacing w:after="0"/>
              <w:rPr>
                <w:sz w:val="8"/>
                <w:szCs w:val="8"/>
                <w:color w:val="auto"/>
              </w:rPr>
            </w:pPr>
          </w:p>
        </w:tc>
      </w:tr>
      <w:tr>
        <w:trPr>
          <w:trHeight w:val="148"/>
        </w:trPr>
        <w:tc>
          <w:tcPr>
            <w:tcW w:w="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Eastgate</w:t>
            </w:r>
          </w:p>
        </w:tc>
        <w:tc>
          <w:tcPr>
            <w:tcW w:w="320" w:type="dxa"/>
            <w:vAlign w:val="bottom"/>
            <w:shd w:val="clear" w:color="auto" w:fill="CCEEFF"/>
          </w:tcPr>
          <w:p>
            <w:pPr>
              <w:spacing w:after="0"/>
              <w:rPr>
                <w:sz w:val="12"/>
                <w:szCs w:val="12"/>
                <w:color w:val="auto"/>
              </w:rPr>
            </w:pPr>
          </w:p>
        </w:tc>
        <w:tc>
          <w:tcPr>
            <w:tcW w:w="23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Durham-Chapel Hill, NC</w:t>
            </w:r>
          </w:p>
        </w:tc>
        <w:tc>
          <w:tcPr>
            <w:tcW w:w="74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35,210</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159,000</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89%</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0"/>
              </w:rPr>
              <w:t>13,000</w:t>
            </w:r>
          </w:p>
        </w:tc>
        <w:tc>
          <w:tcPr>
            <w:tcW w:w="82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w w:val="97"/>
              </w:rPr>
              <w:t>Trader Joe's</w:t>
            </w:r>
          </w:p>
        </w:tc>
        <w:tc>
          <w:tcPr>
            <w:tcW w:w="200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Ulta / Stein Mart / Petco</w:t>
            </w:r>
          </w:p>
        </w:tc>
      </w:tr>
      <w:tr>
        <w:trPr>
          <w:trHeight w:val="176"/>
        </w:trPr>
        <w:tc>
          <w:tcPr>
            <w:tcW w:w="40" w:type="dxa"/>
            <w:vAlign w:val="bottom"/>
            <w:shd w:val="clear" w:color="auto" w:fill="CCEEFF"/>
          </w:tcPr>
          <w:p>
            <w:pPr>
              <w:spacing w:after="0"/>
              <w:rPr>
                <w:sz w:val="15"/>
                <w:szCs w:val="15"/>
                <w:color w:val="auto"/>
              </w:rPr>
            </w:pPr>
          </w:p>
        </w:tc>
        <w:tc>
          <w:tcPr>
            <w:tcW w:w="8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Crossing</w:t>
            </w:r>
          </w:p>
        </w:tc>
        <w:tc>
          <w:tcPr>
            <w:tcW w:w="3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860" w:type="dxa"/>
            <w:vAlign w:val="bottom"/>
            <w:gridSpan w:val="3"/>
          </w:tcPr>
          <w:p>
            <w:pPr>
              <w:spacing w:after="0" w:line="148" w:lineRule="exact"/>
              <w:rPr>
                <w:sz w:val="20"/>
                <w:szCs w:val="20"/>
                <w:color w:val="auto"/>
              </w:rPr>
            </w:pPr>
            <w:r>
              <w:rPr>
                <w:rFonts w:ascii="Arial" w:cs="Arial" w:eastAsia="Arial" w:hAnsi="Arial"/>
                <w:sz w:val="13"/>
                <w:szCs w:val="13"/>
                <w:color w:val="auto"/>
              </w:rPr>
              <w:t>Gratiot Plaza</w:t>
            </w:r>
          </w:p>
        </w:tc>
        <w:tc>
          <w:tcPr>
            <w:tcW w:w="320" w:type="dxa"/>
            <w:vAlign w:val="bottom"/>
          </w:tcPr>
          <w:p>
            <w:pPr>
              <w:spacing w:after="0"/>
              <w:rPr>
                <w:sz w:val="12"/>
                <w:szCs w:val="12"/>
                <w:color w:val="auto"/>
              </w:rPr>
            </w:pPr>
          </w:p>
        </w:tc>
        <w:tc>
          <w:tcPr>
            <w:tcW w:w="2320" w:type="dxa"/>
            <w:vAlign w:val="bottom"/>
          </w:tcPr>
          <w:p>
            <w:pPr>
              <w:ind w:left="80"/>
              <w:spacing w:after="0" w:line="148" w:lineRule="exact"/>
              <w:rPr>
                <w:sz w:val="20"/>
                <w:szCs w:val="20"/>
                <w:color w:val="auto"/>
              </w:rPr>
            </w:pPr>
            <w:r>
              <w:rPr>
                <w:rFonts w:ascii="Arial" w:cs="Arial" w:eastAsia="Arial" w:hAnsi="Arial"/>
                <w:sz w:val="13"/>
                <w:szCs w:val="13"/>
                <w:color w:val="auto"/>
              </w:rPr>
              <w:t>Detroit-Warren-Dearborn, MI</w:t>
            </w:r>
          </w:p>
        </w:tc>
        <w:tc>
          <w:tcPr>
            <w:tcW w:w="74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20,123</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20</w:t>
            </w:r>
          </w:p>
        </w:tc>
        <w:tc>
          <w:tcPr>
            <w:tcW w:w="100" w:type="dxa"/>
            <w:vAlign w:val="bottom"/>
          </w:tcPr>
          <w:p>
            <w:pPr>
              <w:spacing w:after="0"/>
              <w:rPr>
                <w:sz w:val="12"/>
                <w:szCs w:val="12"/>
                <w:color w:val="auto"/>
              </w:rPr>
            </w:pPr>
          </w:p>
        </w:tc>
        <w:tc>
          <w:tcPr>
            <w:tcW w:w="70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217,000</w:t>
            </w:r>
          </w:p>
        </w:tc>
        <w:tc>
          <w:tcPr>
            <w:tcW w:w="12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tcPr>
          <w:p>
            <w:pPr>
              <w:spacing w:after="0"/>
              <w:rPr>
                <w:sz w:val="12"/>
                <w:szCs w:val="12"/>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3"/>
                <w:szCs w:val="13"/>
                <w:color w:val="auto"/>
                <w:w w:val="90"/>
              </w:rPr>
              <w:t>69,000</w:t>
            </w:r>
          </w:p>
        </w:tc>
        <w:tc>
          <w:tcPr>
            <w:tcW w:w="820" w:type="dxa"/>
            <w:vAlign w:val="bottom"/>
          </w:tcPr>
          <w:p>
            <w:pPr>
              <w:ind w:left="100"/>
              <w:spacing w:after="0" w:line="148" w:lineRule="exact"/>
              <w:rPr>
                <w:sz w:val="20"/>
                <w:szCs w:val="20"/>
                <w:color w:val="auto"/>
              </w:rPr>
            </w:pPr>
            <w:r>
              <w:rPr>
                <w:rFonts w:ascii="Arial" w:cs="Arial" w:eastAsia="Arial" w:hAnsi="Arial"/>
                <w:sz w:val="13"/>
                <w:szCs w:val="13"/>
                <w:color w:val="auto"/>
              </w:rPr>
              <w:t>Kroger</w:t>
            </w:r>
          </w:p>
        </w:tc>
        <w:tc>
          <w:tcPr>
            <w:tcW w:w="2000" w:type="dxa"/>
            <w:vAlign w:val="bottom"/>
          </w:tcPr>
          <w:p>
            <w:pPr>
              <w:ind w:left="40"/>
              <w:spacing w:after="0" w:line="148" w:lineRule="exact"/>
              <w:rPr>
                <w:sz w:val="20"/>
                <w:szCs w:val="20"/>
                <w:color w:val="auto"/>
              </w:rPr>
            </w:pPr>
            <w:r>
              <w:rPr>
                <w:rFonts w:ascii="Arial" w:cs="Arial" w:eastAsia="Arial" w:hAnsi="Arial"/>
                <w:sz w:val="13"/>
                <w:szCs w:val="13"/>
                <w:color w:val="auto"/>
              </w:rPr>
              <w:t>Bed, Bath &amp; Beyond / Best Buy /</w:t>
            </w:r>
          </w:p>
        </w:tc>
      </w:tr>
      <w:tr>
        <w:trPr>
          <w:trHeight w:val="168"/>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ind w:left="40"/>
              <w:spacing w:after="0"/>
              <w:rPr>
                <w:sz w:val="20"/>
                <w:szCs w:val="20"/>
                <w:color w:val="auto"/>
              </w:rPr>
            </w:pPr>
            <w:r>
              <w:rPr>
                <w:rFonts w:ascii="Arial" w:cs="Arial" w:eastAsia="Arial" w:hAnsi="Arial"/>
                <w:sz w:val="13"/>
                <w:szCs w:val="13"/>
                <w:color w:val="auto"/>
              </w:rPr>
              <w:t>DSW</w:t>
            </w:r>
          </w:p>
        </w:tc>
      </w:tr>
      <w:tr>
        <w:trPr>
          <w:trHeight w:val="181"/>
        </w:trPr>
        <w:tc>
          <w:tcPr>
            <w:tcW w:w="40" w:type="dxa"/>
            <w:vAlign w:val="bottom"/>
            <w:shd w:val="clear" w:color="auto" w:fill="CCEEFF"/>
          </w:tcPr>
          <w:p>
            <w:pPr>
              <w:spacing w:after="0"/>
              <w:rPr>
                <w:sz w:val="15"/>
                <w:szCs w:val="15"/>
                <w:color w:val="auto"/>
              </w:rPr>
            </w:pPr>
          </w:p>
        </w:tc>
        <w:tc>
          <w:tcPr>
            <w:tcW w:w="8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Lancaster</w:t>
            </w:r>
          </w:p>
        </w:tc>
        <w:tc>
          <w:tcPr>
            <w:tcW w:w="3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w:t>
            </w:r>
          </w:p>
        </w:tc>
        <w:tc>
          <w:tcPr>
            <w:tcW w:w="2320" w:type="dxa"/>
            <w:vAlign w:val="bottom"/>
            <w:shd w:val="clear" w:color="auto" w:fill="CCEEFF"/>
          </w:tcPr>
          <w:p>
            <w:pPr>
              <w:ind w:left="80"/>
              <w:spacing w:after="0"/>
              <w:rPr>
                <w:sz w:val="20"/>
                <w:szCs w:val="20"/>
                <w:color w:val="auto"/>
              </w:rPr>
            </w:pPr>
            <w:r>
              <w:rPr>
                <w:rFonts w:ascii="Arial" w:cs="Arial" w:eastAsia="Arial" w:hAnsi="Arial"/>
                <w:sz w:val="13"/>
                <w:szCs w:val="13"/>
                <w:color w:val="auto"/>
              </w:rPr>
              <w:t>Lancaster, PA</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13,122</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5,499</w:t>
            </w: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127,000</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75,000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Giant Food</w:t>
            </w:r>
          </w:p>
        </w:tc>
        <w:tc>
          <w:tcPr>
            <w:tcW w:w="200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3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000" w:type="dxa"/>
            <w:vAlign w:val="bottom"/>
            <w:shd w:val="clear" w:color="auto" w:fill="CCEEFF"/>
          </w:tcPr>
          <w:p>
            <w:pPr>
              <w:spacing w:after="0"/>
              <w:rPr>
                <w:sz w:val="8"/>
                <w:szCs w:val="8"/>
                <w:color w:val="auto"/>
              </w:rPr>
            </w:pPr>
          </w:p>
        </w:tc>
      </w:tr>
      <w:tr>
        <w:trPr>
          <w:trHeight w:val="148"/>
        </w:trPr>
        <w:tc>
          <w:tcPr>
            <w:tcW w:w="40" w:type="dxa"/>
            <w:vAlign w:val="bottom"/>
          </w:tcPr>
          <w:p>
            <w:pPr>
              <w:spacing w:after="0"/>
              <w:rPr>
                <w:sz w:val="12"/>
                <w:szCs w:val="12"/>
                <w:color w:val="auto"/>
              </w:rPr>
            </w:pPr>
          </w:p>
        </w:tc>
        <w:tc>
          <w:tcPr>
            <w:tcW w:w="860" w:type="dxa"/>
            <w:vAlign w:val="bottom"/>
            <w:gridSpan w:val="3"/>
          </w:tcPr>
          <w:p>
            <w:pPr>
              <w:spacing w:after="0" w:line="148" w:lineRule="exact"/>
              <w:rPr>
                <w:sz w:val="20"/>
                <w:szCs w:val="20"/>
                <w:color w:val="auto"/>
              </w:rPr>
            </w:pPr>
            <w:r>
              <w:rPr>
                <w:rFonts w:ascii="Arial" w:cs="Arial" w:eastAsia="Arial" w:hAnsi="Arial"/>
                <w:sz w:val="13"/>
                <w:szCs w:val="13"/>
                <w:color w:val="auto"/>
              </w:rPr>
              <w:t>29th Place</w:t>
            </w:r>
          </w:p>
        </w:tc>
        <w:tc>
          <w:tcPr>
            <w:tcW w:w="320" w:type="dxa"/>
            <w:vAlign w:val="bottom"/>
          </w:tcPr>
          <w:p>
            <w:pPr>
              <w:spacing w:after="0"/>
              <w:rPr>
                <w:sz w:val="12"/>
                <w:szCs w:val="12"/>
                <w:color w:val="auto"/>
              </w:rPr>
            </w:pPr>
          </w:p>
        </w:tc>
        <w:tc>
          <w:tcPr>
            <w:tcW w:w="2320" w:type="dxa"/>
            <w:vAlign w:val="bottom"/>
          </w:tcPr>
          <w:p>
            <w:pPr>
              <w:ind w:left="80"/>
              <w:spacing w:after="0" w:line="148" w:lineRule="exact"/>
              <w:rPr>
                <w:sz w:val="20"/>
                <w:szCs w:val="20"/>
                <w:color w:val="auto"/>
              </w:rPr>
            </w:pPr>
            <w:r>
              <w:rPr>
                <w:rFonts w:ascii="Arial" w:cs="Arial" w:eastAsia="Arial" w:hAnsi="Arial"/>
                <w:sz w:val="13"/>
                <w:szCs w:val="13"/>
                <w:color w:val="auto"/>
              </w:rPr>
              <w:t>Charlottesville, VA</w:t>
            </w:r>
          </w:p>
        </w:tc>
        <w:tc>
          <w:tcPr>
            <w:tcW w:w="74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41,153</w:t>
            </w:r>
          </w:p>
        </w:tc>
        <w:tc>
          <w:tcPr>
            <w:tcW w:w="160" w:type="dxa"/>
            <w:vAlign w:val="bottom"/>
          </w:tcPr>
          <w:p>
            <w:pPr>
              <w:spacing w:after="0"/>
              <w:rPr>
                <w:sz w:val="12"/>
                <w:szCs w:val="12"/>
                <w:color w:val="auto"/>
              </w:rPr>
            </w:pPr>
          </w:p>
        </w:tc>
        <w:tc>
          <w:tcPr>
            <w:tcW w:w="880" w:type="dxa"/>
            <w:vAlign w:val="bottom"/>
          </w:tcPr>
          <w:p>
            <w:pPr>
              <w:jc w:val="right"/>
              <w:ind w:right="99"/>
              <w:spacing w:after="0" w:line="148" w:lineRule="exact"/>
              <w:rPr>
                <w:sz w:val="20"/>
                <w:szCs w:val="20"/>
                <w:color w:val="auto"/>
              </w:rPr>
            </w:pPr>
            <w:r>
              <w:rPr>
                <w:rFonts w:ascii="Arial" w:cs="Arial" w:eastAsia="Arial" w:hAnsi="Arial"/>
                <w:sz w:val="13"/>
                <w:szCs w:val="13"/>
                <w:color w:val="auto"/>
              </w:rPr>
              <w:t>3,816</w:t>
            </w: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15</w:t>
            </w:r>
          </w:p>
        </w:tc>
        <w:tc>
          <w:tcPr>
            <w:tcW w:w="100" w:type="dxa"/>
            <w:vAlign w:val="bottom"/>
          </w:tcPr>
          <w:p>
            <w:pPr>
              <w:spacing w:after="0"/>
              <w:rPr>
                <w:sz w:val="12"/>
                <w:szCs w:val="12"/>
                <w:color w:val="auto"/>
              </w:rPr>
            </w:pPr>
          </w:p>
        </w:tc>
        <w:tc>
          <w:tcPr>
            <w:tcW w:w="70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169,000</w:t>
            </w:r>
          </w:p>
        </w:tc>
        <w:tc>
          <w:tcPr>
            <w:tcW w:w="12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0" w:type="dxa"/>
            <w:vAlign w:val="bottom"/>
          </w:tcPr>
          <w:p>
            <w:pPr>
              <w:ind w:left="40"/>
              <w:spacing w:after="0" w:line="148" w:lineRule="exact"/>
              <w:rPr>
                <w:sz w:val="20"/>
                <w:szCs w:val="20"/>
                <w:color w:val="auto"/>
              </w:rPr>
            </w:pPr>
            <w:r>
              <w:rPr>
                <w:rFonts w:ascii="Arial" w:cs="Arial" w:eastAsia="Arial" w:hAnsi="Arial"/>
                <w:sz w:val="13"/>
                <w:szCs w:val="13"/>
                <w:color w:val="auto"/>
              </w:rPr>
              <w:t>HomeGoods / DSW / Stein Mart /</w:t>
            </w:r>
          </w:p>
        </w:tc>
      </w:tr>
      <w:tr>
        <w:trPr>
          <w:trHeight w:val="168"/>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ind w:left="40"/>
              <w:spacing w:after="0"/>
              <w:rPr>
                <w:sz w:val="20"/>
                <w:szCs w:val="20"/>
                <w:color w:val="auto"/>
              </w:rPr>
            </w:pPr>
            <w:r>
              <w:rPr>
                <w:rFonts w:ascii="Arial" w:cs="Arial" w:eastAsia="Arial" w:hAnsi="Arial"/>
                <w:sz w:val="13"/>
                <w:szCs w:val="13"/>
                <w:color w:val="auto"/>
              </w:rPr>
              <w:t>Staples</w:t>
            </w:r>
          </w:p>
        </w:tc>
      </w:tr>
      <w:tr>
        <w:trPr>
          <w:trHeight w:val="156"/>
        </w:trPr>
        <w:tc>
          <w:tcPr>
            <w:tcW w:w="40" w:type="dxa"/>
            <w:vAlign w:val="bottom"/>
            <w:shd w:val="clear" w:color="auto" w:fill="CCEEFF"/>
          </w:tcPr>
          <w:p>
            <w:pPr>
              <w:spacing w:after="0"/>
              <w:rPr>
                <w:sz w:val="13"/>
                <w:szCs w:val="13"/>
                <w:color w:val="auto"/>
              </w:rPr>
            </w:pPr>
          </w:p>
        </w:tc>
        <w:tc>
          <w:tcPr>
            <w:tcW w:w="8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Willow Lawn</w:t>
            </w:r>
          </w:p>
        </w:tc>
        <w:tc>
          <w:tcPr>
            <w:tcW w:w="320" w:type="dxa"/>
            <w:vAlign w:val="bottom"/>
            <w:shd w:val="clear" w:color="auto" w:fill="CCEEFF"/>
          </w:tcPr>
          <w:p>
            <w:pPr>
              <w:spacing w:after="0"/>
              <w:rPr>
                <w:sz w:val="13"/>
                <w:szCs w:val="13"/>
                <w:color w:val="auto"/>
              </w:rPr>
            </w:pPr>
          </w:p>
        </w:tc>
        <w:tc>
          <w:tcPr>
            <w:tcW w:w="2320" w:type="dxa"/>
            <w:vAlign w:val="bottom"/>
            <w:shd w:val="clear" w:color="auto" w:fill="CCEEFF"/>
          </w:tcPr>
          <w:p>
            <w:pPr>
              <w:ind w:left="80"/>
              <w:spacing w:after="0"/>
              <w:rPr>
                <w:sz w:val="20"/>
                <w:szCs w:val="20"/>
                <w:color w:val="auto"/>
              </w:rPr>
            </w:pPr>
            <w:r>
              <w:rPr>
                <w:rFonts w:ascii="Arial" w:cs="Arial" w:eastAsia="Arial" w:hAnsi="Arial"/>
                <w:sz w:val="13"/>
                <w:szCs w:val="13"/>
                <w:color w:val="auto"/>
              </w:rPr>
              <w:t>Richmond, VA</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102,776</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463,000</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66,000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Kroger</w:t>
            </w:r>
          </w:p>
        </w:tc>
        <w:tc>
          <w:tcPr>
            <w:tcW w:w="2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Old Navy / Ross Dress For Less /</w:t>
            </w:r>
          </w:p>
        </w:tc>
      </w:tr>
      <w:tr>
        <w:trPr>
          <w:trHeight w:val="176"/>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0" w:type="dxa"/>
            <w:vAlign w:val="bottom"/>
            <w:shd w:val="clear" w:color="auto" w:fill="CCEEFF"/>
          </w:tcPr>
          <w:p>
            <w:pPr>
              <w:ind w:left="40"/>
              <w:spacing w:after="0"/>
              <w:rPr>
                <w:sz w:val="20"/>
                <w:szCs w:val="20"/>
                <w:color w:val="auto"/>
              </w:rPr>
            </w:pPr>
            <w:r>
              <w:rPr>
                <w:rFonts w:ascii="Arial" w:cs="Arial" w:eastAsia="Arial" w:hAnsi="Arial"/>
                <w:sz w:val="13"/>
                <w:szCs w:val="13"/>
                <w:color w:val="auto"/>
                <w:w w:val="93"/>
              </w:rPr>
              <w:t>Gold's Gym / Dick's Sporting Goods</w:t>
            </w:r>
          </w:p>
        </w:tc>
      </w:tr>
      <w:tr>
        <w:trPr>
          <w:trHeight w:val="166"/>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20" w:type="dxa"/>
            <w:vAlign w:val="bottom"/>
          </w:tcPr>
          <w:p>
            <w:pPr>
              <w:ind w:left="80"/>
              <w:spacing w:after="0"/>
              <w:rPr>
                <w:sz w:val="20"/>
                <w:szCs w:val="20"/>
                <w:color w:val="auto"/>
              </w:rPr>
            </w:pPr>
            <w:r>
              <w:rPr>
                <w:rFonts w:ascii="Arial" w:cs="Arial" w:eastAsia="Arial" w:hAnsi="Arial"/>
                <w:sz w:val="13"/>
                <w:szCs w:val="13"/>
                <w:b w:val="1"/>
                <w:bCs w:val="1"/>
                <w:color w:val="auto"/>
              </w:rPr>
              <w:t>Total Other</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314,070</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color w:val="auto"/>
              </w:rPr>
              <w:t>159</w:t>
            </w:r>
          </w:p>
        </w:tc>
        <w:tc>
          <w:tcPr>
            <w:tcW w:w="10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1,901,000</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90%</w:t>
            </w: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0" w:type="dxa"/>
            <w:vAlign w:val="bottom"/>
          </w:tcPr>
          <w:p>
            <w:pPr>
              <w:spacing w:after="0"/>
              <w:rPr>
                <w:sz w:val="7"/>
                <w:szCs w:val="7"/>
                <w:color w:val="auto"/>
              </w:rPr>
            </w:pPr>
          </w:p>
        </w:tc>
      </w:tr>
      <w:tr>
        <w:trPr>
          <w:trHeight w:val="162"/>
        </w:trPr>
        <w:tc>
          <w:tcPr>
            <w:tcW w:w="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23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2000" w:type="dxa"/>
            <w:vAlign w:val="bottom"/>
            <w:tcBorders>
              <w:bottom w:val="single" w:sz="8" w:color="auto"/>
            </w:tcBorders>
            <w:shd w:val="clear" w:color="auto" w:fill="CCEEFF"/>
          </w:tcPr>
          <w:p>
            <w:pPr>
              <w:spacing w:after="0"/>
              <w:rPr>
                <w:sz w:val="14"/>
                <w:szCs w:val="14"/>
                <w:color w:val="auto"/>
              </w:rPr>
            </w:pPr>
          </w:p>
        </w:tc>
      </w:tr>
      <w:tr>
        <w:trPr>
          <w:trHeight w:val="167"/>
        </w:trPr>
        <w:tc>
          <w:tcPr>
            <w:tcW w:w="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3"/>
                <w:szCs w:val="13"/>
                <w:b w:val="1"/>
                <w:bCs w:val="1"/>
                <w:color w:val="auto"/>
              </w:rPr>
              <w:t>Grand Total</w:t>
            </w:r>
          </w:p>
        </w:tc>
        <w:tc>
          <w:tcPr>
            <w:tcW w:w="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b w:val="1"/>
                <w:bCs w:val="1"/>
                <w:color w:val="auto"/>
                <w:w w:val="87"/>
              </w:rPr>
              <w:t>$ 8,525,824</w:t>
            </w:r>
          </w:p>
        </w:tc>
        <w:tc>
          <w:tcPr>
            <w:tcW w:w="160" w:type="dxa"/>
            <w:vAlign w:val="bottom"/>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880" w:type="dxa"/>
            <w:vAlign w:val="bottom"/>
          </w:tcPr>
          <w:p>
            <w:pPr>
              <w:jc w:val="right"/>
              <w:ind w:right="99"/>
              <w:spacing w:after="0"/>
              <w:rPr>
                <w:sz w:val="20"/>
                <w:szCs w:val="20"/>
                <w:color w:val="auto"/>
              </w:rPr>
            </w:pPr>
            <w:r>
              <w:rPr>
                <w:rFonts w:ascii="Arial" w:cs="Arial" w:eastAsia="Arial" w:hAnsi="Arial"/>
                <w:sz w:val="13"/>
                <w:szCs w:val="13"/>
                <w:b w:val="1"/>
                <w:bCs w:val="1"/>
                <w:color w:val="auto"/>
              </w:rPr>
              <w:t>626,712</w:t>
            </w:r>
          </w:p>
        </w:tc>
        <w:tc>
          <w:tcPr>
            <w:tcW w:w="440" w:type="dxa"/>
            <w:vAlign w:val="bottom"/>
          </w:tcPr>
          <w:p>
            <w:pPr>
              <w:jc w:val="right"/>
              <w:ind w:right="37"/>
              <w:spacing w:after="0"/>
              <w:rPr>
                <w:sz w:val="20"/>
                <w:szCs w:val="20"/>
                <w:color w:val="auto"/>
              </w:rPr>
            </w:pPr>
            <w:r>
              <w:rPr>
                <w:rFonts w:ascii="Arial" w:cs="Arial" w:eastAsia="Arial" w:hAnsi="Arial"/>
                <w:sz w:val="13"/>
                <w:szCs w:val="13"/>
                <w:b w:val="1"/>
                <w:bCs w:val="1"/>
                <w:color w:val="auto"/>
                <w:w w:val="98"/>
              </w:rPr>
              <w:t>1,929</w:t>
            </w:r>
          </w:p>
        </w:tc>
        <w:tc>
          <w:tcPr>
            <w:tcW w:w="10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b w:val="1"/>
                <w:bCs w:val="1"/>
                <w:color w:val="auto"/>
                <w:w w:val="89"/>
              </w:rPr>
              <w:t>24,055,000</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rPr>
              <w:t>94%</w:t>
            </w:r>
          </w:p>
        </w:tc>
        <w:tc>
          <w:tcPr>
            <w:tcW w:w="680" w:type="dxa"/>
            <w:vAlign w:val="bottom"/>
          </w:tcPr>
          <w:p>
            <w:pPr>
              <w:jc w:val="right"/>
              <w:ind w:right="57"/>
              <w:spacing w:after="0"/>
              <w:rPr>
                <w:sz w:val="20"/>
                <w:szCs w:val="20"/>
                <w:color w:val="auto"/>
              </w:rPr>
            </w:pPr>
            <w:r>
              <w:rPr>
                <w:rFonts w:ascii="Arial" w:cs="Arial" w:eastAsia="Arial" w:hAnsi="Arial"/>
                <w:sz w:val="13"/>
                <w:szCs w:val="13"/>
                <w:b w:val="1"/>
                <w:bCs w:val="1"/>
                <w:color w:val="auto"/>
              </w:rPr>
              <w:t>2,794</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97"/>
        </w:trPr>
        <w:tc>
          <w:tcPr>
            <w:tcW w:w="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80"/>
        <w:spacing w:after="0"/>
        <w:rPr>
          <w:sz w:val="20"/>
          <w:szCs w:val="20"/>
          <w:color w:val="auto"/>
        </w:rPr>
      </w:pPr>
      <w:r>
        <w:rPr>
          <w:rFonts w:ascii="Arial" w:cs="Arial" w:eastAsia="Arial" w:hAnsi="Arial"/>
          <w:sz w:val="14"/>
          <w:szCs w:val="14"/>
          <w:u w:val="single" w:color="auto"/>
          <w:color w:val="auto"/>
        </w:rPr>
        <w:t>Notes:</w:t>
      </w:r>
    </w:p>
    <w:p>
      <w:pPr>
        <w:spacing w:after="0" w:line="49" w:lineRule="exact"/>
        <w:rPr>
          <w:sz w:val="20"/>
          <w:szCs w:val="20"/>
          <w:color w:val="auto"/>
        </w:rPr>
      </w:pPr>
    </w:p>
    <w:p>
      <w:pPr>
        <w:ind w:left="660" w:hanging="571"/>
        <w:spacing w:after="0"/>
        <w:tabs>
          <w:tab w:leader="none" w:pos="660" w:val="left"/>
        </w:tabs>
        <w:numPr>
          <w:ilvl w:val="0"/>
          <w:numId w:val="17"/>
        </w:numPr>
        <w:rPr>
          <w:rFonts w:ascii="Arial" w:cs="Arial" w:eastAsia="Arial" w:hAnsi="Arial"/>
          <w:sz w:val="14"/>
          <w:szCs w:val="14"/>
          <w:color w:val="auto"/>
        </w:rPr>
      </w:pPr>
      <w:r>
        <w:rPr>
          <w:rFonts w:ascii="Arial" w:cs="Arial" w:eastAsia="Arial" w:hAnsi="Arial"/>
          <w:sz w:val="13"/>
          <w:szCs w:val="13"/>
          <w:color w:val="auto"/>
        </w:rPr>
        <w:t>Includes "Finance lease right of use assets."</w:t>
      </w:r>
    </w:p>
    <w:p>
      <w:pPr>
        <w:spacing w:after="0" w:line="41" w:lineRule="exact"/>
        <w:rPr>
          <w:rFonts w:ascii="Arial" w:cs="Arial" w:eastAsia="Arial" w:hAnsi="Arial"/>
          <w:sz w:val="14"/>
          <w:szCs w:val="14"/>
          <w:color w:val="auto"/>
        </w:rPr>
      </w:pPr>
    </w:p>
    <w:p>
      <w:pPr>
        <w:ind w:left="660" w:right="620" w:hanging="571"/>
        <w:spacing w:after="0" w:line="256"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3"/>
          <w:szCs w:val="13"/>
          <w:color w:val="auto"/>
        </w:rPr>
        <w:t>The mortgage or finance lease liabilities differ from the total reported on the consolidated balance sheet due to the unamortized discount, premium, and/or debt issuance costs on certain mortgages payable.</w:t>
      </w:r>
    </w:p>
    <w:p>
      <w:pPr>
        <w:spacing w:after="0" w:line="19" w:lineRule="exact"/>
        <w:rPr>
          <w:rFonts w:ascii="Arial" w:cs="Arial" w:eastAsia="Arial" w:hAnsi="Arial"/>
          <w:sz w:val="14"/>
          <w:szCs w:val="14"/>
          <w:color w:val="auto"/>
        </w:rPr>
      </w:pPr>
    </w:p>
    <w:p>
      <w:pPr>
        <w:ind w:left="660" w:right="280" w:hanging="571"/>
        <w:spacing w:after="0" w:line="256"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3"/>
          <w:szCs w:val="13"/>
          <w:color w:val="auto"/>
        </w:rPr>
        <w:t>Represents the GLA and the percentage leased of the commercial portion of the property. Some of our properties include office space which is included in this square footage. Excludes newly created redevelopment square footage not yet in service, as well as residential and hotel square footage.</w:t>
      </w:r>
    </w:p>
    <w:p>
      <w:pPr>
        <w:spacing w:after="0" w:line="19" w:lineRule="exact"/>
        <w:rPr>
          <w:rFonts w:ascii="Arial" w:cs="Arial" w:eastAsia="Arial" w:hAnsi="Arial"/>
          <w:sz w:val="14"/>
          <w:szCs w:val="14"/>
          <w:color w:val="auto"/>
        </w:rPr>
      </w:pPr>
    </w:p>
    <w:p>
      <w:pPr>
        <w:ind w:left="660" w:hanging="571"/>
        <w:spacing w:after="0"/>
        <w:tabs>
          <w:tab w:leader="none" w:pos="660" w:val="left"/>
        </w:tabs>
        <w:numPr>
          <w:ilvl w:val="0"/>
          <w:numId w:val="17"/>
        </w:numPr>
        <w:rPr>
          <w:rFonts w:ascii="Arial" w:cs="Arial" w:eastAsia="Arial" w:hAnsi="Arial"/>
          <w:sz w:val="14"/>
          <w:szCs w:val="14"/>
          <w:color w:val="auto"/>
        </w:rPr>
      </w:pPr>
      <w:r>
        <w:rPr>
          <w:rFonts w:ascii="Arial" w:cs="Arial" w:eastAsia="Arial" w:hAnsi="Arial"/>
          <w:sz w:val="13"/>
          <w:szCs w:val="13"/>
          <w:color w:val="auto"/>
        </w:rPr>
        <w:t>The Trust has a controlling financial interest in this property.</w:t>
      </w:r>
    </w:p>
    <w:p>
      <w:pPr>
        <w:spacing w:after="0" w:line="41" w:lineRule="exact"/>
        <w:rPr>
          <w:rFonts w:ascii="Arial" w:cs="Arial" w:eastAsia="Arial" w:hAnsi="Arial"/>
          <w:sz w:val="14"/>
          <w:szCs w:val="14"/>
          <w:color w:val="auto"/>
        </w:rPr>
      </w:pPr>
    </w:p>
    <w:p>
      <w:pPr>
        <w:ind w:left="660" w:right="300" w:hanging="571"/>
        <w:spacing w:after="0" w:line="256"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3"/>
          <w:szCs w:val="13"/>
          <w:color w:val="auto"/>
        </w:rPr>
        <w:t>All or a portion of the property is owned in a "downREIT" partnership, of which a wholly owned subsidiary of the Trust is the sole general partner, with third party partners holding operating partnership units.</w:t>
      </w:r>
    </w:p>
    <w:p>
      <w:pPr>
        <w:spacing w:after="0" w:line="19" w:lineRule="exact"/>
        <w:rPr>
          <w:rFonts w:ascii="Arial" w:cs="Arial" w:eastAsia="Arial" w:hAnsi="Arial"/>
          <w:sz w:val="14"/>
          <w:szCs w:val="14"/>
          <w:color w:val="auto"/>
        </w:rPr>
      </w:pPr>
    </w:p>
    <w:p>
      <w:pPr>
        <w:ind w:left="660" w:hanging="571"/>
        <w:spacing w:after="0"/>
        <w:tabs>
          <w:tab w:leader="none" w:pos="6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Portion of property is currently under development. See further discussion in the Assembly Row and Pike &amp; Rose schedules and Summary of Redevelopment Opportunities for Freedom Plaza.</w:t>
      </w:r>
    </w:p>
    <w:p>
      <w:pPr>
        <w:spacing w:after="0" w:line="64" w:lineRule="exact"/>
        <w:rPr>
          <w:rFonts w:ascii="Arial" w:cs="Arial" w:eastAsia="Arial" w:hAnsi="Arial"/>
          <w:sz w:val="12"/>
          <w:szCs w:val="12"/>
          <w:color w:val="auto"/>
        </w:rPr>
      </w:pPr>
    </w:p>
    <w:p>
      <w:pPr>
        <w:ind w:left="660" w:hanging="571"/>
        <w:spacing w:after="0"/>
        <w:tabs>
          <w:tab w:leader="none" w:pos="660" w:val="left"/>
        </w:tabs>
        <w:numPr>
          <w:ilvl w:val="0"/>
          <w:numId w:val="17"/>
        </w:numPr>
        <w:rPr>
          <w:rFonts w:ascii="Arial" w:cs="Arial" w:eastAsia="Arial" w:hAnsi="Arial"/>
          <w:sz w:val="14"/>
          <w:szCs w:val="14"/>
          <w:color w:val="auto"/>
        </w:rPr>
      </w:pPr>
      <w:r>
        <w:rPr>
          <w:rFonts w:ascii="Arial" w:cs="Arial" w:eastAsia="Arial" w:hAnsi="Arial"/>
          <w:sz w:val="13"/>
          <w:szCs w:val="13"/>
          <w:color w:val="auto"/>
        </w:rPr>
        <w:t>All or a portion of the property is subject to finance lease liabilities.</w:t>
      </w:r>
    </w:p>
    <w:p>
      <w:pPr>
        <w:spacing w:after="0" w:line="41" w:lineRule="exact"/>
        <w:rPr>
          <w:rFonts w:ascii="Arial" w:cs="Arial" w:eastAsia="Arial" w:hAnsi="Arial"/>
          <w:sz w:val="14"/>
          <w:szCs w:val="14"/>
          <w:color w:val="auto"/>
        </w:rPr>
      </w:pPr>
    </w:p>
    <w:p>
      <w:pPr>
        <w:ind w:left="660" w:hanging="571"/>
        <w:spacing w:after="0"/>
        <w:tabs>
          <w:tab w:leader="none" w:pos="660" w:val="left"/>
        </w:tabs>
        <w:numPr>
          <w:ilvl w:val="0"/>
          <w:numId w:val="17"/>
        </w:numPr>
        <w:rPr>
          <w:rFonts w:ascii="Arial" w:cs="Arial" w:eastAsia="Arial" w:hAnsi="Arial"/>
          <w:sz w:val="14"/>
          <w:szCs w:val="14"/>
          <w:color w:val="auto"/>
        </w:rPr>
      </w:pPr>
      <w:r>
        <w:rPr>
          <w:rFonts w:ascii="Arial" w:cs="Arial" w:eastAsia="Arial" w:hAnsi="Arial"/>
          <w:sz w:val="13"/>
          <w:szCs w:val="13"/>
          <w:color w:val="auto"/>
        </w:rPr>
        <w:t>On April 21, 2020, we sold a portion of this property for $16.1 million, which is included as "assets held for sale" on our consolidated balance sheet.</w:t>
      </w:r>
    </w:p>
    <w:p>
      <w:pPr>
        <w:spacing w:after="0" w:line="41" w:lineRule="exact"/>
        <w:rPr>
          <w:rFonts w:ascii="Arial" w:cs="Arial" w:eastAsia="Arial" w:hAnsi="Arial"/>
          <w:sz w:val="14"/>
          <w:szCs w:val="14"/>
          <w:color w:val="auto"/>
        </w:rPr>
      </w:pPr>
    </w:p>
    <w:p>
      <w:pPr>
        <w:ind w:left="660" w:hanging="571"/>
        <w:spacing w:after="0"/>
        <w:tabs>
          <w:tab w:leader="none" w:pos="660" w:val="left"/>
        </w:tabs>
        <w:numPr>
          <w:ilvl w:val="0"/>
          <w:numId w:val="17"/>
        </w:numPr>
        <w:rPr>
          <w:rFonts w:ascii="Arial" w:cs="Arial" w:eastAsia="Arial" w:hAnsi="Arial"/>
          <w:sz w:val="14"/>
          <w:szCs w:val="14"/>
          <w:color w:val="auto"/>
        </w:rPr>
      </w:pPr>
      <w:r>
        <w:rPr>
          <w:rFonts w:ascii="Arial" w:cs="Arial" w:eastAsia="Arial" w:hAnsi="Arial"/>
          <w:sz w:val="13"/>
          <w:szCs w:val="13"/>
          <w:color w:val="auto"/>
        </w:rPr>
        <w:t>This property includes 39 buildings primarily along Washington Street and 14th Street in Hoboken, New Jersey.</w:t>
      </w:r>
    </w:p>
    <w:p>
      <w:pPr>
        <w:spacing w:after="0" w:line="41" w:lineRule="exact"/>
        <w:rPr>
          <w:rFonts w:ascii="Arial" w:cs="Arial" w:eastAsia="Arial" w:hAnsi="Arial"/>
          <w:sz w:val="14"/>
          <w:szCs w:val="14"/>
          <w:color w:val="auto"/>
        </w:rPr>
      </w:pPr>
    </w:p>
    <w:p>
      <w:pPr>
        <w:ind w:left="660" w:hanging="571"/>
        <w:spacing w:after="0"/>
        <w:tabs>
          <w:tab w:leader="none" w:pos="660" w:val="left"/>
        </w:tabs>
        <w:numPr>
          <w:ilvl w:val="0"/>
          <w:numId w:val="17"/>
        </w:numPr>
        <w:rPr>
          <w:rFonts w:ascii="Arial" w:cs="Arial" w:eastAsia="Arial" w:hAnsi="Arial"/>
          <w:sz w:val="14"/>
          <w:szCs w:val="14"/>
          <w:color w:val="auto"/>
        </w:rPr>
      </w:pPr>
      <w:r>
        <w:rPr>
          <w:rFonts w:ascii="Arial" w:cs="Arial" w:eastAsia="Arial" w:hAnsi="Arial"/>
          <w:sz w:val="13"/>
          <w:szCs w:val="13"/>
          <w:color w:val="auto"/>
        </w:rPr>
        <w:t>This property includes interests in five buildings in addition to our initial acquisition.</w:t>
      </w:r>
    </w:p>
    <w:p>
      <w:pPr>
        <w:sectPr>
          <w:pgSz w:w="11900" w:h="16838" w:orient="portrait"/>
          <w:cols w:equalWidth="0" w:num="1">
            <w:col w:w="11240"/>
          </w:cols>
          <w:pgMar w:left="320" w:top="720" w:right="339" w:bottom="1440"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40"/>
          </w:cols>
          <w:pgMar w:left="320" w:top="720" w:right="339" w:bottom="1440" w:gutter="0" w:footer="0" w:header="0"/>
          <w:type w:val="continuous"/>
        </w:sectPr>
      </w:pPr>
    </w:p>
    <w:bookmarkStart w:id="26" w:name="page27"/>
    <w:bookmarkEnd w:id="26"/>
    <w:p>
      <w:pPr>
        <w:ind w:left="6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Retail Leasing Summary (1)</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March 31, 2020</w:t>
      </w:r>
    </w:p>
    <w:p>
      <w:pPr>
        <w:spacing w:after="0" w:line="266" w:lineRule="exact"/>
        <w:rPr>
          <w:sz w:val="20"/>
          <w:szCs w:val="20"/>
          <w:color w:val="auto"/>
        </w:rPr>
      </w:pPr>
    </w:p>
    <w:p>
      <w:pPr>
        <w:ind w:left="60"/>
        <w:spacing w:after="0"/>
        <w:rPr>
          <w:sz w:val="20"/>
          <w:szCs w:val="20"/>
          <w:color w:val="auto"/>
        </w:rPr>
      </w:pPr>
      <w:r>
        <w:rPr>
          <w:rFonts w:ascii="Arial" w:cs="Arial" w:eastAsia="Arial" w:hAnsi="Arial"/>
          <w:sz w:val="14"/>
          <w:szCs w:val="14"/>
          <w:b w:val="1"/>
          <w:bCs w:val="1"/>
          <w:u w:val="single" w:color="auto"/>
          <w:color w:val="auto"/>
        </w:rPr>
        <w:t>Total Lease Summary - Comparable (2)</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68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gridSpan w:val="3"/>
          </w:tcPr>
          <w:p>
            <w:pPr>
              <w:jc w:val="center"/>
              <w:ind w:right="200"/>
              <w:spacing w:after="0" w:line="122" w:lineRule="exact"/>
              <w:rPr>
                <w:sz w:val="20"/>
                <w:szCs w:val="20"/>
                <w:color w:val="auto"/>
              </w:rPr>
            </w:pPr>
            <w:r>
              <w:rPr>
                <w:rFonts w:ascii="Arial" w:cs="Arial" w:eastAsia="Arial" w:hAnsi="Arial"/>
                <w:sz w:val="11"/>
                <w:szCs w:val="11"/>
                <w:b w:val="1"/>
                <w:bCs w:val="1"/>
                <w:color w:val="auto"/>
                <w:w w:val="90"/>
              </w:rPr>
              <w:t>Number of</w:t>
            </w:r>
          </w:p>
        </w:tc>
        <w:tc>
          <w:tcPr>
            <w:tcW w:w="860" w:type="dxa"/>
            <w:vAlign w:val="bottom"/>
            <w:gridSpan w:val="3"/>
          </w:tcPr>
          <w:p>
            <w:pPr>
              <w:jc w:val="center"/>
              <w:ind w:right="160"/>
              <w:spacing w:after="0" w:line="122" w:lineRule="exact"/>
              <w:rPr>
                <w:sz w:val="20"/>
                <w:szCs w:val="20"/>
                <w:color w:val="auto"/>
              </w:rPr>
            </w:pPr>
            <w:r>
              <w:rPr>
                <w:rFonts w:ascii="Arial" w:cs="Arial" w:eastAsia="Arial" w:hAnsi="Arial"/>
                <w:sz w:val="11"/>
                <w:szCs w:val="11"/>
                <w:b w:val="1"/>
                <w:bCs w:val="1"/>
                <w:color w:val="auto"/>
                <w:w w:val="94"/>
              </w:rPr>
              <w:t>% of</w:t>
            </w: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2"/>
              </w:rPr>
              <w:t>Rent (4)</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7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8"/>
              </w:rPr>
              <w:t>Tenant</w:t>
            </w:r>
          </w:p>
        </w:tc>
        <w:tc>
          <w:tcPr>
            <w:tcW w:w="86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0"/>
              </w:rPr>
              <w:t>Improvements &amp;</w:t>
            </w:r>
          </w:p>
        </w:tc>
        <w:tc>
          <w:tcPr>
            <w:tcW w:w="680" w:type="dxa"/>
            <w:vAlign w:val="bottom"/>
          </w:tcPr>
          <w:p>
            <w:pPr>
              <w:spacing w:after="0"/>
              <w:rPr>
                <w:sz w:val="10"/>
                <w:szCs w:val="10"/>
                <w:color w:val="auto"/>
              </w:rPr>
            </w:pPr>
          </w:p>
        </w:tc>
      </w:tr>
      <w:tr>
        <w:trPr>
          <w:trHeight w:val="121"/>
        </w:trPr>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gridSpan w:val="3"/>
          </w:tcPr>
          <w:p>
            <w:pPr>
              <w:jc w:val="center"/>
              <w:ind w:right="200"/>
              <w:spacing w:after="0" w:line="122" w:lineRule="exact"/>
              <w:rPr>
                <w:sz w:val="20"/>
                <w:szCs w:val="20"/>
                <w:color w:val="auto"/>
              </w:rPr>
            </w:pPr>
            <w:r>
              <w:rPr>
                <w:rFonts w:ascii="Arial" w:cs="Arial" w:eastAsia="Arial" w:hAnsi="Arial"/>
                <w:sz w:val="11"/>
                <w:szCs w:val="11"/>
                <w:b w:val="1"/>
                <w:bCs w:val="1"/>
                <w:color w:val="auto"/>
                <w:w w:val="80"/>
              </w:rPr>
              <w:t>Leases</w:t>
            </w:r>
          </w:p>
        </w:tc>
        <w:tc>
          <w:tcPr>
            <w:tcW w:w="860" w:type="dxa"/>
            <w:vAlign w:val="bottom"/>
            <w:gridSpan w:val="3"/>
          </w:tcPr>
          <w:p>
            <w:pPr>
              <w:jc w:val="center"/>
              <w:ind w:right="160"/>
              <w:spacing w:after="0" w:line="122" w:lineRule="exact"/>
              <w:rPr>
                <w:sz w:val="20"/>
                <w:szCs w:val="20"/>
                <w:color w:val="auto"/>
              </w:rPr>
            </w:pPr>
            <w:r>
              <w:rPr>
                <w:rFonts w:ascii="Arial" w:cs="Arial" w:eastAsia="Arial" w:hAnsi="Arial"/>
                <w:sz w:val="11"/>
                <w:szCs w:val="11"/>
                <w:b w:val="1"/>
                <w:bCs w:val="1"/>
                <w:color w:val="auto"/>
                <w:w w:val="91"/>
              </w:rPr>
              <w:t>Comparable</w:t>
            </w: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9"/>
              </w:rPr>
              <w:t>Per Sq.</w:t>
            </w:r>
          </w:p>
        </w:tc>
        <w:tc>
          <w:tcPr>
            <w:tcW w:w="98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92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Increase Over</w:t>
            </w:r>
          </w:p>
        </w:tc>
        <w:tc>
          <w:tcPr>
            <w:tcW w:w="7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0"/>
              </w:rPr>
              <w:t>Improvements &amp;</w:t>
            </w:r>
          </w:p>
        </w:tc>
        <w:tc>
          <w:tcPr>
            <w:tcW w:w="100" w:type="dxa"/>
            <w:vAlign w:val="bottom"/>
          </w:tcPr>
          <w:p>
            <w:pPr>
              <w:spacing w:after="0"/>
              <w:rPr>
                <w:sz w:val="10"/>
                <w:szCs w:val="10"/>
                <w:color w:val="auto"/>
              </w:rPr>
            </w:pPr>
          </w:p>
        </w:tc>
        <w:tc>
          <w:tcPr>
            <w:tcW w:w="760" w:type="dxa"/>
            <w:vAlign w:val="bottom"/>
          </w:tcPr>
          <w:p>
            <w:pPr>
              <w:jc w:val="center"/>
              <w:ind w:right="35"/>
              <w:spacing w:after="0" w:line="122" w:lineRule="exact"/>
              <w:rPr>
                <w:sz w:val="20"/>
                <w:szCs w:val="20"/>
                <w:color w:val="auto"/>
              </w:rPr>
            </w:pPr>
            <w:r>
              <w:rPr>
                <w:rFonts w:ascii="Arial" w:cs="Arial" w:eastAsia="Arial" w:hAnsi="Arial"/>
                <w:sz w:val="11"/>
                <w:szCs w:val="11"/>
                <w:b w:val="1"/>
                <w:bCs w:val="1"/>
                <w:color w:val="auto"/>
                <w:w w:val="88"/>
              </w:rPr>
              <w:t>Incentives Per</w:t>
            </w:r>
          </w:p>
        </w:tc>
        <w:tc>
          <w:tcPr>
            <w:tcW w:w="68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420" w:type="dxa"/>
            <w:vAlign w:val="bottom"/>
          </w:tcPr>
          <w:p>
            <w:pPr>
              <w:jc w:val="right"/>
              <w:ind w:right="471"/>
              <w:spacing w:after="0"/>
              <w:rPr>
                <w:sz w:val="20"/>
                <w:szCs w:val="20"/>
                <w:color w:val="auto"/>
              </w:rPr>
            </w:pPr>
            <w:r>
              <w:rPr>
                <w:rFonts w:ascii="Arial" w:cs="Arial" w:eastAsia="Arial" w:hAnsi="Arial"/>
                <w:sz w:val="11"/>
                <w:szCs w:val="11"/>
                <w:b w:val="1"/>
                <w:bCs w:val="1"/>
                <w:color w:val="auto"/>
              </w:rPr>
              <w:t>Quarter</w:t>
            </w:r>
          </w:p>
        </w:tc>
        <w:tc>
          <w:tcPr>
            <w:tcW w:w="240" w:type="dxa"/>
            <w:vAlign w:val="bottom"/>
          </w:tcPr>
          <w:p>
            <w:pPr>
              <w:spacing w:after="0"/>
              <w:rPr>
                <w:sz w:val="12"/>
                <w:szCs w:val="12"/>
                <w:color w:val="auto"/>
              </w:rPr>
            </w:pPr>
          </w:p>
        </w:tc>
        <w:tc>
          <w:tcPr>
            <w:tcW w:w="74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81"/>
              </w:rPr>
              <w:t>Signed</w:t>
            </w:r>
          </w:p>
        </w:tc>
        <w:tc>
          <w:tcPr>
            <w:tcW w:w="860" w:type="dxa"/>
            <w:vAlign w:val="bottom"/>
            <w:gridSpan w:val="3"/>
          </w:tcPr>
          <w:p>
            <w:pPr>
              <w:jc w:val="center"/>
              <w:ind w:right="180"/>
              <w:spacing w:after="0"/>
              <w:rPr>
                <w:sz w:val="20"/>
                <w:szCs w:val="20"/>
                <w:color w:val="auto"/>
              </w:rPr>
            </w:pPr>
            <w:r>
              <w:rPr>
                <w:rFonts w:ascii="Arial" w:cs="Arial" w:eastAsia="Arial" w:hAnsi="Arial"/>
                <w:sz w:val="11"/>
                <w:szCs w:val="11"/>
                <w:b w:val="1"/>
                <w:bCs w:val="1"/>
                <w:color w:val="auto"/>
                <w:w w:val="83"/>
              </w:rPr>
              <w:t>Leases Signed</w:t>
            </w:r>
          </w:p>
        </w:tc>
        <w:tc>
          <w:tcPr>
            <w:tcW w:w="980" w:type="dxa"/>
            <w:vAlign w:val="bottom"/>
            <w:gridSpan w:val="3"/>
          </w:tcPr>
          <w:p>
            <w:pPr>
              <w:jc w:val="right"/>
              <w:ind w:right="26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Sq. Ft.</w:t>
            </w:r>
          </w:p>
        </w:tc>
        <w:tc>
          <w:tcPr>
            <w:tcW w:w="6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Ft.</w:t>
            </w:r>
          </w:p>
        </w:tc>
        <w:tc>
          <w:tcPr>
            <w:tcW w:w="12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in Rent</w:t>
            </w:r>
          </w:p>
        </w:tc>
        <w:tc>
          <w:tcPr>
            <w:tcW w:w="10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Prior Rent</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760" w:type="dxa"/>
            <w:vAlign w:val="bottom"/>
          </w:tcPr>
          <w:p>
            <w:pPr>
              <w:jc w:val="center"/>
              <w:ind w:right="35"/>
              <w:spacing w:after="0"/>
              <w:rPr>
                <w:sz w:val="20"/>
                <w:szCs w:val="20"/>
                <w:color w:val="auto"/>
              </w:rPr>
            </w:pPr>
            <w:r>
              <w:rPr>
                <w:rFonts w:ascii="Arial" w:cs="Arial" w:eastAsia="Arial" w:hAnsi="Arial"/>
                <w:sz w:val="11"/>
                <w:szCs w:val="11"/>
                <w:b w:val="1"/>
                <w:bCs w:val="1"/>
                <w:color w:val="auto"/>
                <w:w w:val="89"/>
              </w:rPr>
              <w:t>Sq. Ft.</w:t>
            </w:r>
          </w:p>
        </w:tc>
        <w:tc>
          <w:tcPr>
            <w:tcW w:w="68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2020</w:t>
            </w:r>
          </w:p>
        </w:tc>
        <w:tc>
          <w:tcPr>
            <w:tcW w:w="8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466,453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26.78</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w w:val="93"/>
              </w:rPr>
              <w:t>$25.58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559,471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14,633,657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31.37</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(7) (10)</w:t>
            </w:r>
          </w:p>
        </w:tc>
      </w:tr>
      <w:tr>
        <w:trPr>
          <w:trHeight w:val="264"/>
        </w:trPr>
        <w:tc>
          <w:tcPr>
            <w:tcW w:w="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4th Quarter 2019</w:t>
            </w:r>
          </w:p>
        </w:tc>
        <w:tc>
          <w:tcPr>
            <w:tcW w:w="800" w:type="dxa"/>
            <w:vAlign w:val="bottom"/>
            <w:gridSpan w:val="2"/>
          </w:tcPr>
          <w:p>
            <w:pPr>
              <w:jc w:val="right"/>
              <w:ind w:right="59"/>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461,952</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3"/>
              <w:spacing w:after="0"/>
              <w:rPr>
                <w:sz w:val="20"/>
                <w:szCs w:val="20"/>
                <w:color w:val="auto"/>
              </w:rPr>
            </w:pPr>
            <w:r>
              <w:rPr>
                <w:rFonts w:ascii="Arial" w:cs="Arial" w:eastAsia="Arial" w:hAnsi="Arial"/>
                <w:sz w:val="14"/>
                <w:szCs w:val="14"/>
                <w:color w:val="auto"/>
              </w:rPr>
              <w:t>37.78</w:t>
            </w:r>
          </w:p>
        </w:tc>
        <w:tc>
          <w:tcPr>
            <w:tcW w:w="120" w:type="dxa"/>
            <w:vAlign w:val="bottom"/>
          </w:tcPr>
          <w:p>
            <w:pPr>
              <w:spacing w:after="0"/>
              <w:rPr>
                <w:sz w:val="22"/>
                <w:szCs w:val="22"/>
                <w:color w:val="auto"/>
              </w:rPr>
            </w:pPr>
          </w:p>
        </w:tc>
        <w:tc>
          <w:tcPr>
            <w:tcW w:w="540" w:type="dxa"/>
            <w:vAlign w:val="bottom"/>
          </w:tcPr>
          <w:p>
            <w:pPr>
              <w:jc w:val="right"/>
              <w:ind w:right="56"/>
              <w:spacing w:after="0"/>
              <w:rPr>
                <w:sz w:val="20"/>
                <w:szCs w:val="20"/>
                <w:color w:val="auto"/>
              </w:rPr>
            </w:pPr>
            <w:r>
              <w:rPr>
                <w:rFonts w:ascii="Arial" w:cs="Arial" w:eastAsia="Arial" w:hAnsi="Arial"/>
                <w:sz w:val="14"/>
                <w:szCs w:val="14"/>
                <w:color w:val="auto"/>
                <w:w w:val="93"/>
              </w:rPr>
              <w:t>$35.41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1"/>
              <w:spacing w:after="0"/>
              <w:rPr>
                <w:sz w:val="20"/>
                <w:szCs w:val="20"/>
                <w:color w:val="auto"/>
              </w:rPr>
            </w:pPr>
            <w:r>
              <w:rPr>
                <w:rFonts w:ascii="Arial" w:cs="Arial" w:eastAsia="Arial" w:hAnsi="Arial"/>
                <w:sz w:val="14"/>
                <w:szCs w:val="14"/>
                <w:color w:val="auto"/>
                <w:w w:val="99"/>
              </w:rPr>
              <w:t>1,091,731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640" w:type="dxa"/>
            <w:vAlign w:val="bottom"/>
          </w:tcPr>
          <w:p>
            <w:pPr>
              <w:jc w:val="right"/>
              <w:ind w:right="56"/>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55"/>
              <w:spacing w:after="0"/>
              <w:rPr>
                <w:sz w:val="20"/>
                <w:szCs w:val="20"/>
                <w:color w:val="auto"/>
              </w:rPr>
            </w:pPr>
            <w:r>
              <w:rPr>
                <w:rFonts w:ascii="Arial" w:cs="Arial" w:eastAsia="Arial" w:hAnsi="Arial"/>
                <w:sz w:val="14"/>
                <w:szCs w:val="14"/>
                <w:color w:val="auto"/>
              </w:rPr>
              <w:t>18,521,400</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5"/>
              <w:spacing w:after="0"/>
              <w:rPr>
                <w:sz w:val="20"/>
                <w:szCs w:val="20"/>
                <w:color w:val="auto"/>
              </w:rPr>
            </w:pPr>
            <w:r>
              <w:rPr>
                <w:rFonts w:ascii="Arial" w:cs="Arial" w:eastAsia="Arial" w:hAnsi="Arial"/>
                <w:sz w:val="14"/>
                <w:szCs w:val="14"/>
                <w:color w:val="auto"/>
              </w:rPr>
              <w:t>40.09</w:t>
            </w:r>
          </w:p>
        </w:tc>
        <w:tc>
          <w:tcPr>
            <w:tcW w:w="680" w:type="dxa"/>
            <w:vAlign w:val="bottom"/>
          </w:tcPr>
          <w:p>
            <w:pPr>
              <w:ind w:left="40"/>
              <w:spacing w:after="0"/>
              <w:rPr>
                <w:sz w:val="20"/>
                <w:szCs w:val="20"/>
                <w:color w:val="auto"/>
              </w:rPr>
            </w:pPr>
            <w:r>
              <w:rPr>
                <w:rFonts w:ascii="Arial" w:cs="Arial" w:eastAsia="Arial" w:hAnsi="Arial"/>
                <w:sz w:val="14"/>
                <w:szCs w:val="14"/>
                <w:color w:val="auto"/>
              </w:rPr>
              <w:t>(7)</w:t>
            </w:r>
          </w:p>
        </w:tc>
      </w:tr>
      <w:tr>
        <w:trPr>
          <w:trHeight w:val="276"/>
        </w:trPr>
        <w:tc>
          <w:tcPr>
            <w:tcW w:w="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2019</w:t>
            </w:r>
          </w:p>
        </w:tc>
        <w:tc>
          <w:tcPr>
            <w:tcW w:w="8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468,643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38.93</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w w:val="93"/>
              </w:rPr>
              <w:t>$36.31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99"/>
              </w:rPr>
              <w:t>1,230,724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21,650,073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46.20</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(7)</w:t>
            </w:r>
          </w:p>
        </w:tc>
      </w:tr>
      <w:tr>
        <w:trPr>
          <w:trHeight w:val="264"/>
        </w:trPr>
        <w:tc>
          <w:tcPr>
            <w:tcW w:w="2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2nd Quarter 2019</w:t>
            </w:r>
          </w:p>
        </w:tc>
        <w:tc>
          <w:tcPr>
            <w:tcW w:w="24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113</w:t>
            </w:r>
          </w:p>
        </w:tc>
        <w:tc>
          <w:tcPr>
            <w:tcW w:w="12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378,756</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42.68</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w w:val="93"/>
              </w:rPr>
              <w:t>$39.75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99"/>
              </w:rPr>
              <w:t>1,109,393</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6.8</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12,545,948</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33.12</w:t>
            </w: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(7)</w:t>
            </w: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2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4"/>
                <w:szCs w:val="14"/>
                <w:color w:val="auto"/>
              </w:rPr>
              <w:t>383</w:t>
            </w:r>
          </w:p>
        </w:tc>
        <w:tc>
          <w:tcPr>
            <w:tcW w:w="1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1,775,804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36.24</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4"/>
                <w:szCs w:val="14"/>
                <w:color w:val="auto"/>
                <w:w w:val="93"/>
              </w:rPr>
              <w:t>$33.99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99"/>
              </w:rPr>
              <w:t>3,991,319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4"/>
                <w:szCs w:val="14"/>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67,351,078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37.93</w:t>
            </w:r>
          </w:p>
        </w:tc>
        <w:tc>
          <w:tcPr>
            <w:tcW w:w="68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4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3"/>
              </w:rPr>
              <w:t>New Lease Summary - Comparable (2)</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68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gridSpan w:val="3"/>
          </w:tcPr>
          <w:p>
            <w:pPr>
              <w:jc w:val="center"/>
              <w:ind w:right="200"/>
              <w:spacing w:after="0" w:line="122" w:lineRule="exact"/>
              <w:rPr>
                <w:sz w:val="20"/>
                <w:szCs w:val="20"/>
                <w:color w:val="auto"/>
              </w:rPr>
            </w:pPr>
            <w:r>
              <w:rPr>
                <w:rFonts w:ascii="Arial" w:cs="Arial" w:eastAsia="Arial" w:hAnsi="Arial"/>
                <w:sz w:val="11"/>
                <w:szCs w:val="11"/>
                <w:b w:val="1"/>
                <w:bCs w:val="1"/>
                <w:color w:val="auto"/>
                <w:w w:val="90"/>
              </w:rPr>
              <w:t>Number of</w:t>
            </w:r>
          </w:p>
        </w:tc>
        <w:tc>
          <w:tcPr>
            <w:tcW w:w="860" w:type="dxa"/>
            <w:vAlign w:val="bottom"/>
            <w:gridSpan w:val="3"/>
          </w:tcPr>
          <w:p>
            <w:pPr>
              <w:jc w:val="center"/>
              <w:ind w:right="160"/>
              <w:spacing w:after="0" w:line="122" w:lineRule="exact"/>
              <w:rPr>
                <w:sz w:val="20"/>
                <w:szCs w:val="20"/>
                <w:color w:val="auto"/>
              </w:rPr>
            </w:pPr>
            <w:r>
              <w:rPr>
                <w:rFonts w:ascii="Arial" w:cs="Arial" w:eastAsia="Arial" w:hAnsi="Arial"/>
                <w:sz w:val="11"/>
                <w:szCs w:val="11"/>
                <w:b w:val="1"/>
                <w:bCs w:val="1"/>
                <w:color w:val="auto"/>
                <w:w w:val="94"/>
              </w:rPr>
              <w:t>% of</w:t>
            </w: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2"/>
              </w:rPr>
              <w:t>Rent (4)</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7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8"/>
              </w:rPr>
              <w:t>Tenant</w:t>
            </w:r>
          </w:p>
        </w:tc>
        <w:tc>
          <w:tcPr>
            <w:tcW w:w="86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0"/>
              </w:rPr>
              <w:t>Improvements &amp;</w:t>
            </w:r>
          </w:p>
        </w:tc>
        <w:tc>
          <w:tcPr>
            <w:tcW w:w="68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gridSpan w:val="3"/>
          </w:tcPr>
          <w:p>
            <w:pPr>
              <w:jc w:val="center"/>
              <w:ind w:right="200"/>
              <w:spacing w:after="0" w:line="122" w:lineRule="exact"/>
              <w:rPr>
                <w:sz w:val="20"/>
                <w:szCs w:val="20"/>
                <w:color w:val="auto"/>
              </w:rPr>
            </w:pPr>
            <w:r>
              <w:rPr>
                <w:rFonts w:ascii="Arial" w:cs="Arial" w:eastAsia="Arial" w:hAnsi="Arial"/>
                <w:sz w:val="11"/>
                <w:szCs w:val="11"/>
                <w:b w:val="1"/>
                <w:bCs w:val="1"/>
                <w:color w:val="auto"/>
                <w:w w:val="80"/>
              </w:rPr>
              <w:t>Leases</w:t>
            </w:r>
          </w:p>
        </w:tc>
        <w:tc>
          <w:tcPr>
            <w:tcW w:w="860" w:type="dxa"/>
            <w:vAlign w:val="bottom"/>
            <w:gridSpan w:val="3"/>
          </w:tcPr>
          <w:p>
            <w:pPr>
              <w:jc w:val="center"/>
              <w:ind w:right="160"/>
              <w:spacing w:after="0" w:line="122" w:lineRule="exact"/>
              <w:rPr>
                <w:sz w:val="20"/>
                <w:szCs w:val="20"/>
                <w:color w:val="auto"/>
              </w:rPr>
            </w:pPr>
            <w:r>
              <w:rPr>
                <w:rFonts w:ascii="Arial" w:cs="Arial" w:eastAsia="Arial" w:hAnsi="Arial"/>
                <w:sz w:val="11"/>
                <w:szCs w:val="11"/>
                <w:b w:val="1"/>
                <w:bCs w:val="1"/>
                <w:color w:val="auto"/>
                <w:w w:val="91"/>
              </w:rPr>
              <w:t>Comparable</w:t>
            </w: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9"/>
              </w:rPr>
              <w:t>Per Sq.</w:t>
            </w:r>
          </w:p>
        </w:tc>
        <w:tc>
          <w:tcPr>
            <w:tcW w:w="98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92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Increase Over</w:t>
            </w:r>
          </w:p>
        </w:tc>
        <w:tc>
          <w:tcPr>
            <w:tcW w:w="7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0"/>
              </w:rPr>
              <w:t>Improvements &amp;</w:t>
            </w:r>
          </w:p>
        </w:tc>
        <w:tc>
          <w:tcPr>
            <w:tcW w:w="100" w:type="dxa"/>
            <w:vAlign w:val="bottom"/>
          </w:tcPr>
          <w:p>
            <w:pPr>
              <w:spacing w:after="0"/>
              <w:rPr>
                <w:sz w:val="10"/>
                <w:szCs w:val="10"/>
                <w:color w:val="auto"/>
              </w:rPr>
            </w:pPr>
          </w:p>
        </w:tc>
        <w:tc>
          <w:tcPr>
            <w:tcW w:w="760" w:type="dxa"/>
            <w:vAlign w:val="bottom"/>
          </w:tcPr>
          <w:p>
            <w:pPr>
              <w:jc w:val="center"/>
              <w:ind w:right="35"/>
              <w:spacing w:after="0" w:line="122" w:lineRule="exact"/>
              <w:rPr>
                <w:sz w:val="20"/>
                <w:szCs w:val="20"/>
                <w:color w:val="auto"/>
              </w:rPr>
            </w:pPr>
            <w:r>
              <w:rPr>
                <w:rFonts w:ascii="Arial" w:cs="Arial" w:eastAsia="Arial" w:hAnsi="Arial"/>
                <w:sz w:val="11"/>
                <w:szCs w:val="11"/>
                <w:b w:val="1"/>
                <w:bCs w:val="1"/>
                <w:color w:val="auto"/>
                <w:w w:val="88"/>
              </w:rPr>
              <w:t>Incentives Per</w:t>
            </w:r>
          </w:p>
        </w:tc>
        <w:tc>
          <w:tcPr>
            <w:tcW w:w="68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420" w:type="dxa"/>
            <w:vAlign w:val="bottom"/>
          </w:tcPr>
          <w:p>
            <w:pPr>
              <w:jc w:val="right"/>
              <w:ind w:right="471"/>
              <w:spacing w:after="0"/>
              <w:rPr>
                <w:sz w:val="20"/>
                <w:szCs w:val="20"/>
                <w:color w:val="auto"/>
              </w:rPr>
            </w:pPr>
            <w:r>
              <w:rPr>
                <w:rFonts w:ascii="Arial" w:cs="Arial" w:eastAsia="Arial" w:hAnsi="Arial"/>
                <w:sz w:val="11"/>
                <w:szCs w:val="11"/>
                <w:b w:val="1"/>
                <w:bCs w:val="1"/>
                <w:color w:val="auto"/>
              </w:rPr>
              <w:t>Quarter</w:t>
            </w:r>
          </w:p>
        </w:tc>
        <w:tc>
          <w:tcPr>
            <w:tcW w:w="240" w:type="dxa"/>
            <w:vAlign w:val="bottom"/>
          </w:tcPr>
          <w:p>
            <w:pPr>
              <w:spacing w:after="0"/>
              <w:rPr>
                <w:sz w:val="12"/>
                <w:szCs w:val="12"/>
                <w:color w:val="auto"/>
              </w:rPr>
            </w:pPr>
          </w:p>
        </w:tc>
        <w:tc>
          <w:tcPr>
            <w:tcW w:w="74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81"/>
              </w:rPr>
              <w:t>Signed</w:t>
            </w:r>
          </w:p>
        </w:tc>
        <w:tc>
          <w:tcPr>
            <w:tcW w:w="860" w:type="dxa"/>
            <w:vAlign w:val="bottom"/>
            <w:gridSpan w:val="3"/>
          </w:tcPr>
          <w:p>
            <w:pPr>
              <w:jc w:val="center"/>
              <w:ind w:right="180"/>
              <w:spacing w:after="0"/>
              <w:rPr>
                <w:sz w:val="20"/>
                <w:szCs w:val="20"/>
                <w:color w:val="auto"/>
              </w:rPr>
            </w:pPr>
            <w:r>
              <w:rPr>
                <w:rFonts w:ascii="Arial" w:cs="Arial" w:eastAsia="Arial" w:hAnsi="Arial"/>
                <w:sz w:val="11"/>
                <w:szCs w:val="11"/>
                <w:b w:val="1"/>
                <w:bCs w:val="1"/>
                <w:color w:val="auto"/>
                <w:w w:val="83"/>
              </w:rPr>
              <w:t>Leases Signed</w:t>
            </w:r>
          </w:p>
        </w:tc>
        <w:tc>
          <w:tcPr>
            <w:tcW w:w="980" w:type="dxa"/>
            <w:vAlign w:val="bottom"/>
            <w:gridSpan w:val="3"/>
          </w:tcPr>
          <w:p>
            <w:pPr>
              <w:jc w:val="right"/>
              <w:ind w:right="26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Sq. Ft.</w:t>
            </w:r>
          </w:p>
        </w:tc>
        <w:tc>
          <w:tcPr>
            <w:tcW w:w="6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Ft.</w:t>
            </w:r>
          </w:p>
        </w:tc>
        <w:tc>
          <w:tcPr>
            <w:tcW w:w="12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in Rent</w:t>
            </w:r>
          </w:p>
        </w:tc>
        <w:tc>
          <w:tcPr>
            <w:tcW w:w="10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Prior Rent</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760" w:type="dxa"/>
            <w:vAlign w:val="bottom"/>
          </w:tcPr>
          <w:p>
            <w:pPr>
              <w:jc w:val="center"/>
              <w:ind w:right="35"/>
              <w:spacing w:after="0"/>
              <w:rPr>
                <w:sz w:val="20"/>
                <w:szCs w:val="20"/>
                <w:color w:val="auto"/>
              </w:rPr>
            </w:pPr>
            <w:r>
              <w:rPr>
                <w:rFonts w:ascii="Arial" w:cs="Arial" w:eastAsia="Arial" w:hAnsi="Arial"/>
                <w:sz w:val="11"/>
                <w:szCs w:val="11"/>
                <w:b w:val="1"/>
                <w:bCs w:val="1"/>
                <w:color w:val="auto"/>
                <w:w w:val="89"/>
              </w:rPr>
              <w:t>Sq. Ft.</w:t>
            </w:r>
          </w:p>
        </w:tc>
        <w:tc>
          <w:tcPr>
            <w:tcW w:w="68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2020</w:t>
            </w:r>
          </w:p>
        </w:tc>
        <w:tc>
          <w:tcPr>
            <w:tcW w:w="8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151,171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32.72</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w w:val="93"/>
              </w:rPr>
              <w:t>$30.44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345,686</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13,395,793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88.61</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(7) (10)</w:t>
            </w:r>
          </w:p>
        </w:tc>
      </w:tr>
      <w:tr>
        <w:trPr>
          <w:trHeight w:val="264"/>
        </w:trPr>
        <w:tc>
          <w:tcPr>
            <w:tcW w:w="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4th Quarter 2019</w:t>
            </w:r>
          </w:p>
        </w:tc>
        <w:tc>
          <w:tcPr>
            <w:tcW w:w="800" w:type="dxa"/>
            <w:vAlign w:val="bottom"/>
            <w:gridSpan w:val="2"/>
          </w:tcPr>
          <w:p>
            <w:pPr>
              <w:jc w:val="right"/>
              <w:ind w:right="59"/>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212,341</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3"/>
              <w:spacing w:after="0"/>
              <w:rPr>
                <w:sz w:val="20"/>
                <w:szCs w:val="20"/>
                <w:color w:val="auto"/>
              </w:rPr>
            </w:pPr>
            <w:r>
              <w:rPr>
                <w:rFonts w:ascii="Arial" w:cs="Arial" w:eastAsia="Arial" w:hAnsi="Arial"/>
                <w:sz w:val="14"/>
                <w:szCs w:val="14"/>
                <w:color w:val="auto"/>
              </w:rPr>
              <w:t>36.77</w:t>
            </w:r>
          </w:p>
        </w:tc>
        <w:tc>
          <w:tcPr>
            <w:tcW w:w="120" w:type="dxa"/>
            <w:vAlign w:val="bottom"/>
          </w:tcPr>
          <w:p>
            <w:pPr>
              <w:spacing w:after="0"/>
              <w:rPr>
                <w:sz w:val="22"/>
                <w:szCs w:val="22"/>
                <w:color w:val="auto"/>
              </w:rPr>
            </w:pPr>
          </w:p>
        </w:tc>
        <w:tc>
          <w:tcPr>
            <w:tcW w:w="540" w:type="dxa"/>
            <w:vAlign w:val="bottom"/>
          </w:tcPr>
          <w:p>
            <w:pPr>
              <w:jc w:val="right"/>
              <w:ind w:right="56"/>
              <w:spacing w:after="0"/>
              <w:rPr>
                <w:sz w:val="20"/>
                <w:szCs w:val="20"/>
                <w:color w:val="auto"/>
              </w:rPr>
            </w:pPr>
            <w:r>
              <w:rPr>
                <w:rFonts w:ascii="Arial" w:cs="Arial" w:eastAsia="Arial" w:hAnsi="Arial"/>
                <w:sz w:val="14"/>
                <w:szCs w:val="14"/>
                <w:color w:val="auto"/>
                <w:w w:val="93"/>
              </w:rPr>
              <w:t>$33.22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1"/>
              <w:spacing w:after="0"/>
              <w:rPr>
                <w:sz w:val="20"/>
                <w:szCs w:val="20"/>
                <w:color w:val="auto"/>
              </w:rPr>
            </w:pPr>
            <w:r>
              <w:rPr>
                <w:rFonts w:ascii="Arial" w:cs="Arial" w:eastAsia="Arial" w:hAnsi="Arial"/>
                <w:sz w:val="14"/>
                <w:szCs w:val="14"/>
                <w:color w:val="auto"/>
              </w:rPr>
              <w:t>753,437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640" w:type="dxa"/>
            <w:vAlign w:val="bottom"/>
          </w:tcPr>
          <w:p>
            <w:pPr>
              <w:jc w:val="right"/>
              <w:ind w:right="56"/>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55"/>
              <w:spacing w:after="0"/>
              <w:rPr>
                <w:sz w:val="20"/>
                <w:szCs w:val="20"/>
                <w:color w:val="auto"/>
              </w:rPr>
            </w:pPr>
            <w:r>
              <w:rPr>
                <w:rFonts w:ascii="Arial" w:cs="Arial" w:eastAsia="Arial" w:hAnsi="Arial"/>
                <w:sz w:val="14"/>
                <w:szCs w:val="14"/>
                <w:color w:val="auto"/>
              </w:rPr>
              <w:t>17,786,164</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5"/>
              <w:spacing w:after="0"/>
              <w:rPr>
                <w:sz w:val="20"/>
                <w:szCs w:val="20"/>
                <w:color w:val="auto"/>
              </w:rPr>
            </w:pPr>
            <w:r>
              <w:rPr>
                <w:rFonts w:ascii="Arial" w:cs="Arial" w:eastAsia="Arial" w:hAnsi="Arial"/>
                <w:sz w:val="14"/>
                <w:szCs w:val="14"/>
                <w:color w:val="auto"/>
              </w:rPr>
              <w:t>83.76</w:t>
            </w:r>
          </w:p>
        </w:tc>
        <w:tc>
          <w:tcPr>
            <w:tcW w:w="680" w:type="dxa"/>
            <w:vAlign w:val="bottom"/>
          </w:tcPr>
          <w:p>
            <w:pPr>
              <w:ind w:left="40"/>
              <w:spacing w:after="0"/>
              <w:rPr>
                <w:sz w:val="20"/>
                <w:szCs w:val="20"/>
                <w:color w:val="auto"/>
              </w:rPr>
            </w:pPr>
            <w:r>
              <w:rPr>
                <w:rFonts w:ascii="Arial" w:cs="Arial" w:eastAsia="Arial" w:hAnsi="Arial"/>
                <w:sz w:val="14"/>
                <w:szCs w:val="14"/>
                <w:color w:val="auto"/>
              </w:rPr>
              <w:t>(7)</w:t>
            </w:r>
          </w:p>
        </w:tc>
      </w:tr>
      <w:tr>
        <w:trPr>
          <w:trHeight w:val="276"/>
        </w:trPr>
        <w:tc>
          <w:tcPr>
            <w:tcW w:w="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2019</w:t>
            </w:r>
          </w:p>
        </w:tc>
        <w:tc>
          <w:tcPr>
            <w:tcW w:w="8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316,916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32.74</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w w:val="93"/>
              </w:rPr>
              <w:t>$30.85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598,230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21,167,910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66.79</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(7)</w:t>
            </w:r>
          </w:p>
        </w:tc>
      </w:tr>
      <w:tr>
        <w:trPr>
          <w:trHeight w:val="264"/>
        </w:trPr>
        <w:tc>
          <w:tcPr>
            <w:tcW w:w="2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2nd Quarter 2019</w:t>
            </w:r>
          </w:p>
        </w:tc>
        <w:tc>
          <w:tcPr>
            <w:tcW w:w="24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49</w:t>
            </w:r>
          </w:p>
        </w:tc>
        <w:tc>
          <w:tcPr>
            <w:tcW w:w="12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135,840</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43.21</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w w:val="93"/>
              </w:rPr>
              <w:t>$37.07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833,706</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8.7</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12,059,702</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88.78</w:t>
            </w: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(7)</w:t>
            </w:r>
          </w:p>
        </w:tc>
      </w:tr>
      <w:tr>
        <w:trPr>
          <w:trHeight w:val="269"/>
        </w:trPr>
        <w:tc>
          <w:tcPr>
            <w:tcW w:w="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2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4"/>
                <w:szCs w:val="14"/>
                <w:color w:val="auto"/>
              </w:rPr>
              <w:t>175</w:t>
            </w:r>
          </w:p>
        </w:tc>
        <w:tc>
          <w:tcPr>
            <w:tcW w:w="1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816,268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35.53</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4"/>
                <w:szCs w:val="14"/>
                <w:color w:val="auto"/>
                <w:w w:val="93"/>
              </w:rPr>
              <w:t>$32.43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99"/>
              </w:rPr>
              <w:t>2,531,059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4"/>
                <w:szCs w:val="14"/>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64,409,569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78.91</w:t>
            </w:r>
          </w:p>
        </w:tc>
        <w:tc>
          <w:tcPr>
            <w:tcW w:w="68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260" w:type="dxa"/>
            <w:vAlign w:val="bottom"/>
            <w:gridSpan w:val="8"/>
          </w:tcPr>
          <w:p>
            <w:pPr>
              <w:spacing w:after="0"/>
              <w:rPr>
                <w:sz w:val="20"/>
                <w:szCs w:val="20"/>
                <w:color w:val="auto"/>
              </w:rPr>
            </w:pPr>
            <w:r>
              <w:rPr>
                <w:rFonts w:ascii="Arial" w:cs="Arial" w:eastAsia="Arial" w:hAnsi="Arial"/>
                <w:sz w:val="14"/>
                <w:szCs w:val="14"/>
                <w:b w:val="1"/>
                <w:bCs w:val="1"/>
                <w:color w:val="auto"/>
              </w:rPr>
              <w:t>Renewal Lease Summary - Comparable (2) (8)</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680" w:type="dxa"/>
            <w:vAlign w:val="bottom"/>
          </w:tcPr>
          <w:p>
            <w:pPr>
              <w:spacing w:after="0"/>
              <w:rPr>
                <w:sz w:val="13"/>
                <w:szCs w:val="13"/>
                <w:color w:val="auto"/>
              </w:rPr>
            </w:pPr>
          </w:p>
        </w:tc>
      </w:tr>
      <w:tr>
        <w:trPr>
          <w:trHeight w:val="121"/>
        </w:trPr>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gridSpan w:val="3"/>
          </w:tcPr>
          <w:p>
            <w:pPr>
              <w:jc w:val="center"/>
              <w:ind w:right="200"/>
              <w:spacing w:after="0" w:line="122" w:lineRule="exact"/>
              <w:rPr>
                <w:sz w:val="20"/>
                <w:szCs w:val="20"/>
                <w:color w:val="auto"/>
              </w:rPr>
            </w:pPr>
            <w:r>
              <w:rPr>
                <w:rFonts w:ascii="Arial" w:cs="Arial" w:eastAsia="Arial" w:hAnsi="Arial"/>
                <w:sz w:val="11"/>
                <w:szCs w:val="11"/>
                <w:b w:val="1"/>
                <w:bCs w:val="1"/>
                <w:color w:val="auto"/>
                <w:w w:val="90"/>
              </w:rPr>
              <w:t>Number of</w:t>
            </w:r>
          </w:p>
        </w:tc>
        <w:tc>
          <w:tcPr>
            <w:tcW w:w="860" w:type="dxa"/>
            <w:vAlign w:val="bottom"/>
            <w:gridSpan w:val="3"/>
          </w:tcPr>
          <w:p>
            <w:pPr>
              <w:jc w:val="center"/>
              <w:ind w:right="160"/>
              <w:spacing w:after="0" w:line="122" w:lineRule="exact"/>
              <w:rPr>
                <w:sz w:val="20"/>
                <w:szCs w:val="20"/>
                <w:color w:val="auto"/>
              </w:rPr>
            </w:pPr>
            <w:r>
              <w:rPr>
                <w:rFonts w:ascii="Arial" w:cs="Arial" w:eastAsia="Arial" w:hAnsi="Arial"/>
                <w:sz w:val="11"/>
                <w:szCs w:val="11"/>
                <w:b w:val="1"/>
                <w:bCs w:val="1"/>
                <w:color w:val="auto"/>
                <w:w w:val="94"/>
              </w:rPr>
              <w:t>% of</w:t>
            </w: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2"/>
              </w:rPr>
              <w:t>Rent (4)</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7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8"/>
              </w:rPr>
              <w:t>Tenant</w:t>
            </w:r>
          </w:p>
        </w:tc>
        <w:tc>
          <w:tcPr>
            <w:tcW w:w="86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0"/>
              </w:rPr>
              <w:t>Improvements &amp;</w:t>
            </w:r>
          </w:p>
        </w:tc>
        <w:tc>
          <w:tcPr>
            <w:tcW w:w="68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gridSpan w:val="3"/>
          </w:tcPr>
          <w:p>
            <w:pPr>
              <w:jc w:val="center"/>
              <w:ind w:right="200"/>
              <w:spacing w:after="0" w:line="122" w:lineRule="exact"/>
              <w:rPr>
                <w:sz w:val="20"/>
                <w:szCs w:val="20"/>
                <w:color w:val="auto"/>
              </w:rPr>
            </w:pPr>
            <w:r>
              <w:rPr>
                <w:rFonts w:ascii="Arial" w:cs="Arial" w:eastAsia="Arial" w:hAnsi="Arial"/>
                <w:sz w:val="11"/>
                <w:szCs w:val="11"/>
                <w:b w:val="1"/>
                <w:bCs w:val="1"/>
                <w:color w:val="auto"/>
                <w:w w:val="80"/>
              </w:rPr>
              <w:t>Leases</w:t>
            </w:r>
          </w:p>
        </w:tc>
        <w:tc>
          <w:tcPr>
            <w:tcW w:w="860" w:type="dxa"/>
            <w:vAlign w:val="bottom"/>
            <w:gridSpan w:val="3"/>
          </w:tcPr>
          <w:p>
            <w:pPr>
              <w:jc w:val="center"/>
              <w:ind w:right="160"/>
              <w:spacing w:after="0" w:line="122" w:lineRule="exact"/>
              <w:rPr>
                <w:sz w:val="20"/>
                <w:szCs w:val="20"/>
                <w:color w:val="auto"/>
              </w:rPr>
            </w:pPr>
            <w:r>
              <w:rPr>
                <w:rFonts w:ascii="Arial" w:cs="Arial" w:eastAsia="Arial" w:hAnsi="Arial"/>
                <w:sz w:val="11"/>
                <w:szCs w:val="11"/>
                <w:b w:val="1"/>
                <w:bCs w:val="1"/>
                <w:color w:val="auto"/>
                <w:w w:val="91"/>
              </w:rPr>
              <w:t>Comparable</w:t>
            </w: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9"/>
              </w:rPr>
              <w:t>Per Sq.</w:t>
            </w:r>
          </w:p>
        </w:tc>
        <w:tc>
          <w:tcPr>
            <w:tcW w:w="98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92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Increase Over</w:t>
            </w:r>
          </w:p>
        </w:tc>
        <w:tc>
          <w:tcPr>
            <w:tcW w:w="7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0"/>
              </w:rPr>
              <w:t>Improvements &amp;</w:t>
            </w:r>
          </w:p>
        </w:tc>
        <w:tc>
          <w:tcPr>
            <w:tcW w:w="100" w:type="dxa"/>
            <w:vAlign w:val="bottom"/>
          </w:tcPr>
          <w:p>
            <w:pPr>
              <w:spacing w:after="0"/>
              <w:rPr>
                <w:sz w:val="10"/>
                <w:szCs w:val="10"/>
                <w:color w:val="auto"/>
              </w:rPr>
            </w:pPr>
          </w:p>
        </w:tc>
        <w:tc>
          <w:tcPr>
            <w:tcW w:w="760" w:type="dxa"/>
            <w:vAlign w:val="bottom"/>
          </w:tcPr>
          <w:p>
            <w:pPr>
              <w:jc w:val="center"/>
              <w:ind w:right="35"/>
              <w:spacing w:after="0" w:line="122" w:lineRule="exact"/>
              <w:rPr>
                <w:sz w:val="20"/>
                <w:szCs w:val="20"/>
                <w:color w:val="auto"/>
              </w:rPr>
            </w:pPr>
            <w:r>
              <w:rPr>
                <w:rFonts w:ascii="Arial" w:cs="Arial" w:eastAsia="Arial" w:hAnsi="Arial"/>
                <w:sz w:val="11"/>
                <w:szCs w:val="11"/>
                <w:b w:val="1"/>
                <w:bCs w:val="1"/>
                <w:color w:val="auto"/>
                <w:w w:val="88"/>
              </w:rPr>
              <w:t>Incentives Per</w:t>
            </w:r>
          </w:p>
        </w:tc>
        <w:tc>
          <w:tcPr>
            <w:tcW w:w="68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420" w:type="dxa"/>
            <w:vAlign w:val="bottom"/>
          </w:tcPr>
          <w:p>
            <w:pPr>
              <w:jc w:val="right"/>
              <w:ind w:right="471"/>
              <w:spacing w:after="0"/>
              <w:rPr>
                <w:sz w:val="20"/>
                <w:szCs w:val="20"/>
                <w:color w:val="auto"/>
              </w:rPr>
            </w:pPr>
            <w:r>
              <w:rPr>
                <w:rFonts w:ascii="Arial" w:cs="Arial" w:eastAsia="Arial" w:hAnsi="Arial"/>
                <w:sz w:val="11"/>
                <w:szCs w:val="11"/>
                <w:b w:val="1"/>
                <w:bCs w:val="1"/>
                <w:color w:val="auto"/>
              </w:rPr>
              <w:t>Quarter</w:t>
            </w:r>
          </w:p>
        </w:tc>
        <w:tc>
          <w:tcPr>
            <w:tcW w:w="240" w:type="dxa"/>
            <w:vAlign w:val="bottom"/>
          </w:tcPr>
          <w:p>
            <w:pPr>
              <w:spacing w:after="0"/>
              <w:rPr>
                <w:sz w:val="12"/>
                <w:szCs w:val="12"/>
                <w:color w:val="auto"/>
              </w:rPr>
            </w:pPr>
          </w:p>
        </w:tc>
        <w:tc>
          <w:tcPr>
            <w:tcW w:w="74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81"/>
              </w:rPr>
              <w:t>Signed</w:t>
            </w:r>
          </w:p>
        </w:tc>
        <w:tc>
          <w:tcPr>
            <w:tcW w:w="860" w:type="dxa"/>
            <w:vAlign w:val="bottom"/>
            <w:gridSpan w:val="3"/>
          </w:tcPr>
          <w:p>
            <w:pPr>
              <w:jc w:val="center"/>
              <w:ind w:right="180"/>
              <w:spacing w:after="0"/>
              <w:rPr>
                <w:sz w:val="20"/>
                <w:szCs w:val="20"/>
                <w:color w:val="auto"/>
              </w:rPr>
            </w:pPr>
            <w:r>
              <w:rPr>
                <w:rFonts w:ascii="Arial" w:cs="Arial" w:eastAsia="Arial" w:hAnsi="Arial"/>
                <w:sz w:val="11"/>
                <w:szCs w:val="11"/>
                <w:b w:val="1"/>
                <w:bCs w:val="1"/>
                <w:color w:val="auto"/>
                <w:w w:val="83"/>
              </w:rPr>
              <w:t>Leases Signed</w:t>
            </w:r>
          </w:p>
        </w:tc>
        <w:tc>
          <w:tcPr>
            <w:tcW w:w="980" w:type="dxa"/>
            <w:vAlign w:val="bottom"/>
            <w:gridSpan w:val="3"/>
          </w:tcPr>
          <w:p>
            <w:pPr>
              <w:jc w:val="right"/>
              <w:ind w:right="26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Sq. Ft.</w:t>
            </w:r>
          </w:p>
        </w:tc>
        <w:tc>
          <w:tcPr>
            <w:tcW w:w="6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Ft.</w:t>
            </w:r>
          </w:p>
        </w:tc>
        <w:tc>
          <w:tcPr>
            <w:tcW w:w="12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in Rent</w:t>
            </w:r>
          </w:p>
        </w:tc>
        <w:tc>
          <w:tcPr>
            <w:tcW w:w="10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Prior Rent</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760" w:type="dxa"/>
            <w:vAlign w:val="bottom"/>
          </w:tcPr>
          <w:p>
            <w:pPr>
              <w:jc w:val="center"/>
              <w:ind w:right="35"/>
              <w:spacing w:after="0"/>
              <w:rPr>
                <w:sz w:val="20"/>
                <w:szCs w:val="20"/>
                <w:color w:val="auto"/>
              </w:rPr>
            </w:pPr>
            <w:r>
              <w:rPr>
                <w:rFonts w:ascii="Arial" w:cs="Arial" w:eastAsia="Arial" w:hAnsi="Arial"/>
                <w:sz w:val="11"/>
                <w:szCs w:val="11"/>
                <w:b w:val="1"/>
                <w:bCs w:val="1"/>
                <w:color w:val="auto"/>
                <w:w w:val="89"/>
              </w:rPr>
              <w:t>Sq. Ft.</w:t>
            </w:r>
          </w:p>
        </w:tc>
        <w:tc>
          <w:tcPr>
            <w:tcW w:w="68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64"/>
        </w:trPr>
        <w:tc>
          <w:tcPr>
            <w:tcW w:w="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2020</w:t>
            </w:r>
          </w:p>
        </w:tc>
        <w:tc>
          <w:tcPr>
            <w:tcW w:w="8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315,282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23.93</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w w:val="93"/>
              </w:rPr>
              <w:t>$23.25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213,785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1,237,864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3.93</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w:t>
            </w:r>
          </w:p>
        </w:tc>
      </w:tr>
      <w:tr>
        <w:trPr>
          <w:trHeight w:val="264"/>
        </w:trPr>
        <w:tc>
          <w:tcPr>
            <w:tcW w:w="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4th Quarter 2019</w:t>
            </w:r>
          </w:p>
        </w:tc>
        <w:tc>
          <w:tcPr>
            <w:tcW w:w="800" w:type="dxa"/>
            <w:vAlign w:val="bottom"/>
            <w:gridSpan w:val="2"/>
          </w:tcPr>
          <w:p>
            <w:pPr>
              <w:jc w:val="right"/>
              <w:ind w:right="59"/>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249,611</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3"/>
              <w:spacing w:after="0"/>
              <w:rPr>
                <w:sz w:val="20"/>
                <w:szCs w:val="20"/>
                <w:color w:val="auto"/>
              </w:rPr>
            </w:pPr>
            <w:r>
              <w:rPr>
                <w:rFonts w:ascii="Arial" w:cs="Arial" w:eastAsia="Arial" w:hAnsi="Arial"/>
                <w:sz w:val="14"/>
                <w:szCs w:val="14"/>
                <w:color w:val="auto"/>
              </w:rPr>
              <w:t>38.64</w:t>
            </w:r>
          </w:p>
        </w:tc>
        <w:tc>
          <w:tcPr>
            <w:tcW w:w="120" w:type="dxa"/>
            <w:vAlign w:val="bottom"/>
          </w:tcPr>
          <w:p>
            <w:pPr>
              <w:spacing w:after="0"/>
              <w:rPr>
                <w:sz w:val="22"/>
                <w:szCs w:val="22"/>
                <w:color w:val="auto"/>
              </w:rPr>
            </w:pPr>
          </w:p>
        </w:tc>
        <w:tc>
          <w:tcPr>
            <w:tcW w:w="540" w:type="dxa"/>
            <w:vAlign w:val="bottom"/>
          </w:tcPr>
          <w:p>
            <w:pPr>
              <w:jc w:val="right"/>
              <w:ind w:right="56"/>
              <w:spacing w:after="0"/>
              <w:rPr>
                <w:sz w:val="20"/>
                <w:szCs w:val="20"/>
                <w:color w:val="auto"/>
              </w:rPr>
            </w:pPr>
            <w:r>
              <w:rPr>
                <w:rFonts w:ascii="Arial" w:cs="Arial" w:eastAsia="Arial" w:hAnsi="Arial"/>
                <w:sz w:val="14"/>
                <w:szCs w:val="14"/>
                <w:color w:val="auto"/>
                <w:w w:val="93"/>
              </w:rPr>
              <w:t>$37.28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1"/>
              <w:spacing w:after="0"/>
              <w:rPr>
                <w:sz w:val="20"/>
                <w:szCs w:val="20"/>
                <w:color w:val="auto"/>
              </w:rPr>
            </w:pPr>
            <w:r>
              <w:rPr>
                <w:rFonts w:ascii="Arial" w:cs="Arial" w:eastAsia="Arial" w:hAnsi="Arial"/>
                <w:sz w:val="14"/>
                <w:szCs w:val="14"/>
                <w:color w:val="auto"/>
              </w:rPr>
              <w:t>338,294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640" w:type="dxa"/>
            <w:vAlign w:val="bottom"/>
          </w:tcPr>
          <w:p>
            <w:pPr>
              <w:jc w:val="right"/>
              <w:ind w:right="56"/>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55"/>
              <w:spacing w:after="0"/>
              <w:rPr>
                <w:sz w:val="20"/>
                <w:szCs w:val="20"/>
                <w:color w:val="auto"/>
              </w:rPr>
            </w:pPr>
            <w:r>
              <w:rPr>
                <w:rFonts w:ascii="Arial" w:cs="Arial" w:eastAsia="Arial" w:hAnsi="Arial"/>
                <w:sz w:val="14"/>
                <w:szCs w:val="14"/>
                <w:color w:val="auto"/>
              </w:rPr>
              <w:t>735,236</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5"/>
              <w:spacing w:after="0"/>
              <w:rPr>
                <w:sz w:val="20"/>
                <w:szCs w:val="20"/>
                <w:color w:val="auto"/>
              </w:rPr>
            </w:pPr>
            <w:r>
              <w:rPr>
                <w:rFonts w:ascii="Arial" w:cs="Arial" w:eastAsia="Arial" w:hAnsi="Arial"/>
                <w:sz w:val="14"/>
                <w:szCs w:val="14"/>
                <w:color w:val="auto"/>
              </w:rPr>
              <w:t>2.95</w:t>
            </w:r>
          </w:p>
        </w:tc>
        <w:tc>
          <w:tcPr>
            <w:tcW w:w="68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2019</w:t>
            </w:r>
          </w:p>
        </w:tc>
        <w:tc>
          <w:tcPr>
            <w:tcW w:w="8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151,727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51.87</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w w:val="93"/>
              </w:rPr>
              <w:t>$47.70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632,494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482,163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3.18</w:t>
            </w:r>
          </w:p>
        </w:tc>
        <w:tc>
          <w:tcPr>
            <w:tcW w:w="680" w:type="dxa"/>
            <w:vAlign w:val="bottom"/>
            <w:shd w:val="clear" w:color="auto" w:fill="CCEEFF"/>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2nd Quarter 2019</w:t>
            </w:r>
          </w:p>
        </w:tc>
        <w:tc>
          <w:tcPr>
            <w:tcW w:w="24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64</w:t>
            </w:r>
          </w:p>
        </w:tc>
        <w:tc>
          <w:tcPr>
            <w:tcW w:w="12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242,916</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42.38</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w w:val="93"/>
              </w:rPr>
              <w:t>$41.25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275,687</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486,246</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2.00</w:t>
            </w:r>
          </w:p>
        </w:tc>
        <w:tc>
          <w:tcPr>
            <w:tcW w:w="680" w:type="dxa"/>
            <w:vAlign w:val="bottom"/>
            <w:tcBorders>
              <w:bottom w:val="single" w:sz="8" w:color="auto"/>
            </w:tcBorders>
          </w:tcPr>
          <w:p>
            <w:pPr>
              <w:spacing w:after="0"/>
              <w:rPr>
                <w:sz w:val="22"/>
                <w:szCs w:val="2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4"/>
                <w:szCs w:val="14"/>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959,536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36.84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4"/>
                <w:szCs w:val="14"/>
                <w:color w:val="auto"/>
                <w:w w:val="93"/>
              </w:rPr>
              <w:t>$35.32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99"/>
              </w:rPr>
              <w:t>1,460,260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2,941,509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3.07</w:t>
            </w:r>
          </w:p>
        </w:tc>
        <w:tc>
          <w:tcPr>
            <w:tcW w:w="68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240" w:type="dxa"/>
            <w:vAlign w:val="bottom"/>
            <w:gridSpan w:val="11"/>
          </w:tcPr>
          <w:p>
            <w:pPr>
              <w:jc w:val="right"/>
              <w:ind w:right="260"/>
              <w:spacing w:after="0"/>
              <w:rPr>
                <w:sz w:val="20"/>
                <w:szCs w:val="20"/>
                <w:color w:val="auto"/>
              </w:rPr>
            </w:pPr>
            <w:r>
              <w:rPr>
                <w:rFonts w:ascii="Arial" w:cs="Arial" w:eastAsia="Arial" w:hAnsi="Arial"/>
                <w:sz w:val="14"/>
                <w:szCs w:val="14"/>
                <w:b w:val="1"/>
                <w:bCs w:val="1"/>
                <w:color w:val="auto"/>
                <w:w w:val="93"/>
              </w:rPr>
              <w:t>Total Lease Summary - Comparable and Non-comparable (2) (9)</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68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1"/>
              </w:rPr>
              <w:t>Number</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7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8"/>
              </w:rPr>
              <w:t>Tenant</w:t>
            </w:r>
          </w:p>
        </w:tc>
        <w:tc>
          <w:tcPr>
            <w:tcW w:w="86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0"/>
              </w:rPr>
              <w:t>Improvements &amp;</w:t>
            </w:r>
          </w:p>
        </w:tc>
        <w:tc>
          <w:tcPr>
            <w:tcW w:w="680" w:type="dxa"/>
            <w:vAlign w:val="bottom"/>
          </w:tcPr>
          <w:p>
            <w:pPr>
              <w:spacing w:after="0"/>
              <w:rPr>
                <w:sz w:val="10"/>
                <w:szCs w:val="10"/>
                <w:color w:val="auto"/>
              </w:rPr>
            </w:pPr>
          </w:p>
        </w:tc>
      </w:tr>
      <w:tr>
        <w:trPr>
          <w:trHeight w:val="121"/>
        </w:trPr>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2"/>
              </w:rPr>
              <w:t>of Leases</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tcPr>
          <w:p>
            <w:pPr>
              <w:jc w:val="center"/>
              <w:ind w:right="140"/>
              <w:spacing w:after="0" w:line="122" w:lineRule="exact"/>
              <w:rPr>
                <w:sz w:val="20"/>
                <w:szCs w:val="20"/>
                <w:color w:val="auto"/>
              </w:rPr>
            </w:pPr>
            <w:r>
              <w:rPr>
                <w:rFonts w:ascii="Arial" w:cs="Arial" w:eastAsia="Arial" w:hAnsi="Arial"/>
                <w:sz w:val="11"/>
                <w:szCs w:val="11"/>
                <w:b w:val="1"/>
                <w:bCs w:val="1"/>
                <w:color w:val="auto"/>
                <w:w w:val="90"/>
              </w:rPr>
              <w:t>Rent (3) Per Sq.</w:t>
            </w:r>
          </w:p>
        </w:tc>
        <w:tc>
          <w:tcPr>
            <w:tcW w:w="7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0"/>
              </w:rPr>
              <w:t>Improvements &amp;</w:t>
            </w:r>
          </w:p>
        </w:tc>
        <w:tc>
          <w:tcPr>
            <w:tcW w:w="100" w:type="dxa"/>
            <w:vAlign w:val="bottom"/>
          </w:tcPr>
          <w:p>
            <w:pPr>
              <w:spacing w:after="0"/>
              <w:rPr>
                <w:sz w:val="10"/>
                <w:szCs w:val="10"/>
                <w:color w:val="auto"/>
              </w:rPr>
            </w:pPr>
          </w:p>
        </w:tc>
        <w:tc>
          <w:tcPr>
            <w:tcW w:w="760" w:type="dxa"/>
            <w:vAlign w:val="bottom"/>
          </w:tcPr>
          <w:p>
            <w:pPr>
              <w:jc w:val="center"/>
              <w:ind w:right="35"/>
              <w:spacing w:after="0" w:line="122" w:lineRule="exact"/>
              <w:rPr>
                <w:sz w:val="20"/>
                <w:szCs w:val="20"/>
                <w:color w:val="auto"/>
              </w:rPr>
            </w:pPr>
            <w:r>
              <w:rPr>
                <w:rFonts w:ascii="Arial" w:cs="Arial" w:eastAsia="Arial" w:hAnsi="Arial"/>
                <w:sz w:val="11"/>
                <w:szCs w:val="11"/>
                <w:b w:val="1"/>
                <w:bCs w:val="1"/>
                <w:color w:val="auto"/>
                <w:w w:val="88"/>
              </w:rPr>
              <w:t>Incentives Per</w:t>
            </w:r>
          </w:p>
        </w:tc>
        <w:tc>
          <w:tcPr>
            <w:tcW w:w="68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420" w:type="dxa"/>
            <w:vAlign w:val="bottom"/>
          </w:tcPr>
          <w:p>
            <w:pPr>
              <w:jc w:val="right"/>
              <w:ind w:right="471"/>
              <w:spacing w:after="0"/>
              <w:rPr>
                <w:sz w:val="20"/>
                <w:szCs w:val="20"/>
                <w:color w:val="auto"/>
              </w:rPr>
            </w:pPr>
            <w:r>
              <w:rPr>
                <w:rFonts w:ascii="Arial" w:cs="Arial" w:eastAsia="Arial" w:hAnsi="Arial"/>
                <w:sz w:val="11"/>
                <w:szCs w:val="11"/>
                <w:b w:val="1"/>
                <w:bCs w:val="1"/>
                <w:color w:val="auto"/>
              </w:rPr>
              <w:t>Quarter</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Signed</w:t>
            </w:r>
          </w:p>
        </w:tc>
        <w:tc>
          <w:tcPr>
            <w:tcW w:w="12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2"/>
              </w:rPr>
              <w:t>GLA Signed</w:t>
            </w:r>
          </w:p>
        </w:tc>
        <w:tc>
          <w:tcPr>
            <w:tcW w:w="10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Ft.</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760" w:type="dxa"/>
            <w:vAlign w:val="bottom"/>
          </w:tcPr>
          <w:p>
            <w:pPr>
              <w:jc w:val="center"/>
              <w:ind w:right="35"/>
              <w:spacing w:after="0"/>
              <w:rPr>
                <w:sz w:val="20"/>
                <w:szCs w:val="20"/>
                <w:color w:val="auto"/>
              </w:rPr>
            </w:pPr>
            <w:r>
              <w:rPr>
                <w:rFonts w:ascii="Arial" w:cs="Arial" w:eastAsia="Arial" w:hAnsi="Arial"/>
                <w:sz w:val="11"/>
                <w:szCs w:val="11"/>
                <w:b w:val="1"/>
                <w:bCs w:val="1"/>
                <w:color w:val="auto"/>
                <w:w w:val="89"/>
              </w:rPr>
              <w:t>Sq. Ft.</w:t>
            </w:r>
          </w:p>
        </w:tc>
        <w:tc>
          <w:tcPr>
            <w:tcW w:w="68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2020</w:t>
            </w:r>
          </w:p>
        </w:tc>
        <w:tc>
          <w:tcPr>
            <w:tcW w:w="2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491,003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27.46</w:t>
            </w: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17,337,865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35.31</w:t>
            </w:r>
          </w:p>
        </w:tc>
        <w:tc>
          <w:tcPr>
            <w:tcW w:w="680" w:type="dxa"/>
            <w:vAlign w:val="bottom"/>
            <w:shd w:val="clear" w:color="auto" w:fill="CCEEFF"/>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4th Quarter 2019</w:t>
            </w: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56"/>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51"/>
              <w:spacing w:after="0"/>
              <w:rPr>
                <w:sz w:val="20"/>
                <w:szCs w:val="20"/>
                <w:color w:val="auto"/>
              </w:rPr>
            </w:pPr>
            <w:r>
              <w:rPr>
                <w:rFonts w:ascii="Arial" w:cs="Arial" w:eastAsia="Arial" w:hAnsi="Arial"/>
                <w:sz w:val="14"/>
                <w:szCs w:val="14"/>
                <w:color w:val="auto"/>
              </w:rPr>
              <w:t>494,768</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38.46</w:t>
            </w:r>
          </w:p>
        </w:tc>
        <w:tc>
          <w:tcPr>
            <w:tcW w:w="120" w:type="dxa"/>
            <w:vAlign w:val="bottom"/>
          </w:tcPr>
          <w:p>
            <w:pPr>
              <w:spacing w:after="0"/>
              <w:rPr>
                <w:sz w:val="22"/>
                <w:szCs w:val="22"/>
                <w:color w:val="auto"/>
              </w:rPr>
            </w:pPr>
          </w:p>
        </w:tc>
        <w:tc>
          <w:tcPr>
            <w:tcW w:w="640" w:type="dxa"/>
            <w:vAlign w:val="bottom"/>
          </w:tcPr>
          <w:p>
            <w:pPr>
              <w:jc w:val="right"/>
              <w:ind w:right="56"/>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55"/>
              <w:spacing w:after="0"/>
              <w:rPr>
                <w:sz w:val="20"/>
                <w:szCs w:val="20"/>
                <w:color w:val="auto"/>
              </w:rPr>
            </w:pPr>
            <w:r>
              <w:rPr>
                <w:rFonts w:ascii="Arial" w:cs="Arial" w:eastAsia="Arial" w:hAnsi="Arial"/>
                <w:sz w:val="14"/>
                <w:szCs w:val="14"/>
                <w:color w:val="auto"/>
              </w:rPr>
              <w:t>22,021,754</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5"/>
              <w:spacing w:after="0"/>
              <w:rPr>
                <w:sz w:val="20"/>
                <w:szCs w:val="20"/>
                <w:color w:val="auto"/>
              </w:rPr>
            </w:pPr>
            <w:r>
              <w:rPr>
                <w:rFonts w:ascii="Arial" w:cs="Arial" w:eastAsia="Arial" w:hAnsi="Arial"/>
                <w:sz w:val="14"/>
                <w:szCs w:val="14"/>
                <w:color w:val="auto"/>
              </w:rPr>
              <w:t>44.51</w:t>
            </w:r>
          </w:p>
        </w:tc>
        <w:tc>
          <w:tcPr>
            <w:tcW w:w="68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2019</w:t>
            </w:r>
          </w:p>
        </w:tc>
        <w:tc>
          <w:tcPr>
            <w:tcW w:w="2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491,414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39.73</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22,620,379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46.03</w:t>
            </w:r>
          </w:p>
        </w:tc>
        <w:tc>
          <w:tcPr>
            <w:tcW w:w="680" w:type="dxa"/>
            <w:vAlign w:val="bottom"/>
            <w:shd w:val="clear" w:color="auto" w:fill="CCEEFF"/>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2nd Quarter 2019</w:t>
            </w:r>
          </w:p>
        </w:tc>
        <w:tc>
          <w:tcPr>
            <w:tcW w:w="24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115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382,656</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42.61</w:t>
            </w: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6.8</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12,852,603</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33.59</w:t>
            </w:r>
          </w:p>
        </w:tc>
        <w:tc>
          <w:tcPr>
            <w:tcW w:w="680" w:type="dxa"/>
            <w:vAlign w:val="bottom"/>
            <w:tcBorders>
              <w:bottom w:val="single" w:sz="8" w:color="auto"/>
            </w:tcBorders>
          </w:tcPr>
          <w:p>
            <w:pPr>
              <w:spacing w:after="0"/>
              <w:rPr>
                <w:sz w:val="22"/>
                <w:szCs w:val="2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2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4"/>
                <w:szCs w:val="14"/>
                <w:color w:val="auto"/>
              </w:rPr>
              <w:t>412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99"/>
              </w:rPr>
              <w:t>1,859,841</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36.75</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4"/>
                <w:szCs w:val="14"/>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74,832,601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40.24</w:t>
            </w:r>
          </w:p>
        </w:tc>
        <w:tc>
          <w:tcPr>
            <w:tcW w:w="68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Notes:</w:t>
      </w:r>
    </w:p>
    <w:p>
      <w:pPr>
        <w:spacing w:after="0" w:line="40" w:lineRule="exact"/>
        <w:rPr>
          <w:sz w:val="20"/>
          <w:szCs w:val="20"/>
          <w:color w:val="auto"/>
        </w:rPr>
      </w:pPr>
    </w:p>
    <w:p>
      <w:pPr>
        <w:ind w:left="560" w:hanging="558"/>
        <w:spacing w:after="0"/>
        <w:tabs>
          <w:tab w:leader="none" w:pos="5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Information reflects activity in retail spaces only; office and residential spaces are not included.</w:t>
      </w:r>
    </w:p>
    <w:p>
      <w:pPr>
        <w:spacing w:after="0" w:line="39" w:lineRule="exact"/>
        <w:rPr>
          <w:rFonts w:ascii="Arial" w:cs="Arial" w:eastAsia="Arial" w:hAnsi="Arial"/>
          <w:sz w:val="13"/>
          <w:szCs w:val="13"/>
          <w:color w:val="auto"/>
        </w:rPr>
      </w:pPr>
    </w:p>
    <w:p>
      <w:pPr>
        <w:ind w:left="560" w:hanging="558"/>
        <w:spacing w:after="0"/>
        <w:tabs>
          <w:tab w:leader="none" w:pos="5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Comparable leases represent those leases signed on spaces for which there was a former tenant.</w:t>
      </w:r>
    </w:p>
    <w:p>
      <w:pPr>
        <w:spacing w:after="0" w:line="39" w:lineRule="exact"/>
        <w:rPr>
          <w:rFonts w:ascii="Arial" w:cs="Arial" w:eastAsia="Arial" w:hAnsi="Arial"/>
          <w:sz w:val="13"/>
          <w:szCs w:val="13"/>
          <w:color w:val="auto"/>
        </w:rPr>
      </w:pPr>
    </w:p>
    <w:p>
      <w:pPr>
        <w:ind w:left="560" w:hanging="558"/>
        <w:spacing w:after="0"/>
        <w:tabs>
          <w:tab w:leader="none" w:pos="5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Contractual rent represents contractual minimum rent under the new lease for the first 12 months of the term.</w:t>
      </w:r>
    </w:p>
    <w:p>
      <w:pPr>
        <w:spacing w:after="0" w:line="39" w:lineRule="exact"/>
        <w:rPr>
          <w:rFonts w:ascii="Arial" w:cs="Arial" w:eastAsia="Arial" w:hAnsi="Arial"/>
          <w:sz w:val="13"/>
          <w:szCs w:val="13"/>
          <w:color w:val="auto"/>
        </w:rPr>
      </w:pPr>
    </w:p>
    <w:p>
      <w:pPr>
        <w:ind w:left="560" w:hanging="558"/>
        <w:spacing w:after="0"/>
        <w:tabs>
          <w:tab w:leader="none" w:pos="5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Prior rent represents minimum rent and percentage rent, if any, paid by the prior tenant in the final 12 months of the term.</w:t>
      </w:r>
    </w:p>
    <w:p>
      <w:pPr>
        <w:spacing w:after="0" w:line="39" w:lineRule="exact"/>
        <w:rPr>
          <w:rFonts w:ascii="Arial" w:cs="Arial" w:eastAsia="Arial" w:hAnsi="Arial"/>
          <w:sz w:val="13"/>
          <w:szCs w:val="13"/>
          <w:color w:val="auto"/>
        </w:rPr>
      </w:pPr>
    </w:p>
    <w:p>
      <w:pPr>
        <w:ind w:left="560" w:hanging="558"/>
        <w:spacing w:after="0"/>
        <w:tabs>
          <w:tab w:leader="none" w:pos="5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Weighted average is determined on the basis of contractual rent for the first 12 months of the term.</w:t>
      </w:r>
    </w:p>
    <w:p>
      <w:pPr>
        <w:spacing w:after="0" w:line="39" w:lineRule="exact"/>
        <w:rPr>
          <w:rFonts w:ascii="Arial" w:cs="Arial" w:eastAsia="Arial" w:hAnsi="Arial"/>
          <w:sz w:val="13"/>
          <w:szCs w:val="13"/>
          <w:color w:val="auto"/>
        </w:rPr>
      </w:pPr>
    </w:p>
    <w:p>
      <w:pPr>
        <w:ind w:left="560" w:hanging="558"/>
        <w:spacing w:after="0"/>
        <w:tabs>
          <w:tab w:leader="none" w:pos="5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See Glossary of Terms.</w:t>
      </w:r>
    </w:p>
    <w:p>
      <w:pPr>
        <w:spacing w:after="0" w:line="39" w:lineRule="exact"/>
        <w:rPr>
          <w:rFonts w:ascii="Arial" w:cs="Arial" w:eastAsia="Arial" w:hAnsi="Arial"/>
          <w:sz w:val="13"/>
          <w:szCs w:val="13"/>
          <w:color w:val="auto"/>
        </w:rPr>
      </w:pPr>
    </w:p>
    <w:p>
      <w:pPr>
        <w:ind w:left="560" w:right="180" w:hanging="558"/>
        <w:spacing w:after="0" w:line="230" w:lineRule="auto"/>
        <w:tabs>
          <w:tab w:leader="none" w:pos="5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Approximately $2.8 million ($5.37 per square foot) in 1st Quarter 2020, $1.1 million ($1.65 per square foot) in 4th Quarter 2019, $7.0 million ($3.21 per square foot) in 3rd Quarter 2019, and $4.4 million ($10.25 per square foot) in 2nd Quarter 2019 of the Tenant Improvements &amp; Incentives are for properties under active redevelopment and are included in either the Projected Cost for those properties on the Summary of Redevelopment Opportunities or was included in the cost to complete estimate at acquisition.</w:t>
      </w:r>
    </w:p>
    <w:p>
      <w:pPr>
        <w:spacing w:after="0" w:line="29" w:lineRule="exact"/>
        <w:rPr>
          <w:rFonts w:ascii="Arial" w:cs="Arial" w:eastAsia="Arial" w:hAnsi="Arial"/>
          <w:sz w:val="13"/>
          <w:szCs w:val="13"/>
          <w:color w:val="auto"/>
        </w:rPr>
      </w:pPr>
    </w:p>
    <w:p>
      <w:pPr>
        <w:ind w:left="560" w:hanging="558"/>
        <w:spacing w:after="0"/>
        <w:tabs>
          <w:tab w:leader="none" w:pos="5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Renewal leases represent expiring leases rolling over with the same tenant in the same location. All other leases are categorized as new.</w:t>
      </w:r>
    </w:p>
    <w:p>
      <w:pPr>
        <w:spacing w:after="0" w:line="39" w:lineRule="exact"/>
        <w:rPr>
          <w:rFonts w:ascii="Arial" w:cs="Arial" w:eastAsia="Arial" w:hAnsi="Arial"/>
          <w:sz w:val="13"/>
          <w:szCs w:val="13"/>
          <w:color w:val="auto"/>
        </w:rPr>
      </w:pPr>
    </w:p>
    <w:p>
      <w:pPr>
        <w:ind w:left="560" w:hanging="558"/>
        <w:spacing w:after="0" w:line="319" w:lineRule="auto"/>
        <w:tabs>
          <w:tab w:leader="none" w:pos="560" w:val="left"/>
        </w:tabs>
        <w:numPr>
          <w:ilvl w:val="0"/>
          <w:numId w:val="18"/>
        </w:numPr>
        <w:rPr>
          <w:rFonts w:ascii="Arial" w:cs="Arial" w:eastAsia="Arial" w:hAnsi="Arial"/>
          <w:sz w:val="10"/>
          <w:szCs w:val="10"/>
          <w:color w:val="auto"/>
        </w:rPr>
      </w:pPr>
      <w:r>
        <w:rPr>
          <w:rFonts w:ascii="Arial" w:cs="Arial" w:eastAsia="Arial" w:hAnsi="Arial"/>
          <w:sz w:val="10"/>
          <w:szCs w:val="10"/>
          <w:color w:val="auto"/>
        </w:rPr>
        <w:t>The Number of Leases Signed, GLA Signed, Contractual Rent Per Sq. Ft. and Weighted Average Lease Term columns include information for leases signed at Phase 3 of both of our Assembly Row and Pike &amp; Rose projects. The Tenant Improvements &amp; Incentives and Tenant Improvements &amp; Incentives Per Sq. Ft. columns do not include the tenant improvements and incentives on leases signed for those projects; these amounts for leases signed for Phase 3 of Assembly Row and Pike &amp; Rose are included in the Projected Cost column for those projects shown on the Assembly Row and Pike &amp; Rose schedule.</w:t>
      </w:r>
    </w:p>
    <w:p>
      <w:pPr>
        <w:ind w:left="560" w:hanging="558"/>
        <w:spacing w:after="0"/>
        <w:tabs>
          <w:tab w:leader="none" w:pos="560" w:val="left"/>
        </w:tabs>
        <w:numPr>
          <w:ilvl w:val="0"/>
          <w:numId w:val="18"/>
        </w:numPr>
        <w:rPr>
          <w:rFonts w:ascii="Arial" w:cs="Arial" w:eastAsia="Arial" w:hAnsi="Arial"/>
          <w:sz w:val="10"/>
          <w:szCs w:val="10"/>
          <w:color w:val="auto"/>
        </w:rPr>
      </w:pPr>
      <w:r>
        <w:rPr>
          <w:rFonts w:ascii="Arial" w:cs="Arial" w:eastAsia="Arial" w:hAnsi="Arial"/>
          <w:sz w:val="10"/>
          <w:szCs w:val="10"/>
          <w:color w:val="auto"/>
        </w:rPr>
        <w:t>The annual increase over the prior rent calculated on a straight line basis for leases signed during the first quarter of 2020 was 14% for comparable leases, 18% for new leases, and 12% for renewal leases.</w:t>
      </w:r>
    </w:p>
    <w:p>
      <w:pPr>
        <w:sectPr>
          <w:pgSz w:w="11900" w:h="16838" w:orient="portrait"/>
          <w:cols w:equalWidth="0" w:num="1">
            <w:col w:w="11100"/>
          </w:cols>
          <w:pgMar w:left="380" w:top="733" w:right="41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100"/>
          </w:cols>
          <w:pgMar w:left="380" w:top="733" w:right="419" w:bottom="1440" w:gutter="0" w:footer="0" w:header="0"/>
          <w:type w:val="continuous"/>
        </w:sectPr>
      </w:pPr>
    </w:p>
    <w:bookmarkStart w:id="27" w:name="page28"/>
    <w:bookmarkEnd w:id="27"/>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 Expirations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2777490" cy="1797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77490" cy="179705"/>
                    </a:xfrm>
                    <a:prstGeom prst="rect">
                      <a:avLst/>
                    </a:prstGeom>
                    <a:noFill/>
                  </pic:spPr>
                </pic:pic>
              </a:graphicData>
            </a:graphic>
          </wp:anchor>
        </w:drawing>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Assumes no exercise of lease options</w:t>
      </w: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10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8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0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Year</w:t>
            </w:r>
          </w:p>
        </w:tc>
        <w:tc>
          <w:tcPr>
            <w:tcW w:w="120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2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7"/>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2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7"/>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2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7"/>
              </w:rPr>
              <w:t>Minimum Rent</w:t>
            </w:r>
          </w:p>
        </w:tc>
        <w:tc>
          <w:tcPr>
            <w:tcW w:w="0" w:type="dxa"/>
            <w:vAlign w:val="bottom"/>
          </w:tcPr>
          <w:p>
            <w:pPr>
              <w:spacing w:after="0"/>
              <w:rPr>
                <w:sz w:val="1"/>
                <w:szCs w:val="1"/>
                <w:color w:val="auto"/>
              </w:rPr>
            </w:pPr>
          </w:p>
        </w:tc>
      </w:tr>
      <w:tr>
        <w:trPr>
          <w:trHeight w:val="192"/>
        </w:trPr>
        <w:tc>
          <w:tcPr>
            <w:tcW w:w="110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SF</w:t>
            </w:r>
          </w:p>
        </w:tc>
        <w:tc>
          <w:tcPr>
            <w:tcW w:w="220" w:type="dxa"/>
            <w:vAlign w:val="bottom"/>
          </w:tcPr>
          <w:p>
            <w:pPr>
              <w:spacing w:after="0"/>
              <w:rPr>
                <w:sz w:val="16"/>
                <w:szCs w:val="16"/>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20" w:type="dxa"/>
            <w:vAlign w:val="bottom"/>
          </w:tcPr>
          <w:p>
            <w:pPr>
              <w:ind w:left="100"/>
              <w:spacing w:after="0"/>
              <w:rPr>
                <w:sz w:val="20"/>
                <w:szCs w:val="20"/>
                <w:color w:val="auto"/>
              </w:rPr>
            </w:pPr>
            <w:r>
              <w:rPr>
                <w:rFonts w:ascii="Arial" w:cs="Arial" w:eastAsia="Arial" w:hAnsi="Arial"/>
                <w:sz w:val="14"/>
                <w:szCs w:val="14"/>
                <w:b w:val="1"/>
                <w:bCs w:val="1"/>
                <w:color w:val="auto"/>
              </w:rPr>
              <w:t>Total SF</w:t>
            </w:r>
          </w:p>
        </w:tc>
        <w:tc>
          <w:tcPr>
            <w:tcW w:w="200" w:type="dxa"/>
            <w:vAlign w:val="bottom"/>
          </w:tcPr>
          <w:p>
            <w:pPr>
              <w:spacing w:after="0"/>
              <w:rPr>
                <w:sz w:val="16"/>
                <w:szCs w:val="16"/>
                <w:color w:val="auto"/>
              </w:rPr>
            </w:pPr>
          </w:p>
        </w:tc>
        <w:tc>
          <w:tcPr>
            <w:tcW w:w="900" w:type="dxa"/>
            <w:vAlign w:val="bottom"/>
          </w:tcPr>
          <w:p>
            <w:pPr>
              <w:jc w:val="center"/>
              <w:ind w:right="12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0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c>
          <w:tcPr>
            <w:tcW w:w="12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595,000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17.52</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537,000</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35.96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1,131,000</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26.27</w:t>
            </w:r>
          </w:p>
        </w:tc>
        <w:tc>
          <w:tcPr>
            <w:tcW w:w="0" w:type="dxa"/>
            <w:vAlign w:val="bottom"/>
          </w:tcPr>
          <w:p>
            <w:pPr>
              <w:spacing w:after="0"/>
              <w:rPr>
                <w:sz w:val="1"/>
                <w:szCs w:val="1"/>
                <w:color w:val="auto"/>
              </w:rPr>
            </w:pPr>
          </w:p>
        </w:tc>
      </w:tr>
      <w:tr>
        <w:trPr>
          <w:trHeight w:val="237"/>
        </w:trPr>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1,419,000</w:t>
            </w: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19.86</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844,000</w:t>
            </w:r>
          </w:p>
        </w:tc>
        <w:tc>
          <w:tcPr>
            <w:tcW w:w="92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44.53</w:t>
            </w:r>
          </w:p>
        </w:tc>
        <w:tc>
          <w:tcPr>
            <w:tcW w:w="2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2,264,000</w:t>
            </w:r>
          </w:p>
        </w:tc>
        <w:tc>
          <w:tcPr>
            <w:tcW w:w="720" w:type="dxa"/>
            <w:vAlign w:val="bottom"/>
          </w:tcPr>
          <w:p>
            <w:pPr>
              <w:jc w:val="right"/>
              <w:spacing w:after="0"/>
              <w:rPr>
                <w:sz w:val="20"/>
                <w:szCs w:val="20"/>
                <w:color w:val="auto"/>
              </w:rPr>
            </w:pPr>
            <w:r>
              <w:rPr>
                <w:rFonts w:ascii="Arial" w:cs="Arial" w:eastAsia="Arial" w:hAnsi="Arial"/>
                <w:sz w:val="16"/>
                <w:szCs w:val="16"/>
                <w:color w:val="auto"/>
              </w:rPr>
              <w:t>10%</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29.07</w:t>
            </w:r>
          </w:p>
        </w:tc>
        <w:tc>
          <w:tcPr>
            <w:tcW w:w="0" w:type="dxa"/>
            <w:vAlign w:val="bottom"/>
          </w:tcPr>
          <w:p>
            <w:pPr>
              <w:spacing w:after="0"/>
              <w:rPr>
                <w:sz w:val="1"/>
                <w:szCs w:val="1"/>
                <w:color w:val="auto"/>
              </w:rPr>
            </w:pPr>
          </w:p>
        </w:tc>
      </w:tr>
      <w:tr>
        <w:trPr>
          <w:trHeight w:val="33"/>
        </w:trPr>
        <w:tc>
          <w:tcPr>
            <w:tcW w:w="1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1,970,000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17.92</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974,000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43.70</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2,944,000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26.45</w:t>
            </w:r>
          </w:p>
        </w:tc>
        <w:tc>
          <w:tcPr>
            <w:tcW w:w="0" w:type="dxa"/>
            <w:vAlign w:val="bottom"/>
          </w:tcPr>
          <w:p>
            <w:pPr>
              <w:spacing w:after="0"/>
              <w:rPr>
                <w:sz w:val="1"/>
                <w:szCs w:val="1"/>
                <w:color w:val="auto"/>
              </w:rPr>
            </w:pPr>
          </w:p>
        </w:tc>
      </w:tr>
      <w:tr>
        <w:trPr>
          <w:trHeight w:val="237"/>
        </w:trPr>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1,524,000</w:t>
            </w: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21.58</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903,000</w:t>
            </w:r>
          </w:p>
        </w:tc>
        <w:tc>
          <w:tcPr>
            <w:tcW w:w="92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46.25</w:t>
            </w:r>
          </w:p>
        </w:tc>
        <w:tc>
          <w:tcPr>
            <w:tcW w:w="2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2,427,000</w:t>
            </w:r>
          </w:p>
        </w:tc>
        <w:tc>
          <w:tcPr>
            <w:tcW w:w="720" w:type="dxa"/>
            <w:vAlign w:val="bottom"/>
          </w:tcPr>
          <w:p>
            <w:pPr>
              <w:jc w:val="right"/>
              <w:spacing w:after="0"/>
              <w:rPr>
                <w:sz w:val="20"/>
                <w:szCs w:val="20"/>
                <w:color w:val="auto"/>
              </w:rPr>
            </w:pPr>
            <w:r>
              <w:rPr>
                <w:rFonts w:ascii="Arial" w:cs="Arial" w:eastAsia="Arial" w:hAnsi="Arial"/>
                <w:sz w:val="16"/>
                <w:szCs w:val="16"/>
                <w:color w:val="auto"/>
              </w:rPr>
              <w:t>11%</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30.76</w:t>
            </w:r>
          </w:p>
        </w:tc>
        <w:tc>
          <w:tcPr>
            <w:tcW w:w="0" w:type="dxa"/>
            <w:vAlign w:val="bottom"/>
          </w:tcPr>
          <w:p>
            <w:pPr>
              <w:spacing w:after="0"/>
              <w:rPr>
                <w:sz w:val="1"/>
                <w:szCs w:val="1"/>
                <w:color w:val="auto"/>
              </w:rPr>
            </w:pPr>
          </w:p>
        </w:tc>
      </w:tr>
      <w:tr>
        <w:trPr>
          <w:trHeight w:val="33"/>
        </w:trPr>
        <w:tc>
          <w:tcPr>
            <w:tcW w:w="1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2,403,000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18.48</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915,000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46.54</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3,318,000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26.21</w:t>
            </w:r>
          </w:p>
        </w:tc>
        <w:tc>
          <w:tcPr>
            <w:tcW w:w="0" w:type="dxa"/>
            <w:vAlign w:val="bottom"/>
          </w:tcPr>
          <w:p>
            <w:pPr>
              <w:spacing w:after="0"/>
              <w:rPr>
                <w:sz w:val="1"/>
                <w:szCs w:val="1"/>
                <w:color w:val="auto"/>
              </w:rPr>
            </w:pPr>
          </w:p>
        </w:tc>
      </w:tr>
      <w:tr>
        <w:trPr>
          <w:trHeight w:val="237"/>
        </w:trPr>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1,517,000</w:t>
            </w: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21.64</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779,000</w:t>
            </w:r>
          </w:p>
        </w:tc>
        <w:tc>
          <w:tcPr>
            <w:tcW w:w="92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43.03</w:t>
            </w:r>
          </w:p>
        </w:tc>
        <w:tc>
          <w:tcPr>
            <w:tcW w:w="2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2,296,000</w:t>
            </w:r>
          </w:p>
        </w:tc>
        <w:tc>
          <w:tcPr>
            <w:tcW w:w="720" w:type="dxa"/>
            <w:vAlign w:val="bottom"/>
          </w:tcPr>
          <w:p>
            <w:pPr>
              <w:jc w:val="right"/>
              <w:spacing w:after="0"/>
              <w:rPr>
                <w:sz w:val="20"/>
                <w:szCs w:val="20"/>
                <w:color w:val="auto"/>
              </w:rPr>
            </w:pPr>
            <w:r>
              <w:rPr>
                <w:rFonts w:ascii="Arial" w:cs="Arial" w:eastAsia="Arial" w:hAnsi="Arial"/>
                <w:sz w:val="16"/>
                <w:szCs w:val="16"/>
                <w:color w:val="auto"/>
              </w:rPr>
              <w:t>10%</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28.89</w:t>
            </w:r>
          </w:p>
        </w:tc>
        <w:tc>
          <w:tcPr>
            <w:tcW w:w="0" w:type="dxa"/>
            <w:vAlign w:val="bottom"/>
          </w:tcPr>
          <w:p>
            <w:pPr>
              <w:spacing w:after="0"/>
              <w:rPr>
                <w:sz w:val="1"/>
                <w:szCs w:val="1"/>
                <w:color w:val="auto"/>
              </w:rPr>
            </w:pPr>
          </w:p>
        </w:tc>
      </w:tr>
      <w:tr>
        <w:trPr>
          <w:trHeight w:val="33"/>
        </w:trPr>
        <w:tc>
          <w:tcPr>
            <w:tcW w:w="1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2025</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813,000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21.87</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427,000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50.21</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1,241,000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31.64</w:t>
            </w:r>
          </w:p>
        </w:tc>
        <w:tc>
          <w:tcPr>
            <w:tcW w:w="0" w:type="dxa"/>
            <w:vAlign w:val="bottom"/>
          </w:tcPr>
          <w:p>
            <w:pPr>
              <w:spacing w:after="0"/>
              <w:rPr>
                <w:sz w:val="1"/>
                <w:szCs w:val="1"/>
                <w:color w:val="auto"/>
              </w:rPr>
            </w:pPr>
          </w:p>
        </w:tc>
      </w:tr>
      <w:tr>
        <w:trPr>
          <w:trHeight w:val="237"/>
        </w:trPr>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2026</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832,000</w:t>
            </w: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34.40</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483,000</w:t>
            </w: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47.67</w:t>
            </w:r>
          </w:p>
        </w:tc>
        <w:tc>
          <w:tcPr>
            <w:tcW w:w="2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1,315,000</w:t>
            </w: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39.28</w:t>
            </w:r>
          </w:p>
        </w:tc>
        <w:tc>
          <w:tcPr>
            <w:tcW w:w="0" w:type="dxa"/>
            <w:vAlign w:val="bottom"/>
          </w:tcPr>
          <w:p>
            <w:pPr>
              <w:spacing w:after="0"/>
              <w:rPr>
                <w:sz w:val="1"/>
                <w:szCs w:val="1"/>
                <w:color w:val="auto"/>
              </w:rPr>
            </w:pPr>
          </w:p>
        </w:tc>
      </w:tr>
      <w:tr>
        <w:trPr>
          <w:trHeight w:val="33"/>
        </w:trPr>
        <w:tc>
          <w:tcPr>
            <w:tcW w:w="1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2027</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791,000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22.94</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412,000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53.28</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1,203,000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33.34</w:t>
            </w:r>
          </w:p>
        </w:tc>
        <w:tc>
          <w:tcPr>
            <w:tcW w:w="0" w:type="dxa"/>
            <w:vAlign w:val="bottom"/>
          </w:tcPr>
          <w:p>
            <w:pPr>
              <w:spacing w:after="0"/>
              <w:rPr>
                <w:sz w:val="1"/>
                <w:szCs w:val="1"/>
                <w:color w:val="auto"/>
              </w:rPr>
            </w:pPr>
          </w:p>
        </w:tc>
      </w:tr>
      <w:tr>
        <w:trPr>
          <w:trHeight w:val="237"/>
        </w:trPr>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2028</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932,000</w:t>
            </w: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25.54</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389,000</w:t>
            </w: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45.76</w:t>
            </w:r>
          </w:p>
        </w:tc>
        <w:tc>
          <w:tcPr>
            <w:tcW w:w="2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1,321,000</w:t>
            </w: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31.49</w:t>
            </w:r>
          </w:p>
        </w:tc>
        <w:tc>
          <w:tcPr>
            <w:tcW w:w="0" w:type="dxa"/>
            <w:vAlign w:val="bottom"/>
          </w:tcPr>
          <w:p>
            <w:pPr>
              <w:spacing w:after="0"/>
              <w:rPr>
                <w:sz w:val="1"/>
                <w:szCs w:val="1"/>
                <w:color w:val="auto"/>
              </w:rPr>
            </w:pPr>
          </w:p>
        </w:tc>
      </w:tr>
      <w:tr>
        <w:trPr>
          <w:trHeight w:val="33"/>
        </w:trPr>
        <w:tc>
          <w:tcPr>
            <w:tcW w:w="1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0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2,252,000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25.54</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353,000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46.47</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2,604,000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28.37</w:t>
            </w:r>
          </w:p>
        </w:tc>
        <w:tc>
          <w:tcPr>
            <w:tcW w:w="0" w:type="dxa"/>
            <w:vAlign w:val="bottom"/>
          </w:tcPr>
          <w:p>
            <w:pPr>
              <w:spacing w:after="0"/>
              <w:rPr>
                <w:sz w:val="1"/>
                <w:szCs w:val="1"/>
                <w:color w:val="auto"/>
              </w:rPr>
            </w:pPr>
          </w:p>
        </w:tc>
      </w:tr>
      <w:tr>
        <w:trPr>
          <w:trHeight w:val="244"/>
        </w:trPr>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15,048,000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21.92</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7,016,000</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45.32</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22,064,000</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29.36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1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260" w:type="dxa"/>
            <w:vAlign w:val="bottom"/>
            <w:tcBorders>
              <w:left w:val="single" w:sz="8" w:color="auto"/>
            </w:tcBorders>
            <w:gridSpan w:val="3"/>
          </w:tcPr>
          <w:p>
            <w:pPr>
              <w:jc w:val="right"/>
              <w:ind w:right="460"/>
              <w:spacing w:after="0"/>
              <w:rPr>
                <w:sz w:val="20"/>
                <w:szCs w:val="20"/>
                <w:color w:val="auto"/>
              </w:rPr>
            </w:pPr>
            <w:r>
              <w:rPr>
                <w:rFonts w:ascii="Arial" w:cs="Arial" w:eastAsia="Arial" w:hAnsi="Arial"/>
                <w:sz w:val="16"/>
                <w:szCs w:val="16"/>
                <w:b w:val="1"/>
                <w:bCs w:val="1"/>
                <w:color w:val="auto"/>
                <w:w w:val="87"/>
              </w:rPr>
              <w:t>Assumes all lease options are exercised</w:t>
            </w:r>
          </w:p>
        </w:tc>
        <w:tc>
          <w:tcPr>
            <w:tcW w:w="22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100" w:type="dxa"/>
            <w:vAlign w:val="bottom"/>
            <w:tcBorders>
              <w:left w:val="single" w:sz="8" w:color="auto"/>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0" w:type="dxa"/>
            <w:vAlign w:val="bottom"/>
            <w:gridSpan w:val="3"/>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1100" w:type="dxa"/>
            <w:vAlign w:val="bottom"/>
          </w:tcPr>
          <w:p>
            <w:pPr>
              <w:spacing w:after="0"/>
              <w:rPr>
                <w:sz w:val="24"/>
                <w:szCs w:val="24"/>
                <w:color w:val="auto"/>
              </w:rPr>
            </w:pPr>
          </w:p>
        </w:tc>
        <w:tc>
          <w:tcPr>
            <w:tcW w:w="2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8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10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Year</w:t>
            </w:r>
          </w:p>
        </w:tc>
        <w:tc>
          <w:tcPr>
            <w:tcW w:w="120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2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7"/>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2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7"/>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2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7"/>
              </w:rPr>
              <w:t>Minimum Rent</w:t>
            </w:r>
          </w:p>
        </w:tc>
        <w:tc>
          <w:tcPr>
            <w:tcW w:w="0" w:type="dxa"/>
            <w:vAlign w:val="bottom"/>
          </w:tcPr>
          <w:p>
            <w:pPr>
              <w:spacing w:after="0"/>
              <w:rPr>
                <w:sz w:val="1"/>
                <w:szCs w:val="1"/>
                <w:color w:val="auto"/>
              </w:rPr>
            </w:pPr>
          </w:p>
        </w:tc>
      </w:tr>
      <w:tr>
        <w:trPr>
          <w:trHeight w:val="192"/>
        </w:trPr>
        <w:tc>
          <w:tcPr>
            <w:tcW w:w="110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SF</w:t>
            </w:r>
          </w:p>
        </w:tc>
        <w:tc>
          <w:tcPr>
            <w:tcW w:w="220" w:type="dxa"/>
            <w:vAlign w:val="bottom"/>
          </w:tcPr>
          <w:p>
            <w:pPr>
              <w:spacing w:after="0"/>
              <w:rPr>
                <w:sz w:val="16"/>
                <w:szCs w:val="16"/>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20" w:type="dxa"/>
            <w:vAlign w:val="bottom"/>
          </w:tcPr>
          <w:p>
            <w:pPr>
              <w:ind w:left="100"/>
              <w:spacing w:after="0"/>
              <w:rPr>
                <w:sz w:val="20"/>
                <w:szCs w:val="20"/>
                <w:color w:val="auto"/>
              </w:rPr>
            </w:pPr>
            <w:r>
              <w:rPr>
                <w:rFonts w:ascii="Arial" w:cs="Arial" w:eastAsia="Arial" w:hAnsi="Arial"/>
                <w:sz w:val="14"/>
                <w:szCs w:val="14"/>
                <w:b w:val="1"/>
                <w:bCs w:val="1"/>
                <w:color w:val="auto"/>
              </w:rPr>
              <w:t>Total SF</w:t>
            </w:r>
          </w:p>
        </w:tc>
        <w:tc>
          <w:tcPr>
            <w:tcW w:w="200" w:type="dxa"/>
            <w:vAlign w:val="bottom"/>
          </w:tcPr>
          <w:p>
            <w:pPr>
              <w:spacing w:after="0"/>
              <w:rPr>
                <w:sz w:val="16"/>
                <w:szCs w:val="16"/>
                <w:color w:val="auto"/>
              </w:rPr>
            </w:pPr>
          </w:p>
        </w:tc>
        <w:tc>
          <w:tcPr>
            <w:tcW w:w="900" w:type="dxa"/>
            <w:vAlign w:val="bottom"/>
          </w:tcPr>
          <w:p>
            <w:pPr>
              <w:jc w:val="center"/>
              <w:ind w:right="12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0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c>
          <w:tcPr>
            <w:tcW w:w="12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351,000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20.09</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508,000</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35.59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859,000</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29.26</w:t>
            </w:r>
          </w:p>
        </w:tc>
        <w:tc>
          <w:tcPr>
            <w:tcW w:w="0" w:type="dxa"/>
            <w:vAlign w:val="bottom"/>
          </w:tcPr>
          <w:p>
            <w:pPr>
              <w:spacing w:after="0"/>
              <w:rPr>
                <w:sz w:val="1"/>
                <w:szCs w:val="1"/>
                <w:color w:val="auto"/>
              </w:rPr>
            </w:pPr>
          </w:p>
        </w:tc>
      </w:tr>
      <w:tr>
        <w:trPr>
          <w:trHeight w:val="237"/>
        </w:trPr>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369,000</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14.84</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534,000</w:t>
            </w:r>
          </w:p>
        </w:tc>
        <w:tc>
          <w:tcPr>
            <w:tcW w:w="92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46.79</w:t>
            </w:r>
          </w:p>
        </w:tc>
        <w:tc>
          <w:tcPr>
            <w:tcW w:w="2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903,000</w:t>
            </w:r>
          </w:p>
        </w:tc>
        <w:tc>
          <w:tcPr>
            <w:tcW w:w="72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33.72</w:t>
            </w:r>
          </w:p>
        </w:tc>
        <w:tc>
          <w:tcPr>
            <w:tcW w:w="0" w:type="dxa"/>
            <w:vAlign w:val="bottom"/>
          </w:tcPr>
          <w:p>
            <w:pPr>
              <w:spacing w:after="0"/>
              <w:rPr>
                <w:sz w:val="1"/>
                <w:szCs w:val="1"/>
                <w:color w:val="auto"/>
              </w:rPr>
            </w:pPr>
          </w:p>
        </w:tc>
      </w:tr>
      <w:tr>
        <w:trPr>
          <w:trHeight w:val="33"/>
        </w:trPr>
        <w:tc>
          <w:tcPr>
            <w:tcW w:w="1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254,000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22.42</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583,000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43.02</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837,000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36.77</w:t>
            </w:r>
          </w:p>
        </w:tc>
        <w:tc>
          <w:tcPr>
            <w:tcW w:w="0" w:type="dxa"/>
            <w:vAlign w:val="bottom"/>
          </w:tcPr>
          <w:p>
            <w:pPr>
              <w:spacing w:after="0"/>
              <w:rPr>
                <w:sz w:val="1"/>
                <w:szCs w:val="1"/>
                <w:color w:val="auto"/>
              </w:rPr>
            </w:pPr>
          </w:p>
        </w:tc>
      </w:tr>
      <w:tr>
        <w:trPr>
          <w:trHeight w:val="237"/>
        </w:trPr>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386,000</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24.28</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563,000</w:t>
            </w:r>
          </w:p>
        </w:tc>
        <w:tc>
          <w:tcPr>
            <w:tcW w:w="92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42.51</w:t>
            </w:r>
          </w:p>
        </w:tc>
        <w:tc>
          <w:tcPr>
            <w:tcW w:w="2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949,000</w:t>
            </w:r>
          </w:p>
        </w:tc>
        <w:tc>
          <w:tcPr>
            <w:tcW w:w="72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35.10</w:t>
            </w:r>
          </w:p>
        </w:tc>
        <w:tc>
          <w:tcPr>
            <w:tcW w:w="0" w:type="dxa"/>
            <w:vAlign w:val="bottom"/>
          </w:tcPr>
          <w:p>
            <w:pPr>
              <w:spacing w:after="0"/>
              <w:rPr>
                <w:sz w:val="1"/>
                <w:szCs w:val="1"/>
                <w:color w:val="auto"/>
              </w:rPr>
            </w:pPr>
          </w:p>
        </w:tc>
      </w:tr>
      <w:tr>
        <w:trPr>
          <w:trHeight w:val="33"/>
        </w:trPr>
        <w:tc>
          <w:tcPr>
            <w:tcW w:w="1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581,000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22.78</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456,000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45.68</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1,036,000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32.85</w:t>
            </w:r>
          </w:p>
        </w:tc>
        <w:tc>
          <w:tcPr>
            <w:tcW w:w="0" w:type="dxa"/>
            <w:vAlign w:val="bottom"/>
          </w:tcPr>
          <w:p>
            <w:pPr>
              <w:spacing w:after="0"/>
              <w:rPr>
                <w:sz w:val="1"/>
                <w:szCs w:val="1"/>
                <w:color w:val="auto"/>
              </w:rPr>
            </w:pPr>
          </w:p>
        </w:tc>
      </w:tr>
      <w:tr>
        <w:trPr>
          <w:trHeight w:val="237"/>
        </w:trPr>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334,000</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21.79</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420,000</w:t>
            </w: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43.20</w:t>
            </w:r>
          </w:p>
        </w:tc>
        <w:tc>
          <w:tcPr>
            <w:tcW w:w="2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754,000</w:t>
            </w: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33.71</w:t>
            </w:r>
          </w:p>
        </w:tc>
        <w:tc>
          <w:tcPr>
            <w:tcW w:w="0" w:type="dxa"/>
            <w:vAlign w:val="bottom"/>
          </w:tcPr>
          <w:p>
            <w:pPr>
              <w:spacing w:after="0"/>
              <w:rPr>
                <w:sz w:val="1"/>
                <w:szCs w:val="1"/>
                <w:color w:val="auto"/>
              </w:rPr>
            </w:pPr>
          </w:p>
        </w:tc>
      </w:tr>
      <w:tr>
        <w:trPr>
          <w:trHeight w:val="33"/>
        </w:trPr>
        <w:tc>
          <w:tcPr>
            <w:tcW w:w="1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2025</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537,000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23.51</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354,000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46.88</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891,000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32.80</w:t>
            </w:r>
          </w:p>
        </w:tc>
        <w:tc>
          <w:tcPr>
            <w:tcW w:w="0" w:type="dxa"/>
            <w:vAlign w:val="bottom"/>
          </w:tcPr>
          <w:p>
            <w:pPr>
              <w:spacing w:after="0"/>
              <w:rPr>
                <w:sz w:val="1"/>
                <w:szCs w:val="1"/>
                <w:color w:val="auto"/>
              </w:rPr>
            </w:pPr>
          </w:p>
        </w:tc>
      </w:tr>
      <w:tr>
        <w:trPr>
          <w:trHeight w:val="237"/>
        </w:trPr>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2026</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744,000</w:t>
            </w: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21.98</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466,000</w:t>
            </w: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46.63</w:t>
            </w:r>
          </w:p>
        </w:tc>
        <w:tc>
          <w:tcPr>
            <w:tcW w:w="2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1,211,000</w:t>
            </w: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31.47</w:t>
            </w:r>
          </w:p>
        </w:tc>
        <w:tc>
          <w:tcPr>
            <w:tcW w:w="0" w:type="dxa"/>
            <w:vAlign w:val="bottom"/>
          </w:tcPr>
          <w:p>
            <w:pPr>
              <w:spacing w:after="0"/>
              <w:rPr>
                <w:sz w:val="1"/>
                <w:szCs w:val="1"/>
                <w:color w:val="auto"/>
              </w:rPr>
            </w:pPr>
          </w:p>
        </w:tc>
      </w:tr>
      <w:tr>
        <w:trPr>
          <w:trHeight w:val="33"/>
        </w:trPr>
        <w:tc>
          <w:tcPr>
            <w:tcW w:w="1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2027</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626,000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18.64</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414,000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49.87</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1,040,000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31.07</w:t>
            </w:r>
          </w:p>
        </w:tc>
        <w:tc>
          <w:tcPr>
            <w:tcW w:w="0" w:type="dxa"/>
            <w:vAlign w:val="bottom"/>
          </w:tcPr>
          <w:p>
            <w:pPr>
              <w:spacing w:after="0"/>
              <w:rPr>
                <w:sz w:val="1"/>
                <w:szCs w:val="1"/>
                <w:color w:val="auto"/>
              </w:rPr>
            </w:pPr>
          </w:p>
        </w:tc>
      </w:tr>
      <w:tr>
        <w:trPr>
          <w:trHeight w:val="237"/>
        </w:trPr>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2028</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795,000</w:t>
            </w: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22.26</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367,000</w:t>
            </w: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44.12</w:t>
            </w:r>
          </w:p>
        </w:tc>
        <w:tc>
          <w:tcPr>
            <w:tcW w:w="2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1,162,000</w:t>
            </w:r>
          </w:p>
        </w:tc>
        <w:tc>
          <w:tcPr>
            <w:tcW w:w="720" w:type="dxa"/>
            <w:vAlign w:val="bottom"/>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29.16</w:t>
            </w:r>
          </w:p>
        </w:tc>
        <w:tc>
          <w:tcPr>
            <w:tcW w:w="0" w:type="dxa"/>
            <w:vAlign w:val="bottom"/>
          </w:tcPr>
          <w:p>
            <w:pPr>
              <w:spacing w:after="0"/>
              <w:rPr>
                <w:sz w:val="1"/>
                <w:szCs w:val="1"/>
                <w:color w:val="auto"/>
              </w:rPr>
            </w:pPr>
          </w:p>
        </w:tc>
      </w:tr>
      <w:tr>
        <w:trPr>
          <w:trHeight w:val="33"/>
        </w:trPr>
        <w:tc>
          <w:tcPr>
            <w:tcW w:w="1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0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10,071,000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22.19</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2,351,000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47.53</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12,422,000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26.98</w:t>
            </w:r>
          </w:p>
        </w:tc>
        <w:tc>
          <w:tcPr>
            <w:tcW w:w="0" w:type="dxa"/>
            <w:vAlign w:val="bottom"/>
          </w:tcPr>
          <w:p>
            <w:pPr>
              <w:spacing w:after="0"/>
              <w:rPr>
                <w:sz w:val="1"/>
                <w:szCs w:val="1"/>
                <w:color w:val="auto"/>
              </w:rPr>
            </w:pPr>
          </w:p>
        </w:tc>
      </w:tr>
      <w:tr>
        <w:trPr>
          <w:trHeight w:val="244"/>
        </w:trPr>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15,048,000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21.92</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7,016,000</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45.32</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22,064,000</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29.36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2"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840" w:hanging="805"/>
        <w:spacing w:after="0"/>
        <w:tabs>
          <w:tab w:leader="none" w:pos="8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Anchor is defined as a commercial tenant leasing 10,000 square feet or more.</w:t>
      </w:r>
    </w:p>
    <w:p>
      <w:pPr>
        <w:spacing w:after="0" w:line="72" w:lineRule="exact"/>
        <w:rPr>
          <w:rFonts w:ascii="Arial" w:cs="Arial" w:eastAsia="Arial" w:hAnsi="Arial"/>
          <w:sz w:val="16"/>
          <w:szCs w:val="16"/>
          <w:color w:val="auto"/>
        </w:rPr>
      </w:pPr>
    </w:p>
    <w:p>
      <w:pPr>
        <w:ind w:left="840" w:hanging="805"/>
        <w:spacing w:after="0"/>
        <w:tabs>
          <w:tab w:leader="none" w:pos="8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Minimum Rent reflects in-place contractual (defined as cash-basis excluding rent abatements) rent as of March 31, 2020.</w:t>
      </w:r>
    </w:p>
    <w:p>
      <w:pPr>
        <w:spacing w:after="0" w:line="72" w:lineRule="exact"/>
        <w:rPr>
          <w:rFonts w:ascii="Arial" w:cs="Arial" w:eastAsia="Arial" w:hAnsi="Arial"/>
          <w:sz w:val="16"/>
          <w:szCs w:val="16"/>
          <w:color w:val="auto"/>
        </w:rPr>
      </w:pPr>
    </w:p>
    <w:p>
      <w:pPr>
        <w:ind w:left="840" w:hanging="805"/>
        <w:spacing w:after="0"/>
        <w:tabs>
          <w:tab w:leader="none" w:pos="8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occupied square footage of the commercial portion of our portfolio as of March 31, 2020.</w:t>
      </w:r>
    </w:p>
    <w:p>
      <w:pPr>
        <w:spacing w:after="0" w:line="72" w:lineRule="exact"/>
        <w:rPr>
          <w:rFonts w:ascii="Arial" w:cs="Arial" w:eastAsia="Arial" w:hAnsi="Arial"/>
          <w:sz w:val="16"/>
          <w:szCs w:val="16"/>
          <w:color w:val="auto"/>
        </w:rPr>
      </w:pPr>
    </w:p>
    <w:p>
      <w:pPr>
        <w:ind w:left="840" w:hanging="805"/>
        <w:spacing w:after="0"/>
        <w:tabs>
          <w:tab w:leader="none" w:pos="8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715" w:right="339" w:bottom="1440" w:gutter="0" w:footer="0" w:header="0"/>
        </w:sectPr>
      </w:pPr>
    </w:p>
    <w:bookmarkStart w:id="28" w:name="page29"/>
    <w:bookmarkEnd w:id="28"/>
    <w:p>
      <w:pPr>
        <w:ind w:left="40" w:right="1220"/>
        <w:spacing w:after="0" w:line="328" w:lineRule="auto"/>
        <w:rPr>
          <w:sz w:val="20"/>
          <w:szCs w:val="20"/>
          <w:color w:val="auto"/>
        </w:rPr>
      </w:pPr>
      <w:r>
        <w:rPr>
          <w:rFonts w:ascii="Arial" w:cs="Arial" w:eastAsia="Arial" w:hAnsi="Arial"/>
          <w:sz w:val="18"/>
          <w:szCs w:val="18"/>
          <w:b w:val="1"/>
          <w:bCs w:val="1"/>
          <w:color w:val="auto"/>
        </w:rPr>
        <w:t>Federal Realty Investment Trust Portfolio Leased Statistics March 31, 2020</w:t>
      </w:r>
    </w:p>
    <w:p>
      <w:pPr>
        <w:spacing w:after="0" w:line="249"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Overall Portfolio Statistics (1)</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Type</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5"/>
          <w:szCs w:val="15"/>
          <w:color w:val="auto"/>
        </w:rPr>
        <w:t>Commercial Properties (2) (3) (4) (sf)</w:t>
      </w:r>
    </w:p>
    <w:p>
      <w:pPr>
        <w:spacing w:after="0" w:line="368"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Residential Properties (units)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15"/>
          <w:szCs w:val="15"/>
          <w:b w:val="1"/>
          <w:bCs w:val="1"/>
          <w:u w:val="single" w:color="auto"/>
          <w:color w:val="auto"/>
        </w:rPr>
        <w:t>Comparable Property Statistics (1)</w:t>
      </w:r>
    </w:p>
    <w:p>
      <w:pPr>
        <w:spacing w:after="0" w:line="385"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Type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At March 31, 2020</w:t>
            </w:r>
          </w:p>
        </w:tc>
        <w:tc>
          <w:tcPr>
            <w:tcW w:w="6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At March 31, 2019</w:t>
            </w: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r>
        <w:trPr>
          <w:trHeight w:val="472"/>
        </w:trPr>
        <w:tc>
          <w:tcPr>
            <w:tcW w:w="7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76"/>
              </w:rPr>
              <w:t>Size</w:t>
            </w:r>
          </w:p>
        </w:tc>
        <w:tc>
          <w:tcPr>
            <w:tcW w:w="1480" w:type="dxa"/>
            <w:vAlign w:val="bottom"/>
            <w:gridSpan w:val="3"/>
          </w:tcPr>
          <w:p>
            <w:pPr>
              <w:ind w:left="660"/>
              <w:spacing w:after="0"/>
              <w:rPr>
                <w:sz w:val="20"/>
                <w:szCs w:val="20"/>
                <w:color w:val="auto"/>
              </w:rPr>
            </w:pPr>
            <w:r>
              <w:rPr>
                <w:rFonts w:ascii="Arial" w:cs="Arial" w:eastAsia="Arial" w:hAnsi="Arial"/>
                <w:sz w:val="16"/>
                <w:szCs w:val="16"/>
                <w:color w:val="auto"/>
              </w:rPr>
              <w:t>Leased</w:t>
            </w:r>
          </w:p>
        </w:tc>
        <w:tc>
          <w:tcPr>
            <w:tcW w:w="980" w:type="dxa"/>
            <w:vAlign w:val="bottom"/>
            <w:gridSpan w:val="2"/>
          </w:tcPr>
          <w:p>
            <w:pPr>
              <w:jc w:val="right"/>
              <w:ind w:right="340"/>
              <w:spacing w:after="0"/>
              <w:rPr>
                <w:sz w:val="20"/>
                <w:szCs w:val="20"/>
                <w:color w:val="auto"/>
              </w:rPr>
            </w:pPr>
            <w:r>
              <w:rPr>
                <w:rFonts w:ascii="Arial" w:cs="Arial" w:eastAsia="Arial" w:hAnsi="Arial"/>
                <w:sz w:val="16"/>
                <w:szCs w:val="16"/>
                <w:color w:val="auto"/>
                <w:w w:val="87"/>
              </w:rPr>
              <w:t>Leased %</w:t>
            </w:r>
          </w:p>
        </w:tc>
        <w:tc>
          <w:tcPr>
            <w:tcW w:w="640" w:type="dxa"/>
            <w:vAlign w:val="bottom"/>
          </w:tcPr>
          <w:p>
            <w:pPr>
              <w:spacing w:after="0"/>
              <w:rPr>
                <w:sz w:val="24"/>
                <w:szCs w:val="24"/>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w w:val="83"/>
              </w:rPr>
              <w:t>Size</w:t>
            </w:r>
          </w:p>
        </w:tc>
        <w:tc>
          <w:tcPr>
            <w:tcW w:w="1500" w:type="dxa"/>
            <w:vAlign w:val="bottom"/>
            <w:gridSpan w:val="3"/>
          </w:tcPr>
          <w:p>
            <w:pPr>
              <w:ind w:left="580"/>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20"/>
        </w:trPr>
        <w:tc>
          <w:tcPr>
            <w:tcW w:w="7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55"/>
        </w:trPr>
        <w:tc>
          <w:tcPr>
            <w:tcW w:w="1000" w:type="dxa"/>
            <w:vAlign w:val="bottom"/>
            <w:gridSpan w:val="2"/>
          </w:tcPr>
          <w:p>
            <w:pPr>
              <w:jc w:val="right"/>
              <w:spacing w:after="0"/>
              <w:rPr>
                <w:sz w:val="20"/>
                <w:szCs w:val="20"/>
                <w:color w:val="auto"/>
              </w:rPr>
            </w:pPr>
            <w:r>
              <w:rPr>
                <w:rFonts w:ascii="Arial" w:cs="Arial" w:eastAsia="Arial" w:hAnsi="Arial"/>
                <w:sz w:val="16"/>
                <w:szCs w:val="16"/>
                <w:color w:val="auto"/>
              </w:rPr>
              <w:t>24,055,000</w:t>
            </w:r>
          </w:p>
        </w:tc>
        <w:tc>
          <w:tcPr>
            <w:tcW w:w="1480" w:type="dxa"/>
            <w:vAlign w:val="bottom"/>
            <w:gridSpan w:val="3"/>
          </w:tcPr>
          <w:p>
            <w:pPr>
              <w:jc w:val="right"/>
              <w:ind w:right="360"/>
              <w:spacing w:after="0"/>
              <w:rPr>
                <w:sz w:val="20"/>
                <w:szCs w:val="20"/>
                <w:color w:val="auto"/>
              </w:rPr>
            </w:pPr>
            <w:r>
              <w:rPr>
                <w:rFonts w:ascii="Arial" w:cs="Arial" w:eastAsia="Arial" w:hAnsi="Arial"/>
                <w:sz w:val="16"/>
                <w:szCs w:val="16"/>
                <w:color w:val="auto"/>
              </w:rPr>
              <w:t>22,508,000</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93.6%</w:t>
            </w:r>
          </w:p>
        </w:tc>
        <w:tc>
          <w:tcPr>
            <w:tcW w:w="1000" w:type="dxa"/>
            <w:vAlign w:val="bottom"/>
            <w:gridSpan w:val="3"/>
          </w:tcPr>
          <w:p>
            <w:pPr>
              <w:jc w:val="right"/>
              <w:ind w:right="80"/>
              <w:spacing w:after="0"/>
              <w:rPr>
                <w:sz w:val="20"/>
                <w:szCs w:val="20"/>
                <w:color w:val="auto"/>
              </w:rPr>
            </w:pPr>
            <w:r>
              <w:rPr>
                <w:rFonts w:ascii="Arial" w:cs="Arial" w:eastAsia="Arial" w:hAnsi="Arial"/>
                <w:sz w:val="16"/>
                <w:szCs w:val="16"/>
                <w:color w:val="auto"/>
              </w:rPr>
              <w:t>24,177,000</w:t>
            </w:r>
          </w:p>
        </w:tc>
        <w:tc>
          <w:tcPr>
            <w:tcW w:w="1500" w:type="dxa"/>
            <w:vAlign w:val="bottom"/>
            <w:gridSpan w:val="3"/>
          </w:tcPr>
          <w:p>
            <w:pPr>
              <w:jc w:val="right"/>
              <w:ind w:right="460"/>
              <w:spacing w:after="0"/>
              <w:rPr>
                <w:sz w:val="20"/>
                <w:szCs w:val="20"/>
                <w:color w:val="auto"/>
              </w:rPr>
            </w:pPr>
            <w:r>
              <w:rPr>
                <w:rFonts w:ascii="Arial" w:cs="Arial" w:eastAsia="Arial" w:hAnsi="Arial"/>
                <w:sz w:val="16"/>
                <w:szCs w:val="16"/>
                <w:color w:val="auto"/>
              </w:rPr>
              <w:t>22,724,000</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94.0%</w:t>
            </w:r>
          </w:p>
        </w:tc>
      </w:tr>
      <w:tr>
        <w:trPr>
          <w:trHeight w:val="540"/>
        </w:trPr>
        <w:tc>
          <w:tcPr>
            <w:tcW w:w="1000" w:type="dxa"/>
            <w:vAlign w:val="bottom"/>
            <w:gridSpan w:val="2"/>
          </w:tcPr>
          <w:p>
            <w:pPr>
              <w:jc w:val="right"/>
              <w:spacing w:after="0"/>
              <w:rPr>
                <w:sz w:val="20"/>
                <w:szCs w:val="20"/>
                <w:color w:val="auto"/>
              </w:rPr>
            </w:pPr>
            <w:r>
              <w:rPr>
                <w:rFonts w:ascii="Arial" w:cs="Arial" w:eastAsia="Arial" w:hAnsi="Arial"/>
                <w:sz w:val="16"/>
                <w:szCs w:val="16"/>
                <w:color w:val="auto"/>
              </w:rPr>
              <w:t>2,794</w:t>
            </w:r>
          </w:p>
        </w:tc>
        <w:tc>
          <w:tcPr>
            <w:tcW w:w="1480" w:type="dxa"/>
            <w:vAlign w:val="bottom"/>
            <w:gridSpan w:val="3"/>
          </w:tcPr>
          <w:p>
            <w:pPr>
              <w:jc w:val="right"/>
              <w:ind w:right="360"/>
              <w:spacing w:after="0"/>
              <w:rPr>
                <w:sz w:val="20"/>
                <w:szCs w:val="20"/>
                <w:color w:val="auto"/>
              </w:rPr>
            </w:pPr>
            <w:r>
              <w:rPr>
                <w:rFonts w:ascii="Arial" w:cs="Arial" w:eastAsia="Arial" w:hAnsi="Arial"/>
                <w:sz w:val="16"/>
                <w:szCs w:val="16"/>
                <w:color w:val="auto"/>
              </w:rPr>
              <w:t>2,670</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95.6%</w:t>
            </w:r>
          </w:p>
        </w:tc>
        <w:tc>
          <w:tcPr>
            <w:tcW w:w="1000" w:type="dxa"/>
            <w:vAlign w:val="bottom"/>
            <w:gridSpan w:val="3"/>
          </w:tcPr>
          <w:p>
            <w:pPr>
              <w:jc w:val="right"/>
              <w:ind w:right="80"/>
              <w:spacing w:after="0"/>
              <w:rPr>
                <w:sz w:val="20"/>
                <w:szCs w:val="20"/>
                <w:color w:val="auto"/>
              </w:rPr>
            </w:pPr>
            <w:r>
              <w:rPr>
                <w:rFonts w:ascii="Arial" w:cs="Arial" w:eastAsia="Arial" w:hAnsi="Arial"/>
                <w:sz w:val="16"/>
                <w:szCs w:val="16"/>
                <w:color w:val="auto"/>
              </w:rPr>
              <w:t>2,669</w:t>
            </w:r>
          </w:p>
        </w:tc>
        <w:tc>
          <w:tcPr>
            <w:tcW w:w="1500" w:type="dxa"/>
            <w:vAlign w:val="bottom"/>
            <w:gridSpan w:val="3"/>
          </w:tcPr>
          <w:p>
            <w:pPr>
              <w:jc w:val="right"/>
              <w:ind w:right="460"/>
              <w:spacing w:after="0"/>
              <w:rPr>
                <w:sz w:val="20"/>
                <w:szCs w:val="20"/>
                <w:color w:val="auto"/>
              </w:rPr>
            </w:pPr>
            <w:r>
              <w:rPr>
                <w:rFonts w:ascii="Arial" w:cs="Arial" w:eastAsia="Arial" w:hAnsi="Arial"/>
                <w:sz w:val="16"/>
                <w:szCs w:val="16"/>
                <w:color w:val="auto"/>
              </w:rPr>
              <w:t>2,560</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95.9%</w:t>
            </w:r>
          </w:p>
        </w:tc>
      </w:tr>
      <w:tr>
        <w:trPr>
          <w:trHeight w:val="864"/>
        </w:trPr>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At March 31, 2020</w:t>
            </w: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At March 31, 2019</w:t>
            </w: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472"/>
        </w:trPr>
        <w:tc>
          <w:tcPr>
            <w:tcW w:w="7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76"/>
              </w:rPr>
              <w:t>Size</w:t>
            </w:r>
          </w:p>
        </w:tc>
        <w:tc>
          <w:tcPr>
            <w:tcW w:w="1480" w:type="dxa"/>
            <w:vAlign w:val="bottom"/>
            <w:gridSpan w:val="3"/>
          </w:tcPr>
          <w:p>
            <w:pPr>
              <w:ind w:left="660"/>
              <w:spacing w:after="0"/>
              <w:rPr>
                <w:sz w:val="20"/>
                <w:szCs w:val="20"/>
                <w:color w:val="auto"/>
              </w:rPr>
            </w:pPr>
            <w:r>
              <w:rPr>
                <w:rFonts w:ascii="Arial" w:cs="Arial" w:eastAsia="Arial" w:hAnsi="Arial"/>
                <w:sz w:val="16"/>
                <w:szCs w:val="16"/>
                <w:color w:val="auto"/>
              </w:rPr>
              <w:t>Leased</w:t>
            </w:r>
          </w:p>
        </w:tc>
        <w:tc>
          <w:tcPr>
            <w:tcW w:w="980" w:type="dxa"/>
            <w:vAlign w:val="bottom"/>
            <w:gridSpan w:val="2"/>
          </w:tcPr>
          <w:p>
            <w:pPr>
              <w:jc w:val="right"/>
              <w:ind w:right="340"/>
              <w:spacing w:after="0"/>
              <w:rPr>
                <w:sz w:val="20"/>
                <w:szCs w:val="20"/>
                <w:color w:val="auto"/>
              </w:rPr>
            </w:pPr>
            <w:r>
              <w:rPr>
                <w:rFonts w:ascii="Arial" w:cs="Arial" w:eastAsia="Arial" w:hAnsi="Arial"/>
                <w:sz w:val="16"/>
                <w:szCs w:val="16"/>
                <w:color w:val="auto"/>
                <w:w w:val="87"/>
              </w:rPr>
              <w:t>Leased %</w:t>
            </w:r>
          </w:p>
        </w:tc>
        <w:tc>
          <w:tcPr>
            <w:tcW w:w="640" w:type="dxa"/>
            <w:vAlign w:val="bottom"/>
          </w:tcPr>
          <w:p>
            <w:pPr>
              <w:spacing w:after="0"/>
              <w:rPr>
                <w:sz w:val="24"/>
                <w:szCs w:val="24"/>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w w:val="83"/>
              </w:rPr>
              <w:t>Size</w:t>
            </w:r>
          </w:p>
        </w:tc>
        <w:tc>
          <w:tcPr>
            <w:tcW w:w="1500" w:type="dxa"/>
            <w:vAlign w:val="bottom"/>
            <w:gridSpan w:val="3"/>
          </w:tcPr>
          <w:p>
            <w:pPr>
              <w:ind w:left="580"/>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20"/>
        </w:trPr>
        <w:tc>
          <w:tcPr>
            <w:tcW w:w="7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-2056765</wp:posOffset>
            </wp:positionV>
            <wp:extent cx="7132320" cy="27774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7774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60" w:space="720"/>
            <w:col w:w="6760"/>
          </w:cols>
          <w:pgMar w:left="320" w:top="715" w:right="339" w:bottom="1440" w:gutter="0" w:footer="0" w:header="0"/>
        </w:sectPr>
      </w:pP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3480" w:type="dxa"/>
            <w:vAlign w:val="bottom"/>
          </w:tcPr>
          <w:p>
            <w:pPr>
              <w:spacing w:after="0"/>
              <w:rPr>
                <w:sz w:val="20"/>
                <w:szCs w:val="20"/>
                <w:color w:val="auto"/>
              </w:rPr>
            </w:pPr>
            <w:r>
              <w:rPr>
                <w:rFonts w:ascii="Arial" w:cs="Arial" w:eastAsia="Arial" w:hAnsi="Arial"/>
                <w:sz w:val="16"/>
                <w:szCs w:val="16"/>
                <w:color w:val="auto"/>
              </w:rPr>
              <w:t>Commercial Properties (2) (4) (sf)</w:t>
            </w:r>
          </w:p>
        </w:tc>
        <w:tc>
          <w:tcPr>
            <w:tcW w:w="2160" w:type="dxa"/>
            <w:vAlign w:val="bottom"/>
          </w:tcPr>
          <w:p>
            <w:pPr>
              <w:jc w:val="right"/>
              <w:ind w:right="119"/>
              <w:spacing w:after="0"/>
              <w:rPr>
                <w:sz w:val="20"/>
                <w:szCs w:val="20"/>
                <w:color w:val="auto"/>
              </w:rPr>
            </w:pPr>
            <w:r>
              <w:rPr>
                <w:rFonts w:ascii="Arial" w:cs="Arial" w:eastAsia="Arial" w:hAnsi="Arial"/>
                <w:sz w:val="16"/>
                <w:szCs w:val="16"/>
                <w:color w:val="auto"/>
              </w:rPr>
              <w:t>22,117,000</w:t>
            </w:r>
          </w:p>
        </w:tc>
        <w:tc>
          <w:tcPr>
            <w:tcW w:w="1280" w:type="dxa"/>
            <w:vAlign w:val="bottom"/>
          </w:tcPr>
          <w:p>
            <w:pPr>
              <w:jc w:val="right"/>
              <w:ind w:right="279"/>
              <w:spacing w:after="0"/>
              <w:rPr>
                <w:sz w:val="20"/>
                <w:szCs w:val="20"/>
                <w:color w:val="auto"/>
              </w:rPr>
            </w:pPr>
            <w:r>
              <w:rPr>
                <w:rFonts w:ascii="Arial" w:cs="Arial" w:eastAsia="Arial" w:hAnsi="Arial"/>
                <w:sz w:val="16"/>
                <w:szCs w:val="16"/>
                <w:color w:val="auto"/>
              </w:rPr>
              <w:t>20,835,000</w:t>
            </w:r>
          </w:p>
        </w:tc>
        <w:tc>
          <w:tcPr>
            <w:tcW w:w="780" w:type="dxa"/>
            <w:vAlign w:val="bottom"/>
          </w:tcPr>
          <w:p>
            <w:pPr>
              <w:jc w:val="right"/>
              <w:spacing w:after="0"/>
              <w:rPr>
                <w:sz w:val="20"/>
                <w:szCs w:val="20"/>
                <w:color w:val="auto"/>
              </w:rPr>
            </w:pPr>
            <w:r>
              <w:rPr>
                <w:rFonts w:ascii="Arial" w:cs="Arial" w:eastAsia="Arial" w:hAnsi="Arial"/>
                <w:sz w:val="16"/>
                <w:szCs w:val="16"/>
                <w:color w:val="auto"/>
              </w:rPr>
              <w:t>94.2%</w:t>
            </w:r>
          </w:p>
        </w:tc>
      </w:tr>
    </w:tbl>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tabs>
          <w:tab w:leader="none" w:pos="1080" w:val="left"/>
          <w:tab w:leader="none" w:pos="2640" w:val="left"/>
        </w:tabs>
        <w:rPr>
          <w:sz w:val="20"/>
          <w:szCs w:val="20"/>
          <w:color w:val="auto"/>
        </w:rPr>
      </w:pPr>
      <w:r>
        <w:rPr>
          <w:rFonts w:ascii="Arial" w:cs="Arial" w:eastAsia="Arial" w:hAnsi="Arial"/>
          <w:sz w:val="16"/>
          <w:szCs w:val="16"/>
          <w:color w:val="auto"/>
        </w:rPr>
        <w:t>22,307,000</w:t>
      </w:r>
      <w:r>
        <w:rPr>
          <w:sz w:val="20"/>
          <w:szCs w:val="20"/>
          <w:color w:val="auto"/>
        </w:rPr>
        <w:tab/>
      </w:r>
      <w:r>
        <w:rPr>
          <w:rFonts w:ascii="Arial" w:cs="Arial" w:eastAsia="Arial" w:hAnsi="Arial"/>
          <w:sz w:val="16"/>
          <w:szCs w:val="16"/>
          <w:color w:val="auto"/>
        </w:rPr>
        <w:t>21,079,000</w:t>
      </w:r>
      <w:r>
        <w:rPr>
          <w:sz w:val="20"/>
          <w:szCs w:val="20"/>
          <w:color w:val="auto"/>
        </w:rPr>
        <w:tab/>
      </w:r>
      <w:r>
        <w:rPr>
          <w:rFonts w:ascii="Arial" w:cs="Arial" w:eastAsia="Arial" w:hAnsi="Arial"/>
          <w:sz w:val="14"/>
          <w:szCs w:val="14"/>
          <w:color w:val="auto"/>
        </w:rPr>
        <w:t>94.5%</w:t>
      </w:r>
    </w:p>
    <w:p>
      <w:pPr>
        <w:spacing w:after="0" w:line="222" w:lineRule="exact"/>
        <w:rPr>
          <w:sz w:val="20"/>
          <w:szCs w:val="20"/>
          <w:color w:val="auto"/>
        </w:rPr>
      </w:pPr>
    </w:p>
    <w:p>
      <w:pPr>
        <w:sectPr>
          <w:pgSz w:w="11900" w:h="16838" w:orient="portrait"/>
          <w:cols w:equalWidth="0" w:num="2">
            <w:col w:w="7740" w:space="400"/>
            <w:col w:w="3100"/>
          </w:cols>
          <w:pgMar w:left="320" w:top="715" w:right="339" w:bottom="1440" w:gutter="0" w:footer="0" w:header="0"/>
          <w:type w:val="continuous"/>
        </w:sectPr>
      </w:pP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3480" w:type="dxa"/>
            <w:vAlign w:val="bottom"/>
          </w:tcPr>
          <w:p>
            <w:pPr>
              <w:spacing w:after="0"/>
              <w:rPr>
                <w:sz w:val="20"/>
                <w:szCs w:val="20"/>
                <w:color w:val="auto"/>
              </w:rPr>
            </w:pPr>
            <w:r>
              <w:rPr>
                <w:rFonts w:ascii="Arial" w:cs="Arial" w:eastAsia="Arial" w:hAnsi="Arial"/>
                <w:sz w:val="16"/>
                <w:szCs w:val="16"/>
                <w:color w:val="auto"/>
              </w:rPr>
              <w:t>Residential Properties (units)</w:t>
            </w:r>
          </w:p>
        </w:tc>
        <w:tc>
          <w:tcPr>
            <w:tcW w:w="2340" w:type="dxa"/>
            <w:vAlign w:val="bottom"/>
          </w:tcPr>
          <w:p>
            <w:pPr>
              <w:jc w:val="right"/>
              <w:ind w:right="299"/>
              <w:spacing w:after="0"/>
              <w:rPr>
                <w:sz w:val="20"/>
                <w:szCs w:val="20"/>
                <w:color w:val="auto"/>
              </w:rPr>
            </w:pPr>
            <w:r>
              <w:rPr>
                <w:rFonts w:ascii="Arial" w:cs="Arial" w:eastAsia="Arial" w:hAnsi="Arial"/>
                <w:sz w:val="16"/>
                <w:szCs w:val="16"/>
                <w:color w:val="auto"/>
              </w:rPr>
              <w:t>2,663</w:t>
            </w:r>
          </w:p>
        </w:tc>
        <w:tc>
          <w:tcPr>
            <w:tcW w:w="1100" w:type="dxa"/>
            <w:vAlign w:val="bottom"/>
          </w:tcPr>
          <w:p>
            <w:pPr>
              <w:jc w:val="right"/>
              <w:ind w:right="279"/>
              <w:spacing w:after="0"/>
              <w:rPr>
                <w:sz w:val="20"/>
                <w:szCs w:val="20"/>
                <w:color w:val="auto"/>
              </w:rPr>
            </w:pPr>
            <w:r>
              <w:rPr>
                <w:rFonts w:ascii="Arial" w:cs="Arial" w:eastAsia="Arial" w:hAnsi="Arial"/>
                <w:sz w:val="16"/>
                <w:szCs w:val="16"/>
                <w:color w:val="auto"/>
              </w:rPr>
              <w:t>2,549</w:t>
            </w:r>
          </w:p>
        </w:tc>
        <w:tc>
          <w:tcPr>
            <w:tcW w:w="780" w:type="dxa"/>
            <w:vAlign w:val="bottom"/>
          </w:tcPr>
          <w:p>
            <w:pPr>
              <w:jc w:val="right"/>
              <w:spacing w:after="0"/>
              <w:rPr>
                <w:sz w:val="20"/>
                <w:szCs w:val="20"/>
                <w:color w:val="auto"/>
              </w:rPr>
            </w:pPr>
            <w:r>
              <w:rPr>
                <w:rFonts w:ascii="Arial" w:cs="Arial" w:eastAsia="Arial" w:hAnsi="Arial"/>
                <w:sz w:val="16"/>
                <w:szCs w:val="16"/>
                <w:color w:val="auto"/>
              </w:rPr>
              <w:t>95.7%</w:t>
            </w:r>
          </w:p>
        </w:tc>
      </w:tr>
    </w:tbl>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tabs>
          <w:tab w:leader="none" w:pos="1080" w:val="left"/>
          <w:tab w:leader="none" w:pos="2280" w:val="left"/>
        </w:tabs>
        <w:rPr>
          <w:sz w:val="20"/>
          <w:szCs w:val="20"/>
          <w:color w:val="auto"/>
        </w:rPr>
      </w:pPr>
      <w:r>
        <w:rPr>
          <w:rFonts w:ascii="Arial" w:cs="Arial" w:eastAsia="Arial" w:hAnsi="Arial"/>
          <w:sz w:val="16"/>
          <w:szCs w:val="16"/>
          <w:color w:val="auto"/>
        </w:rPr>
        <w:t>2,663</w:t>
      </w:r>
      <w:r>
        <w:rPr>
          <w:sz w:val="20"/>
          <w:szCs w:val="20"/>
          <w:color w:val="auto"/>
        </w:rPr>
        <w:tab/>
      </w:r>
      <w:r>
        <w:rPr>
          <w:rFonts w:ascii="Arial" w:cs="Arial" w:eastAsia="Arial" w:hAnsi="Arial"/>
          <w:sz w:val="16"/>
          <w:szCs w:val="16"/>
          <w:color w:val="auto"/>
        </w:rPr>
        <w:t>2,556</w:t>
      </w:r>
      <w:r>
        <w:rPr>
          <w:sz w:val="20"/>
          <w:szCs w:val="20"/>
          <w:color w:val="auto"/>
        </w:rPr>
        <w:tab/>
      </w:r>
      <w:r>
        <w:rPr>
          <w:rFonts w:ascii="Arial" w:cs="Arial" w:eastAsia="Arial" w:hAnsi="Arial"/>
          <w:sz w:val="14"/>
          <w:szCs w:val="14"/>
          <w:color w:val="auto"/>
        </w:rPr>
        <w:t>96.0%</w:t>
      </w:r>
    </w:p>
    <w:p>
      <w:pPr>
        <w:spacing w:after="0" w:line="222" w:lineRule="exact"/>
        <w:rPr>
          <w:sz w:val="20"/>
          <w:szCs w:val="20"/>
          <w:color w:val="auto"/>
        </w:rPr>
      </w:pPr>
    </w:p>
    <w:p>
      <w:pPr>
        <w:sectPr>
          <w:pgSz w:w="11900" w:h="16838" w:orient="portrait"/>
          <w:cols w:equalWidth="0" w:num="2">
            <w:col w:w="7780" w:space="720"/>
            <w:col w:w="2740"/>
          </w:cols>
          <w:pgMar w:left="320" w:top="715" w:right="339" w:bottom="1440" w:gutter="0" w:footer="0" w:header="0"/>
          <w:type w:val="continuous"/>
        </w:sect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167" w:lineRule="exact"/>
        <w:rPr>
          <w:sz w:val="20"/>
          <w:szCs w:val="20"/>
          <w:color w:val="auto"/>
        </w:rPr>
      </w:pPr>
    </w:p>
    <w:p>
      <w:pPr>
        <w:ind w:left="840" w:hanging="805"/>
        <w:spacing w:after="0"/>
        <w:tabs>
          <w:tab w:leader="none" w:pos="8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72" w:lineRule="exact"/>
        <w:rPr>
          <w:rFonts w:ascii="Arial" w:cs="Arial" w:eastAsia="Arial" w:hAnsi="Arial"/>
          <w:sz w:val="16"/>
          <w:szCs w:val="16"/>
          <w:color w:val="auto"/>
        </w:rPr>
      </w:pPr>
    </w:p>
    <w:p>
      <w:pPr>
        <w:ind w:left="840" w:hanging="805"/>
        <w:spacing w:after="0"/>
        <w:tabs>
          <w:tab w:leader="none" w:pos="8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Leasable square feet excludes redevelopment square footage not yet placed in service.</w:t>
      </w:r>
    </w:p>
    <w:p>
      <w:pPr>
        <w:spacing w:after="0" w:line="72" w:lineRule="exact"/>
        <w:rPr>
          <w:rFonts w:ascii="Arial" w:cs="Arial" w:eastAsia="Arial" w:hAnsi="Arial"/>
          <w:sz w:val="16"/>
          <w:szCs w:val="16"/>
          <w:color w:val="auto"/>
        </w:rPr>
      </w:pPr>
    </w:p>
    <w:p>
      <w:pPr>
        <w:ind w:left="840" w:hanging="805"/>
        <w:spacing w:after="0"/>
        <w:tabs>
          <w:tab w:leader="none" w:pos="8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At March 31, 2020 leased percentage was 97.2% for anchor tenants and 86.7% for small shop tenants.</w:t>
      </w:r>
    </w:p>
    <w:p>
      <w:pPr>
        <w:spacing w:after="0" w:line="72" w:lineRule="exact"/>
        <w:rPr>
          <w:rFonts w:ascii="Arial" w:cs="Arial" w:eastAsia="Arial" w:hAnsi="Arial"/>
          <w:sz w:val="16"/>
          <w:szCs w:val="16"/>
          <w:color w:val="auto"/>
        </w:rPr>
      </w:pPr>
    </w:p>
    <w:p>
      <w:pPr>
        <w:ind w:left="840" w:right="140" w:hanging="805"/>
        <w:spacing w:after="0" w:line="293" w:lineRule="auto"/>
        <w:tabs>
          <w:tab w:leader="none" w:pos="8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Occupied percentage was 91.5% and 93.0% at March 31, 2020 and 2019, respectively, and comparable property occupied percentage was 92.2% and 93.5% at March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715" w:right="339" w:bottom="1440" w:gutter="0" w:footer="0" w:header="0"/>
          <w:type w:val="continuous"/>
        </w:sectPr>
      </w:pPr>
    </w:p>
    <w:bookmarkStart w:id="29" w:name="page30"/>
    <w:bookmarkEnd w:id="2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Top 25 Tenants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2020</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2880" w:type="dxa"/>
            <w:vAlign w:val="bottom"/>
            <w:vMerge w:val="restart"/>
          </w:tcPr>
          <w:p>
            <w:pPr>
              <w:jc w:val="center"/>
              <w:ind w:left="1028"/>
              <w:spacing w:after="0"/>
              <w:rPr>
                <w:sz w:val="20"/>
                <w:szCs w:val="20"/>
                <w:color w:val="auto"/>
              </w:rPr>
            </w:pPr>
            <w:r>
              <w:rPr>
                <w:rFonts w:ascii="Arial" w:cs="Arial" w:eastAsia="Arial" w:hAnsi="Arial"/>
                <w:sz w:val="14"/>
                <w:szCs w:val="14"/>
                <w:b w:val="1"/>
                <w:bCs w:val="1"/>
                <w:color w:val="auto"/>
                <w:w w:val="94"/>
              </w:rPr>
              <w:t>Credit Ratings</w:t>
            </w: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Annualized Base</w:t>
            </w:r>
          </w:p>
        </w:tc>
        <w:tc>
          <w:tcPr>
            <w:tcW w:w="1460" w:type="dxa"/>
            <w:vAlign w:val="bottom"/>
          </w:tcPr>
          <w:p>
            <w:pPr>
              <w:jc w:val="right"/>
              <w:ind w:right="68"/>
              <w:spacing w:after="0"/>
              <w:rPr>
                <w:sz w:val="20"/>
                <w:szCs w:val="20"/>
                <w:color w:val="auto"/>
              </w:rPr>
            </w:pPr>
            <w:r>
              <w:rPr>
                <w:rFonts w:ascii="Arial" w:cs="Arial" w:eastAsia="Arial" w:hAnsi="Arial"/>
                <w:sz w:val="14"/>
                <w:szCs w:val="14"/>
                <w:b w:val="1"/>
                <w:bCs w:val="1"/>
                <w:color w:val="auto"/>
              </w:rPr>
              <w:t>Percentage of Total</w:t>
            </w:r>
          </w:p>
        </w:tc>
        <w:tc>
          <w:tcPr>
            <w:tcW w:w="100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auto"/>
                <w:w w:val="94"/>
              </w:rPr>
              <w:t>Percentage of</w:t>
            </w: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Rank   Tenant Name</w:t>
            </w:r>
          </w:p>
        </w:tc>
        <w:tc>
          <w:tcPr>
            <w:tcW w:w="288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146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Annualized Base</w:t>
            </w:r>
          </w:p>
        </w:tc>
        <w:tc>
          <w:tcPr>
            <w:tcW w:w="10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Tenant GLA</w:t>
            </w:r>
          </w:p>
        </w:tc>
        <w:tc>
          <w:tcPr>
            <w:tcW w:w="104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Total GLA</w:t>
            </w:r>
          </w:p>
        </w:tc>
        <w:tc>
          <w:tcPr>
            <w:tcW w:w="92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Locations</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auto"/>
            </w:tcBorders>
            <w:vMerge w:val="continue"/>
          </w:tcPr>
          <w:p>
            <w:pPr>
              <w:spacing w:after="0"/>
              <w:rPr>
                <w:sz w:val="16"/>
                <w:szCs w:val="16"/>
                <w:color w:val="auto"/>
              </w:rPr>
            </w:pPr>
          </w:p>
        </w:tc>
        <w:tc>
          <w:tcPr>
            <w:tcW w:w="2880" w:type="dxa"/>
            <w:vAlign w:val="bottom"/>
            <w:tcBorders>
              <w:bottom w:val="single" w:sz="8" w:color="auto"/>
            </w:tcBorders>
          </w:tcPr>
          <w:p>
            <w:pPr>
              <w:jc w:val="center"/>
              <w:ind w:left="1028"/>
              <w:spacing w:after="0"/>
              <w:rPr>
                <w:sz w:val="20"/>
                <w:szCs w:val="20"/>
                <w:color w:val="auto"/>
              </w:rPr>
            </w:pPr>
            <w:r>
              <w:rPr>
                <w:rFonts w:ascii="Arial" w:cs="Arial" w:eastAsia="Arial" w:hAnsi="Arial"/>
                <w:sz w:val="14"/>
                <w:szCs w:val="14"/>
                <w:b w:val="1"/>
                <w:bCs w:val="1"/>
                <w:color w:val="auto"/>
                <w:w w:val="95"/>
              </w:rPr>
              <w:t>(S&amp;P/Moody's/Fitch) (1)</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Rent</w:t>
            </w:r>
          </w:p>
        </w:tc>
        <w:tc>
          <w:tcPr>
            <w:tcW w:w="1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Rent (3)</w:t>
            </w:r>
          </w:p>
        </w:tc>
        <w:tc>
          <w:tcPr>
            <w:tcW w:w="100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p>
      <w:pPr>
        <w:spacing w:after="0" w:line="287" w:lineRule="exact"/>
        <w:rPr>
          <w:sz w:val="20"/>
          <w:szCs w:val="20"/>
          <w:color w:val="auto"/>
        </w:rPr>
      </w:pPr>
    </w:p>
    <w:tbl>
      <w:tblPr>
        <w:tblLayout w:type="fixed"/>
        <w:tblInd w:w="220" w:type="dxa"/>
        <w:tblCellMar>
          <w:top w:w="0" w:type="dxa"/>
          <w:left w:w="0" w:type="dxa"/>
          <w:bottom w:w="0" w:type="dxa"/>
          <w:right w:w="0" w:type="dxa"/>
        </w:tblCellMar>
      </w:tblPr>
      <w:tr>
        <w:trPr>
          <w:trHeight w:val="206"/>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3300" w:type="dxa"/>
            <w:vAlign w:val="bottom"/>
          </w:tcPr>
          <w:p>
            <w:pPr>
              <w:ind w:left="120"/>
              <w:spacing w:after="0"/>
              <w:rPr>
                <w:sz w:val="20"/>
                <w:szCs w:val="20"/>
                <w:color w:val="auto"/>
              </w:rPr>
            </w:pPr>
            <w:r>
              <w:rPr>
                <w:rFonts w:ascii="Arial" w:cs="Arial" w:eastAsia="Arial" w:hAnsi="Arial"/>
                <w:sz w:val="16"/>
                <w:szCs w:val="16"/>
                <w:color w:val="auto"/>
              </w:rPr>
              <w:t>Splunk, Inc.</w:t>
            </w:r>
          </w:p>
        </w:tc>
        <w:tc>
          <w:tcPr>
            <w:tcW w:w="1560" w:type="dxa"/>
            <w:vAlign w:val="bottom"/>
          </w:tcPr>
          <w:p>
            <w:pPr>
              <w:jc w:val="center"/>
              <w:ind w:left="59"/>
              <w:spacing w:after="0"/>
              <w:rPr>
                <w:sz w:val="20"/>
                <w:szCs w:val="20"/>
                <w:color w:val="auto"/>
              </w:rPr>
            </w:pPr>
            <w:r>
              <w:rPr>
                <w:rFonts w:ascii="Arial" w:cs="Arial" w:eastAsia="Arial" w:hAnsi="Arial"/>
                <w:sz w:val="16"/>
                <w:szCs w:val="16"/>
                <w:color w:val="auto"/>
              </w:rPr>
              <w:t>NR/NR/NR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3300" w:type="dxa"/>
            <w:vAlign w:val="bottom"/>
          </w:tcPr>
          <w:p>
            <w:pPr>
              <w:ind w:left="120"/>
              <w:spacing w:after="0"/>
              <w:rPr>
                <w:sz w:val="20"/>
                <w:szCs w:val="20"/>
                <w:color w:val="auto"/>
              </w:rPr>
            </w:pPr>
            <w:r>
              <w:rPr>
                <w:rFonts w:ascii="Arial" w:cs="Arial" w:eastAsia="Arial" w:hAnsi="Arial"/>
                <w:sz w:val="16"/>
                <w:szCs w:val="16"/>
                <w:color w:val="auto"/>
              </w:rPr>
              <w:t>TJX Companies, The</w:t>
            </w:r>
          </w:p>
        </w:tc>
        <w:tc>
          <w:tcPr>
            <w:tcW w:w="1560" w:type="dxa"/>
            <w:vAlign w:val="bottom"/>
          </w:tcPr>
          <w:p>
            <w:pPr>
              <w:jc w:val="center"/>
              <w:ind w:left="59"/>
              <w:spacing w:after="0"/>
              <w:rPr>
                <w:sz w:val="20"/>
                <w:szCs w:val="20"/>
                <w:color w:val="auto"/>
              </w:rPr>
            </w:pPr>
            <w:r>
              <w:rPr>
                <w:rFonts w:ascii="Arial" w:cs="Arial" w:eastAsia="Arial" w:hAnsi="Arial"/>
                <w:sz w:val="16"/>
                <w:szCs w:val="16"/>
                <w:color w:val="auto"/>
              </w:rPr>
              <w:t>A/A2/NR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3300" w:type="dxa"/>
            <w:vAlign w:val="bottom"/>
          </w:tcPr>
          <w:p>
            <w:pPr>
              <w:ind w:left="120"/>
              <w:spacing w:after="0"/>
              <w:rPr>
                <w:sz w:val="20"/>
                <w:szCs w:val="20"/>
                <w:color w:val="auto"/>
              </w:rPr>
            </w:pPr>
            <w:r>
              <w:rPr>
                <w:rFonts w:ascii="Arial" w:cs="Arial" w:eastAsia="Arial" w:hAnsi="Arial"/>
                <w:sz w:val="16"/>
                <w:szCs w:val="16"/>
                <w:color w:val="auto"/>
              </w:rPr>
              <w:t>Ahold Delhaize</w:t>
            </w:r>
          </w:p>
        </w:tc>
        <w:tc>
          <w:tcPr>
            <w:tcW w:w="1560" w:type="dxa"/>
            <w:vAlign w:val="bottom"/>
          </w:tcPr>
          <w:p>
            <w:pPr>
              <w:jc w:val="center"/>
              <w:ind w:left="59"/>
              <w:spacing w:after="0"/>
              <w:rPr>
                <w:sz w:val="20"/>
                <w:szCs w:val="20"/>
                <w:color w:val="auto"/>
              </w:rPr>
            </w:pPr>
            <w:r>
              <w:rPr>
                <w:rFonts w:ascii="Arial" w:cs="Arial" w:eastAsia="Arial" w:hAnsi="Arial"/>
                <w:sz w:val="16"/>
                <w:szCs w:val="16"/>
                <w:color w:val="auto"/>
                <w:w w:val="97"/>
              </w:rPr>
              <w:t>BBB / Baa1 / BBB+</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3300" w:type="dxa"/>
            <w:vAlign w:val="bottom"/>
          </w:tcPr>
          <w:p>
            <w:pPr>
              <w:ind w:left="120"/>
              <w:spacing w:after="0"/>
              <w:rPr>
                <w:sz w:val="20"/>
                <w:szCs w:val="20"/>
                <w:color w:val="auto"/>
              </w:rPr>
            </w:pPr>
            <w:r>
              <w:rPr>
                <w:rFonts w:ascii="Arial" w:cs="Arial" w:eastAsia="Arial" w:hAnsi="Arial"/>
                <w:sz w:val="16"/>
                <w:szCs w:val="16"/>
                <w:color w:val="auto"/>
              </w:rPr>
              <w:t>L.A. Fitness International LLC</w:t>
            </w:r>
          </w:p>
        </w:tc>
        <w:tc>
          <w:tcPr>
            <w:tcW w:w="1560" w:type="dxa"/>
            <w:vAlign w:val="bottom"/>
          </w:tcPr>
          <w:p>
            <w:pPr>
              <w:jc w:val="center"/>
              <w:ind w:left="59"/>
              <w:spacing w:after="0"/>
              <w:rPr>
                <w:sz w:val="20"/>
                <w:szCs w:val="20"/>
                <w:color w:val="auto"/>
              </w:rPr>
            </w:pPr>
            <w:r>
              <w:rPr>
                <w:rFonts w:ascii="Arial" w:cs="Arial" w:eastAsia="Arial" w:hAnsi="Arial"/>
                <w:sz w:val="16"/>
                <w:szCs w:val="16"/>
                <w:color w:val="auto"/>
              </w:rPr>
              <w:t>B/B2/NR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3300" w:type="dxa"/>
            <w:vAlign w:val="bottom"/>
          </w:tcPr>
          <w:p>
            <w:pPr>
              <w:ind w:left="120"/>
              <w:spacing w:after="0"/>
              <w:rPr>
                <w:sz w:val="20"/>
                <w:szCs w:val="20"/>
                <w:color w:val="auto"/>
              </w:rPr>
            </w:pPr>
            <w:r>
              <w:rPr>
                <w:rFonts w:ascii="Arial" w:cs="Arial" w:eastAsia="Arial" w:hAnsi="Arial"/>
                <w:sz w:val="16"/>
                <w:szCs w:val="16"/>
                <w:color w:val="auto"/>
              </w:rPr>
              <w:t>Gap, Inc., The</w:t>
            </w:r>
          </w:p>
        </w:tc>
        <w:tc>
          <w:tcPr>
            <w:tcW w:w="1560" w:type="dxa"/>
            <w:vAlign w:val="bottom"/>
          </w:tcPr>
          <w:p>
            <w:pPr>
              <w:jc w:val="center"/>
              <w:ind w:left="59"/>
              <w:spacing w:after="0"/>
              <w:rPr>
                <w:sz w:val="20"/>
                <w:szCs w:val="20"/>
                <w:color w:val="auto"/>
              </w:rPr>
            </w:pPr>
            <w:r>
              <w:rPr>
                <w:rFonts w:ascii="Arial" w:cs="Arial" w:eastAsia="Arial" w:hAnsi="Arial"/>
                <w:sz w:val="16"/>
                <w:szCs w:val="16"/>
                <w:color w:val="auto"/>
                <w:w w:val="94"/>
              </w:rPr>
              <w:t>BB / Ba1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3300" w:type="dxa"/>
            <w:vAlign w:val="bottom"/>
          </w:tcPr>
          <w:p>
            <w:pPr>
              <w:ind w:left="120"/>
              <w:spacing w:after="0"/>
              <w:rPr>
                <w:sz w:val="20"/>
                <w:szCs w:val="20"/>
                <w:color w:val="auto"/>
              </w:rPr>
            </w:pPr>
            <w:r>
              <w:rPr>
                <w:rFonts w:ascii="Arial" w:cs="Arial" w:eastAsia="Arial" w:hAnsi="Arial"/>
                <w:sz w:val="16"/>
                <w:szCs w:val="16"/>
                <w:color w:val="auto"/>
              </w:rPr>
              <w:t>Bed, Bath &amp; Beyond, Inc.</w:t>
            </w:r>
          </w:p>
        </w:tc>
        <w:tc>
          <w:tcPr>
            <w:tcW w:w="1560" w:type="dxa"/>
            <w:vAlign w:val="bottom"/>
          </w:tcPr>
          <w:p>
            <w:pPr>
              <w:jc w:val="center"/>
              <w:ind w:left="59"/>
              <w:spacing w:after="0"/>
              <w:rPr>
                <w:sz w:val="20"/>
                <w:szCs w:val="20"/>
                <w:color w:val="auto"/>
              </w:rPr>
            </w:pPr>
            <w:r>
              <w:rPr>
                <w:rFonts w:ascii="Arial" w:cs="Arial" w:eastAsia="Arial" w:hAnsi="Arial"/>
                <w:sz w:val="16"/>
                <w:szCs w:val="16"/>
                <w:color w:val="auto"/>
                <w:w w:val="95"/>
              </w:rPr>
              <w:t>B+ / Ba2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3300" w:type="dxa"/>
            <w:vAlign w:val="bottom"/>
          </w:tcPr>
          <w:p>
            <w:pPr>
              <w:ind w:left="120"/>
              <w:spacing w:after="0"/>
              <w:rPr>
                <w:sz w:val="20"/>
                <w:szCs w:val="20"/>
                <w:color w:val="auto"/>
              </w:rPr>
            </w:pPr>
            <w:r>
              <w:rPr>
                <w:rFonts w:ascii="Arial" w:cs="Arial" w:eastAsia="Arial" w:hAnsi="Arial"/>
                <w:sz w:val="16"/>
                <w:szCs w:val="16"/>
                <w:color w:val="auto"/>
              </w:rPr>
              <w:t>CVS Corporation</w:t>
            </w:r>
          </w:p>
        </w:tc>
        <w:tc>
          <w:tcPr>
            <w:tcW w:w="1560" w:type="dxa"/>
            <w:vAlign w:val="bottom"/>
          </w:tcPr>
          <w:p>
            <w:pPr>
              <w:jc w:val="center"/>
              <w:ind w:left="59"/>
              <w:spacing w:after="0"/>
              <w:rPr>
                <w:sz w:val="20"/>
                <w:szCs w:val="20"/>
                <w:color w:val="auto"/>
              </w:rPr>
            </w:pPr>
            <w:r>
              <w:rPr>
                <w:rFonts w:ascii="Arial" w:cs="Arial" w:eastAsia="Arial" w:hAnsi="Arial"/>
                <w:sz w:val="16"/>
                <w:szCs w:val="16"/>
                <w:color w:val="auto"/>
                <w:w w:val="95"/>
              </w:rPr>
              <w:t>BBB / Baa2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3300" w:type="dxa"/>
            <w:vAlign w:val="bottom"/>
          </w:tcPr>
          <w:p>
            <w:pPr>
              <w:ind w:left="120"/>
              <w:spacing w:after="0"/>
              <w:rPr>
                <w:sz w:val="20"/>
                <w:szCs w:val="20"/>
                <w:color w:val="auto"/>
              </w:rPr>
            </w:pPr>
            <w:r>
              <w:rPr>
                <w:rFonts w:ascii="Arial" w:cs="Arial" w:eastAsia="Arial" w:hAnsi="Arial"/>
                <w:sz w:val="16"/>
                <w:szCs w:val="16"/>
                <w:color w:val="auto"/>
              </w:rPr>
              <w:t>AMC Entertainment Inc.</w:t>
            </w:r>
          </w:p>
        </w:tc>
        <w:tc>
          <w:tcPr>
            <w:tcW w:w="1560" w:type="dxa"/>
            <w:vAlign w:val="bottom"/>
          </w:tcPr>
          <w:p>
            <w:pPr>
              <w:jc w:val="center"/>
              <w:ind w:left="59"/>
              <w:spacing w:after="0"/>
              <w:rPr>
                <w:sz w:val="20"/>
                <w:szCs w:val="20"/>
                <w:color w:val="auto"/>
              </w:rPr>
            </w:pPr>
            <w:r>
              <w:rPr>
                <w:rFonts w:ascii="Arial" w:cs="Arial" w:eastAsia="Arial" w:hAnsi="Arial"/>
                <w:sz w:val="16"/>
                <w:szCs w:val="16"/>
                <w:color w:val="auto"/>
              </w:rPr>
              <w:t>B/B3/NR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3300" w:type="dxa"/>
            <w:vAlign w:val="bottom"/>
          </w:tcPr>
          <w:p>
            <w:pPr>
              <w:ind w:left="120"/>
              <w:spacing w:after="0"/>
              <w:rPr>
                <w:sz w:val="20"/>
                <w:szCs w:val="20"/>
                <w:color w:val="auto"/>
              </w:rPr>
            </w:pPr>
            <w:r>
              <w:rPr>
                <w:rFonts w:ascii="Arial" w:cs="Arial" w:eastAsia="Arial" w:hAnsi="Arial"/>
                <w:sz w:val="16"/>
                <w:szCs w:val="16"/>
                <w:color w:val="auto"/>
              </w:rPr>
              <w:t>Home Depot, Inc.</w:t>
            </w:r>
          </w:p>
        </w:tc>
        <w:tc>
          <w:tcPr>
            <w:tcW w:w="1560" w:type="dxa"/>
            <w:vAlign w:val="bottom"/>
          </w:tcPr>
          <w:p>
            <w:pPr>
              <w:jc w:val="center"/>
              <w:ind w:left="59"/>
              <w:spacing w:after="0"/>
              <w:rPr>
                <w:sz w:val="20"/>
                <w:szCs w:val="20"/>
                <w:color w:val="auto"/>
              </w:rPr>
            </w:pPr>
            <w:r>
              <w:rPr>
                <w:rFonts w:ascii="Arial" w:cs="Arial" w:eastAsia="Arial" w:hAnsi="Arial"/>
                <w:sz w:val="16"/>
                <w:szCs w:val="16"/>
                <w:color w:val="auto"/>
              </w:rPr>
              <w:t>A/A2/A</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10</w:t>
            </w:r>
          </w:p>
        </w:tc>
        <w:tc>
          <w:tcPr>
            <w:tcW w:w="3300" w:type="dxa"/>
            <w:vAlign w:val="bottom"/>
          </w:tcPr>
          <w:p>
            <w:pPr>
              <w:ind w:left="120"/>
              <w:spacing w:after="0"/>
              <w:rPr>
                <w:sz w:val="20"/>
                <w:szCs w:val="20"/>
                <w:color w:val="auto"/>
              </w:rPr>
            </w:pPr>
            <w:r>
              <w:rPr>
                <w:rFonts w:ascii="Arial" w:cs="Arial" w:eastAsia="Arial" w:hAnsi="Arial"/>
                <w:sz w:val="16"/>
                <w:szCs w:val="16"/>
                <w:color w:val="auto"/>
              </w:rPr>
              <w:t>Ross Stores, Inc.</w:t>
            </w:r>
          </w:p>
        </w:tc>
        <w:tc>
          <w:tcPr>
            <w:tcW w:w="1560" w:type="dxa"/>
            <w:vAlign w:val="bottom"/>
          </w:tcPr>
          <w:p>
            <w:pPr>
              <w:jc w:val="center"/>
              <w:ind w:left="59"/>
              <w:spacing w:after="0"/>
              <w:rPr>
                <w:sz w:val="20"/>
                <w:szCs w:val="20"/>
                <w:color w:val="auto"/>
              </w:rPr>
            </w:pPr>
            <w:r>
              <w:rPr>
                <w:rFonts w:ascii="Arial" w:cs="Arial" w:eastAsia="Arial" w:hAnsi="Arial"/>
                <w:sz w:val="16"/>
                <w:szCs w:val="16"/>
                <w:color w:val="auto"/>
                <w:w w:val="99"/>
              </w:rPr>
              <w:t>BBB+ / A2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11</w:t>
            </w:r>
          </w:p>
        </w:tc>
        <w:tc>
          <w:tcPr>
            <w:tcW w:w="3300" w:type="dxa"/>
            <w:vAlign w:val="bottom"/>
          </w:tcPr>
          <w:p>
            <w:pPr>
              <w:ind w:left="120"/>
              <w:spacing w:after="0"/>
              <w:rPr>
                <w:sz w:val="20"/>
                <w:szCs w:val="20"/>
                <w:color w:val="auto"/>
              </w:rPr>
            </w:pPr>
            <w:r>
              <w:rPr>
                <w:rFonts w:ascii="Arial" w:cs="Arial" w:eastAsia="Arial" w:hAnsi="Arial"/>
                <w:sz w:val="16"/>
                <w:szCs w:val="16"/>
                <w:color w:val="auto"/>
              </w:rPr>
              <w:t>Dick's Sporting Goods, Inc.</w:t>
            </w:r>
          </w:p>
        </w:tc>
        <w:tc>
          <w:tcPr>
            <w:tcW w:w="1560" w:type="dxa"/>
            <w:vAlign w:val="bottom"/>
          </w:tcPr>
          <w:p>
            <w:pPr>
              <w:jc w:val="center"/>
              <w:ind w:left="59"/>
              <w:spacing w:after="0"/>
              <w:rPr>
                <w:sz w:val="20"/>
                <w:szCs w:val="20"/>
                <w:color w:val="auto"/>
              </w:rPr>
            </w:pPr>
            <w:r>
              <w:rPr>
                <w:rFonts w:ascii="Arial" w:cs="Arial" w:eastAsia="Arial" w:hAnsi="Arial"/>
                <w:sz w:val="16"/>
                <w:szCs w:val="16"/>
                <w:color w:val="auto"/>
              </w:rPr>
              <w:t>NR/NR/NR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12</w:t>
            </w:r>
          </w:p>
        </w:tc>
        <w:tc>
          <w:tcPr>
            <w:tcW w:w="3300" w:type="dxa"/>
            <w:vAlign w:val="bottom"/>
          </w:tcPr>
          <w:p>
            <w:pPr>
              <w:ind w:left="120"/>
              <w:spacing w:after="0"/>
              <w:rPr>
                <w:sz w:val="20"/>
                <w:szCs w:val="20"/>
                <w:color w:val="auto"/>
              </w:rPr>
            </w:pPr>
            <w:r>
              <w:rPr>
                <w:rFonts w:ascii="Arial" w:cs="Arial" w:eastAsia="Arial" w:hAnsi="Arial"/>
                <w:sz w:val="16"/>
                <w:szCs w:val="16"/>
                <w:color w:val="auto"/>
              </w:rPr>
              <w:t>Michaels Stores, Inc.</w:t>
            </w:r>
          </w:p>
        </w:tc>
        <w:tc>
          <w:tcPr>
            <w:tcW w:w="1560" w:type="dxa"/>
            <w:vAlign w:val="bottom"/>
          </w:tcPr>
          <w:p>
            <w:pPr>
              <w:jc w:val="center"/>
              <w:ind w:left="59"/>
              <w:spacing w:after="0"/>
              <w:rPr>
                <w:sz w:val="20"/>
                <w:szCs w:val="20"/>
                <w:color w:val="auto"/>
              </w:rPr>
            </w:pPr>
            <w:r>
              <w:rPr>
                <w:rFonts w:ascii="Arial" w:cs="Arial" w:eastAsia="Arial" w:hAnsi="Arial"/>
                <w:sz w:val="16"/>
                <w:szCs w:val="16"/>
                <w:color w:val="auto"/>
                <w:w w:val="96"/>
              </w:rPr>
              <w:t>B / Ba2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13</w:t>
            </w:r>
          </w:p>
        </w:tc>
        <w:tc>
          <w:tcPr>
            <w:tcW w:w="3300" w:type="dxa"/>
            <w:vAlign w:val="bottom"/>
          </w:tcPr>
          <w:p>
            <w:pPr>
              <w:ind w:left="120"/>
              <w:spacing w:after="0"/>
              <w:rPr>
                <w:sz w:val="20"/>
                <w:szCs w:val="20"/>
                <w:color w:val="auto"/>
              </w:rPr>
            </w:pPr>
            <w:r>
              <w:rPr>
                <w:rFonts w:ascii="Arial" w:cs="Arial" w:eastAsia="Arial" w:hAnsi="Arial"/>
                <w:sz w:val="16"/>
                <w:szCs w:val="16"/>
                <w:color w:val="auto"/>
                <w:w w:val="96"/>
              </w:rPr>
              <w:t>Hudson's Bay Company (Saks, Lord &amp; Taylor)</w:t>
            </w:r>
          </w:p>
        </w:tc>
        <w:tc>
          <w:tcPr>
            <w:tcW w:w="1560" w:type="dxa"/>
            <w:vAlign w:val="bottom"/>
          </w:tcPr>
          <w:p>
            <w:pPr>
              <w:jc w:val="center"/>
              <w:ind w:left="59"/>
              <w:spacing w:after="0"/>
              <w:rPr>
                <w:sz w:val="20"/>
                <w:szCs w:val="20"/>
                <w:color w:val="auto"/>
              </w:rPr>
            </w:pPr>
            <w:r>
              <w:rPr>
                <w:rFonts w:ascii="Arial" w:cs="Arial" w:eastAsia="Arial" w:hAnsi="Arial"/>
                <w:sz w:val="16"/>
                <w:szCs w:val="16"/>
                <w:color w:val="auto"/>
              </w:rPr>
              <w:t>NR/NR/NR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14</w:t>
            </w:r>
          </w:p>
        </w:tc>
        <w:tc>
          <w:tcPr>
            <w:tcW w:w="3300" w:type="dxa"/>
            <w:vAlign w:val="bottom"/>
          </w:tcPr>
          <w:p>
            <w:pPr>
              <w:ind w:left="120"/>
              <w:spacing w:after="0"/>
              <w:rPr>
                <w:sz w:val="20"/>
                <w:szCs w:val="20"/>
                <w:color w:val="auto"/>
              </w:rPr>
            </w:pPr>
            <w:r>
              <w:rPr>
                <w:rFonts w:ascii="Arial" w:cs="Arial" w:eastAsia="Arial" w:hAnsi="Arial"/>
                <w:sz w:val="16"/>
                <w:szCs w:val="16"/>
                <w:color w:val="auto"/>
              </w:rPr>
              <w:t>Bank of America, N.A.</w:t>
            </w:r>
          </w:p>
        </w:tc>
        <w:tc>
          <w:tcPr>
            <w:tcW w:w="1560" w:type="dxa"/>
            <w:vAlign w:val="bottom"/>
          </w:tcPr>
          <w:p>
            <w:pPr>
              <w:jc w:val="center"/>
              <w:ind w:left="59"/>
              <w:spacing w:after="0"/>
              <w:rPr>
                <w:sz w:val="20"/>
                <w:szCs w:val="20"/>
                <w:color w:val="auto"/>
              </w:rPr>
            </w:pPr>
            <w:r>
              <w:rPr>
                <w:rFonts w:ascii="Arial" w:cs="Arial" w:eastAsia="Arial" w:hAnsi="Arial"/>
                <w:sz w:val="16"/>
                <w:szCs w:val="16"/>
                <w:color w:val="auto"/>
              </w:rPr>
              <w:t>A-/A2/A+</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15</w:t>
            </w:r>
          </w:p>
        </w:tc>
        <w:tc>
          <w:tcPr>
            <w:tcW w:w="3300" w:type="dxa"/>
            <w:vAlign w:val="bottom"/>
          </w:tcPr>
          <w:p>
            <w:pPr>
              <w:ind w:left="120"/>
              <w:spacing w:after="0"/>
              <w:rPr>
                <w:sz w:val="20"/>
                <w:szCs w:val="20"/>
                <w:color w:val="auto"/>
              </w:rPr>
            </w:pPr>
            <w:r>
              <w:rPr>
                <w:rFonts w:ascii="Arial" w:cs="Arial" w:eastAsia="Arial" w:hAnsi="Arial"/>
                <w:sz w:val="16"/>
                <w:szCs w:val="16"/>
                <w:color w:val="auto"/>
              </w:rPr>
              <w:t>Kroger Co., The</w:t>
            </w:r>
          </w:p>
        </w:tc>
        <w:tc>
          <w:tcPr>
            <w:tcW w:w="1560" w:type="dxa"/>
            <w:vAlign w:val="bottom"/>
          </w:tcPr>
          <w:p>
            <w:pPr>
              <w:jc w:val="center"/>
              <w:ind w:left="59"/>
              <w:spacing w:after="0"/>
              <w:rPr>
                <w:sz w:val="20"/>
                <w:szCs w:val="20"/>
                <w:color w:val="auto"/>
              </w:rPr>
            </w:pPr>
            <w:r>
              <w:rPr>
                <w:rFonts w:ascii="Arial" w:cs="Arial" w:eastAsia="Arial" w:hAnsi="Arial"/>
                <w:sz w:val="16"/>
                <w:szCs w:val="16"/>
                <w:color w:val="auto"/>
                <w:w w:val="95"/>
              </w:rPr>
              <w:t>BBB / Baa1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16</w:t>
            </w:r>
          </w:p>
        </w:tc>
        <w:tc>
          <w:tcPr>
            <w:tcW w:w="3300" w:type="dxa"/>
            <w:vAlign w:val="bottom"/>
          </w:tcPr>
          <w:p>
            <w:pPr>
              <w:ind w:left="120"/>
              <w:spacing w:after="0"/>
              <w:rPr>
                <w:sz w:val="20"/>
                <w:szCs w:val="20"/>
                <w:color w:val="auto"/>
              </w:rPr>
            </w:pPr>
            <w:r>
              <w:rPr>
                <w:rFonts w:ascii="Arial" w:cs="Arial" w:eastAsia="Arial" w:hAnsi="Arial"/>
                <w:sz w:val="16"/>
                <w:szCs w:val="16"/>
                <w:color w:val="auto"/>
              </w:rPr>
              <w:t>Nordstrom, Inc.</w:t>
            </w:r>
          </w:p>
        </w:tc>
        <w:tc>
          <w:tcPr>
            <w:tcW w:w="1560" w:type="dxa"/>
            <w:vAlign w:val="bottom"/>
          </w:tcPr>
          <w:p>
            <w:pPr>
              <w:jc w:val="center"/>
              <w:ind w:left="59"/>
              <w:spacing w:after="0"/>
              <w:rPr>
                <w:sz w:val="20"/>
                <w:szCs w:val="20"/>
                <w:color w:val="auto"/>
              </w:rPr>
            </w:pPr>
            <w:r>
              <w:rPr>
                <w:rFonts w:ascii="Arial" w:cs="Arial" w:eastAsia="Arial" w:hAnsi="Arial"/>
                <w:sz w:val="16"/>
                <w:szCs w:val="16"/>
                <w:color w:val="auto"/>
                <w:w w:val="96"/>
              </w:rPr>
              <w:t>BBB- / Baa2 / BBB+</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17</w:t>
            </w:r>
          </w:p>
        </w:tc>
        <w:tc>
          <w:tcPr>
            <w:tcW w:w="3300" w:type="dxa"/>
            <w:vAlign w:val="bottom"/>
          </w:tcPr>
          <w:p>
            <w:pPr>
              <w:ind w:left="120"/>
              <w:spacing w:after="0"/>
              <w:rPr>
                <w:sz w:val="20"/>
                <w:szCs w:val="20"/>
                <w:color w:val="auto"/>
              </w:rPr>
            </w:pPr>
            <w:r>
              <w:rPr>
                <w:rFonts w:ascii="Arial" w:cs="Arial" w:eastAsia="Arial" w:hAnsi="Arial"/>
                <w:sz w:val="16"/>
                <w:szCs w:val="16"/>
                <w:color w:val="auto"/>
              </w:rPr>
              <w:t>DSW, Inc</w:t>
            </w:r>
          </w:p>
        </w:tc>
        <w:tc>
          <w:tcPr>
            <w:tcW w:w="1560" w:type="dxa"/>
            <w:vAlign w:val="bottom"/>
          </w:tcPr>
          <w:p>
            <w:pPr>
              <w:jc w:val="center"/>
              <w:ind w:left="59"/>
              <w:spacing w:after="0"/>
              <w:rPr>
                <w:sz w:val="20"/>
                <w:szCs w:val="20"/>
                <w:color w:val="auto"/>
              </w:rPr>
            </w:pPr>
            <w:r>
              <w:rPr>
                <w:rFonts w:ascii="Arial" w:cs="Arial" w:eastAsia="Arial" w:hAnsi="Arial"/>
                <w:sz w:val="16"/>
                <w:szCs w:val="16"/>
                <w:color w:val="auto"/>
              </w:rPr>
              <w:t>NR/NR/NR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18</w:t>
            </w:r>
          </w:p>
        </w:tc>
        <w:tc>
          <w:tcPr>
            <w:tcW w:w="3300" w:type="dxa"/>
            <w:vAlign w:val="bottom"/>
          </w:tcPr>
          <w:p>
            <w:pPr>
              <w:ind w:left="120"/>
              <w:spacing w:after="0"/>
              <w:rPr>
                <w:sz w:val="20"/>
                <w:szCs w:val="20"/>
                <w:color w:val="auto"/>
              </w:rPr>
            </w:pPr>
            <w:r>
              <w:rPr>
                <w:rFonts w:ascii="Arial" w:cs="Arial" w:eastAsia="Arial" w:hAnsi="Arial"/>
                <w:sz w:val="16"/>
                <w:szCs w:val="16"/>
                <w:color w:val="auto"/>
              </w:rPr>
              <w:t>Best Buy Co., Inc.</w:t>
            </w:r>
          </w:p>
        </w:tc>
        <w:tc>
          <w:tcPr>
            <w:tcW w:w="1560" w:type="dxa"/>
            <w:vAlign w:val="bottom"/>
          </w:tcPr>
          <w:p>
            <w:pPr>
              <w:jc w:val="center"/>
              <w:ind w:left="59"/>
              <w:spacing w:after="0"/>
              <w:rPr>
                <w:sz w:val="20"/>
                <w:szCs w:val="20"/>
                <w:color w:val="auto"/>
              </w:rPr>
            </w:pPr>
            <w:r>
              <w:rPr>
                <w:rFonts w:ascii="Arial" w:cs="Arial" w:eastAsia="Arial" w:hAnsi="Arial"/>
                <w:sz w:val="16"/>
                <w:szCs w:val="16"/>
                <w:color w:val="auto"/>
                <w:w w:val="95"/>
              </w:rPr>
              <w:t>BBB / Baa1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19</w:t>
            </w:r>
          </w:p>
        </w:tc>
        <w:tc>
          <w:tcPr>
            <w:tcW w:w="3300" w:type="dxa"/>
            <w:vAlign w:val="bottom"/>
          </w:tcPr>
          <w:p>
            <w:pPr>
              <w:ind w:left="120"/>
              <w:spacing w:after="0"/>
              <w:rPr>
                <w:sz w:val="20"/>
                <w:szCs w:val="20"/>
                <w:color w:val="auto"/>
              </w:rPr>
            </w:pPr>
            <w:r>
              <w:rPr>
                <w:rFonts w:ascii="Arial" w:cs="Arial" w:eastAsia="Arial" w:hAnsi="Arial"/>
                <w:sz w:val="16"/>
                <w:szCs w:val="16"/>
                <w:color w:val="auto"/>
              </w:rPr>
              <w:t>Ulta Beauty, Inc.</w:t>
            </w:r>
          </w:p>
        </w:tc>
        <w:tc>
          <w:tcPr>
            <w:tcW w:w="1560" w:type="dxa"/>
            <w:vAlign w:val="bottom"/>
          </w:tcPr>
          <w:p>
            <w:pPr>
              <w:jc w:val="center"/>
              <w:ind w:left="59"/>
              <w:spacing w:after="0"/>
              <w:rPr>
                <w:sz w:val="20"/>
                <w:szCs w:val="20"/>
                <w:color w:val="auto"/>
              </w:rPr>
            </w:pPr>
            <w:r>
              <w:rPr>
                <w:rFonts w:ascii="Arial" w:cs="Arial" w:eastAsia="Arial" w:hAnsi="Arial"/>
                <w:sz w:val="16"/>
                <w:szCs w:val="16"/>
                <w:color w:val="auto"/>
              </w:rPr>
              <w:t>NR/NR/NR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20</w:t>
            </w:r>
          </w:p>
        </w:tc>
        <w:tc>
          <w:tcPr>
            <w:tcW w:w="3300" w:type="dxa"/>
            <w:vAlign w:val="bottom"/>
          </w:tcPr>
          <w:p>
            <w:pPr>
              <w:ind w:left="120"/>
              <w:spacing w:after="0"/>
              <w:rPr>
                <w:sz w:val="20"/>
                <w:szCs w:val="20"/>
                <w:color w:val="auto"/>
              </w:rPr>
            </w:pPr>
            <w:r>
              <w:rPr>
                <w:rFonts w:ascii="Arial" w:cs="Arial" w:eastAsia="Arial" w:hAnsi="Arial"/>
                <w:sz w:val="16"/>
                <w:szCs w:val="16"/>
                <w:color w:val="auto"/>
              </w:rPr>
              <w:t>Whole Foods Market, Inc.</w:t>
            </w:r>
          </w:p>
        </w:tc>
        <w:tc>
          <w:tcPr>
            <w:tcW w:w="1560" w:type="dxa"/>
            <w:vAlign w:val="bottom"/>
          </w:tcPr>
          <w:p>
            <w:pPr>
              <w:jc w:val="center"/>
              <w:ind w:left="79"/>
              <w:spacing w:after="0"/>
              <w:rPr>
                <w:sz w:val="20"/>
                <w:szCs w:val="20"/>
                <w:color w:val="auto"/>
              </w:rPr>
            </w:pPr>
            <w:r>
              <w:rPr>
                <w:rFonts w:ascii="Arial" w:cs="Arial" w:eastAsia="Arial" w:hAnsi="Arial"/>
                <w:sz w:val="16"/>
                <w:szCs w:val="16"/>
                <w:color w:val="auto"/>
              </w:rPr>
              <w:t>A+/A2/NR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21</w:t>
            </w:r>
          </w:p>
        </w:tc>
        <w:tc>
          <w:tcPr>
            <w:tcW w:w="3300" w:type="dxa"/>
            <w:vAlign w:val="bottom"/>
          </w:tcPr>
          <w:p>
            <w:pPr>
              <w:ind w:left="120"/>
              <w:spacing w:after="0"/>
              <w:rPr>
                <w:sz w:val="20"/>
                <w:szCs w:val="20"/>
                <w:color w:val="auto"/>
              </w:rPr>
            </w:pPr>
            <w:r>
              <w:rPr>
                <w:rFonts w:ascii="Arial" w:cs="Arial" w:eastAsia="Arial" w:hAnsi="Arial"/>
                <w:sz w:val="16"/>
                <w:szCs w:val="16"/>
                <w:color w:val="auto"/>
              </w:rPr>
              <w:t>Barnes &amp; Noble, Inc.</w:t>
            </w:r>
          </w:p>
        </w:tc>
        <w:tc>
          <w:tcPr>
            <w:tcW w:w="1560" w:type="dxa"/>
            <w:vAlign w:val="bottom"/>
          </w:tcPr>
          <w:p>
            <w:pPr>
              <w:jc w:val="center"/>
              <w:ind w:left="59"/>
              <w:spacing w:after="0"/>
              <w:rPr>
                <w:sz w:val="20"/>
                <w:szCs w:val="20"/>
                <w:color w:val="auto"/>
              </w:rPr>
            </w:pPr>
            <w:r>
              <w:rPr>
                <w:rFonts w:ascii="Arial" w:cs="Arial" w:eastAsia="Arial" w:hAnsi="Arial"/>
                <w:sz w:val="16"/>
                <w:szCs w:val="16"/>
                <w:color w:val="auto"/>
              </w:rPr>
              <w:t>NR/NR/NR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22</w:t>
            </w:r>
          </w:p>
        </w:tc>
        <w:tc>
          <w:tcPr>
            <w:tcW w:w="3300" w:type="dxa"/>
            <w:vAlign w:val="bottom"/>
          </w:tcPr>
          <w:p>
            <w:pPr>
              <w:ind w:left="120"/>
              <w:spacing w:after="0"/>
              <w:rPr>
                <w:sz w:val="20"/>
                <w:szCs w:val="20"/>
                <w:color w:val="auto"/>
              </w:rPr>
            </w:pPr>
            <w:r>
              <w:rPr>
                <w:rFonts w:ascii="Arial" w:cs="Arial" w:eastAsia="Arial" w:hAnsi="Arial"/>
                <w:sz w:val="16"/>
                <w:szCs w:val="16"/>
                <w:color w:val="auto"/>
              </w:rPr>
              <w:t>Starbucks Corporation</w:t>
            </w:r>
          </w:p>
        </w:tc>
        <w:tc>
          <w:tcPr>
            <w:tcW w:w="1560" w:type="dxa"/>
            <w:vAlign w:val="bottom"/>
          </w:tcPr>
          <w:p>
            <w:pPr>
              <w:jc w:val="center"/>
              <w:ind w:left="59"/>
              <w:spacing w:after="0"/>
              <w:rPr>
                <w:sz w:val="20"/>
                <w:szCs w:val="20"/>
                <w:color w:val="auto"/>
              </w:rPr>
            </w:pPr>
            <w:r>
              <w:rPr>
                <w:rFonts w:ascii="Arial" w:cs="Arial" w:eastAsia="Arial" w:hAnsi="Arial"/>
                <w:sz w:val="16"/>
                <w:szCs w:val="16"/>
                <w:color w:val="auto"/>
                <w:w w:val="96"/>
              </w:rPr>
              <w:t>BBB+ / Baa1 / BBB+</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23</w:t>
            </w:r>
          </w:p>
        </w:tc>
        <w:tc>
          <w:tcPr>
            <w:tcW w:w="3300" w:type="dxa"/>
            <w:vAlign w:val="bottom"/>
          </w:tcPr>
          <w:p>
            <w:pPr>
              <w:ind w:left="120"/>
              <w:spacing w:after="0"/>
              <w:rPr>
                <w:sz w:val="20"/>
                <w:szCs w:val="20"/>
                <w:color w:val="auto"/>
              </w:rPr>
            </w:pPr>
            <w:r>
              <w:rPr>
                <w:rFonts w:ascii="Arial" w:cs="Arial" w:eastAsia="Arial" w:hAnsi="Arial"/>
                <w:sz w:val="16"/>
                <w:szCs w:val="16"/>
                <w:color w:val="auto"/>
              </w:rPr>
              <w:t>AB Acquisition LLC (Acme, Safeway)</w:t>
            </w:r>
          </w:p>
        </w:tc>
        <w:tc>
          <w:tcPr>
            <w:tcW w:w="1560" w:type="dxa"/>
            <w:vAlign w:val="bottom"/>
          </w:tcPr>
          <w:p>
            <w:pPr>
              <w:jc w:val="center"/>
              <w:ind w:left="59"/>
              <w:spacing w:after="0"/>
              <w:rPr>
                <w:sz w:val="20"/>
                <w:szCs w:val="20"/>
                <w:color w:val="auto"/>
              </w:rPr>
            </w:pPr>
            <w:r>
              <w:rPr>
                <w:rFonts w:ascii="Arial" w:cs="Arial" w:eastAsia="Arial" w:hAnsi="Arial"/>
                <w:sz w:val="16"/>
                <w:szCs w:val="16"/>
                <w:color w:val="auto"/>
              </w:rPr>
              <w:t>B+/B1/NR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24</w:t>
            </w:r>
          </w:p>
        </w:tc>
        <w:tc>
          <w:tcPr>
            <w:tcW w:w="3300" w:type="dxa"/>
            <w:vAlign w:val="bottom"/>
          </w:tcPr>
          <w:p>
            <w:pPr>
              <w:ind w:left="120"/>
              <w:spacing w:after="0"/>
              <w:rPr>
                <w:sz w:val="20"/>
                <w:szCs w:val="20"/>
                <w:color w:val="auto"/>
              </w:rPr>
            </w:pPr>
            <w:r>
              <w:rPr>
                <w:rFonts w:ascii="Arial" w:cs="Arial" w:eastAsia="Arial" w:hAnsi="Arial"/>
                <w:sz w:val="16"/>
                <w:szCs w:val="16"/>
                <w:color w:val="auto"/>
              </w:rPr>
              <w:t>Wells Fargo Bank, N.A.</w:t>
            </w:r>
          </w:p>
        </w:tc>
        <w:tc>
          <w:tcPr>
            <w:tcW w:w="1560" w:type="dxa"/>
            <w:vAlign w:val="bottom"/>
          </w:tcPr>
          <w:p>
            <w:pPr>
              <w:jc w:val="center"/>
              <w:ind w:left="59"/>
              <w:spacing w:after="0"/>
              <w:rPr>
                <w:sz w:val="20"/>
                <w:szCs w:val="20"/>
                <w:color w:val="auto"/>
              </w:rPr>
            </w:pPr>
            <w:r>
              <w:rPr>
                <w:rFonts w:ascii="Arial" w:cs="Arial" w:eastAsia="Arial" w:hAnsi="Arial"/>
                <w:sz w:val="16"/>
                <w:szCs w:val="16"/>
                <w:color w:val="auto"/>
              </w:rPr>
              <w:t>A-/A2/A+</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25</w:t>
            </w:r>
          </w:p>
        </w:tc>
        <w:tc>
          <w:tcPr>
            <w:tcW w:w="3300" w:type="dxa"/>
            <w:vAlign w:val="bottom"/>
          </w:tcPr>
          <w:p>
            <w:pPr>
              <w:ind w:left="120"/>
              <w:spacing w:after="0"/>
              <w:rPr>
                <w:sz w:val="20"/>
                <w:szCs w:val="20"/>
                <w:color w:val="auto"/>
              </w:rPr>
            </w:pPr>
            <w:r>
              <w:rPr>
                <w:rFonts w:ascii="Arial" w:cs="Arial" w:eastAsia="Arial" w:hAnsi="Arial"/>
                <w:sz w:val="16"/>
                <w:szCs w:val="16"/>
                <w:color w:val="auto"/>
              </w:rPr>
              <w:t>J. Crew Group, Inc.</w:t>
            </w:r>
          </w:p>
        </w:tc>
        <w:tc>
          <w:tcPr>
            <w:tcW w:w="1560" w:type="dxa"/>
            <w:vAlign w:val="bottom"/>
          </w:tcPr>
          <w:p>
            <w:pPr>
              <w:jc w:val="center"/>
              <w:ind w:left="59"/>
              <w:spacing w:after="0"/>
              <w:rPr>
                <w:sz w:val="20"/>
                <w:szCs w:val="20"/>
                <w:color w:val="auto"/>
              </w:rPr>
            </w:pPr>
            <w:r>
              <w:rPr>
                <w:rFonts w:ascii="Arial" w:cs="Arial" w:eastAsia="Arial" w:hAnsi="Arial"/>
                <w:sz w:val="16"/>
                <w:szCs w:val="16"/>
                <w:color w:val="auto"/>
                <w:w w:val="92"/>
              </w:rPr>
              <w:t>CCC- / Caa2 / NR</w:t>
            </w:r>
          </w:p>
        </w:tc>
      </w:tr>
      <w:tr>
        <w:trPr>
          <w:trHeight w:val="270"/>
        </w:trPr>
        <w:tc>
          <w:tcPr>
            <w:tcW w:w="260" w:type="dxa"/>
            <w:vAlign w:val="bottom"/>
          </w:tcPr>
          <w:p>
            <w:pPr>
              <w:spacing w:after="0"/>
              <w:rPr>
                <w:sz w:val="23"/>
                <w:szCs w:val="23"/>
                <w:color w:val="auto"/>
              </w:rPr>
            </w:pPr>
          </w:p>
        </w:tc>
        <w:tc>
          <w:tcPr>
            <w:tcW w:w="3300" w:type="dxa"/>
            <w:vAlign w:val="bottom"/>
          </w:tcPr>
          <w:p>
            <w:pPr>
              <w:ind w:left="120"/>
              <w:spacing w:after="0"/>
              <w:rPr>
                <w:sz w:val="20"/>
                <w:szCs w:val="20"/>
                <w:color w:val="auto"/>
              </w:rPr>
            </w:pPr>
            <w:r>
              <w:rPr>
                <w:rFonts w:ascii="Arial" w:cs="Arial" w:eastAsia="Arial" w:hAnsi="Arial"/>
                <w:sz w:val="16"/>
                <w:szCs w:val="16"/>
                <w:color w:val="auto"/>
              </w:rPr>
              <w:t>Totals - Top 25 Tenants</w:t>
            </w:r>
          </w:p>
        </w:tc>
        <w:tc>
          <w:tcPr>
            <w:tcW w:w="15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59"/>
              <w:spacing w:after="0"/>
              <w:rPr>
                <w:sz w:val="20"/>
                <w:szCs w:val="20"/>
                <w:color w:val="auto"/>
              </w:rPr>
            </w:pPr>
            <w:r>
              <w:rPr>
                <w:rFonts w:ascii="Arial" w:cs="Arial" w:eastAsia="Arial" w:hAnsi="Arial"/>
                <w:sz w:val="16"/>
                <w:szCs w:val="16"/>
                <w:color w:val="auto"/>
              </w:rPr>
              <w:t>25,066,000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3.43%</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536,000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2.01%</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270"/>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59"/>
              <w:spacing w:after="0"/>
              <w:rPr>
                <w:sz w:val="20"/>
                <w:szCs w:val="20"/>
                <w:color w:val="auto"/>
              </w:rPr>
            </w:pPr>
            <w:r>
              <w:rPr>
                <w:rFonts w:ascii="Arial" w:cs="Arial" w:eastAsia="Arial" w:hAnsi="Arial"/>
                <w:sz w:val="16"/>
                <w:szCs w:val="16"/>
                <w:color w:val="auto"/>
              </w:rPr>
              <w:t>18,863,000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2.58%</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963,000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3.61%</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30</w:t>
            </w:r>
          </w:p>
        </w:tc>
      </w:tr>
      <w:tr>
        <w:trPr>
          <w:trHeight w:val="270"/>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59"/>
              <w:spacing w:after="0"/>
              <w:rPr>
                <w:sz w:val="20"/>
                <w:szCs w:val="20"/>
                <w:color w:val="auto"/>
              </w:rPr>
            </w:pPr>
            <w:r>
              <w:rPr>
                <w:rFonts w:ascii="Arial" w:cs="Arial" w:eastAsia="Arial" w:hAnsi="Arial"/>
                <w:sz w:val="16"/>
                <w:szCs w:val="16"/>
                <w:color w:val="auto"/>
              </w:rPr>
              <w:t>15,108,000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2.07%</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852,000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3.19%</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270"/>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59"/>
              <w:spacing w:after="0"/>
              <w:rPr>
                <w:sz w:val="20"/>
                <w:szCs w:val="20"/>
                <w:color w:val="auto"/>
              </w:rPr>
            </w:pPr>
            <w:r>
              <w:rPr>
                <w:rFonts w:ascii="Arial" w:cs="Arial" w:eastAsia="Arial" w:hAnsi="Arial"/>
                <w:sz w:val="16"/>
                <w:szCs w:val="16"/>
                <w:color w:val="auto"/>
              </w:rPr>
              <w:t>11,289,000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1.54%</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465,000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1.74%</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270"/>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59"/>
              <w:spacing w:after="0"/>
              <w:rPr>
                <w:sz w:val="20"/>
                <w:szCs w:val="20"/>
                <w:color w:val="auto"/>
              </w:rPr>
            </w:pPr>
            <w:r>
              <w:rPr>
                <w:rFonts w:ascii="Arial" w:cs="Arial" w:eastAsia="Arial" w:hAnsi="Arial"/>
                <w:sz w:val="16"/>
                <w:szCs w:val="16"/>
                <w:color w:val="auto"/>
              </w:rPr>
              <w:t>11,092,000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1.52%</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321,000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1.20%</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26</w:t>
            </w:r>
          </w:p>
        </w:tc>
      </w:tr>
      <w:tr>
        <w:trPr>
          <w:trHeight w:val="270"/>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59"/>
              <w:spacing w:after="0"/>
              <w:rPr>
                <w:sz w:val="20"/>
                <w:szCs w:val="20"/>
                <w:color w:val="auto"/>
              </w:rPr>
            </w:pPr>
            <w:r>
              <w:rPr>
                <w:rFonts w:ascii="Arial" w:cs="Arial" w:eastAsia="Arial" w:hAnsi="Arial"/>
                <w:sz w:val="16"/>
                <w:szCs w:val="16"/>
                <w:color w:val="auto"/>
              </w:rPr>
              <w:t>10,886,000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1.49%</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626,000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2.35%</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270"/>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59"/>
              <w:spacing w:after="0"/>
              <w:rPr>
                <w:sz w:val="20"/>
                <w:szCs w:val="20"/>
                <w:color w:val="auto"/>
              </w:rPr>
            </w:pPr>
            <w:r>
              <w:rPr>
                <w:rFonts w:ascii="Arial" w:cs="Arial" w:eastAsia="Arial" w:hAnsi="Arial"/>
                <w:sz w:val="16"/>
                <w:szCs w:val="16"/>
                <w:color w:val="auto"/>
              </w:rPr>
              <w:t>9,878,000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1.35%</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254,000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0.95%</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270"/>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59"/>
              <w:spacing w:after="0"/>
              <w:rPr>
                <w:sz w:val="20"/>
                <w:szCs w:val="20"/>
                <w:color w:val="auto"/>
              </w:rPr>
            </w:pPr>
            <w:r>
              <w:rPr>
                <w:rFonts w:ascii="Arial" w:cs="Arial" w:eastAsia="Arial" w:hAnsi="Arial"/>
                <w:sz w:val="16"/>
                <w:szCs w:val="16"/>
                <w:color w:val="auto"/>
              </w:rPr>
              <w:t>7,239,000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0.99%</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321,000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1.20%</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70"/>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59"/>
              <w:spacing w:after="0"/>
              <w:rPr>
                <w:sz w:val="20"/>
                <w:szCs w:val="20"/>
                <w:color w:val="auto"/>
              </w:rPr>
            </w:pPr>
            <w:r>
              <w:rPr>
                <w:rFonts w:ascii="Arial" w:cs="Arial" w:eastAsia="Arial" w:hAnsi="Arial"/>
                <w:sz w:val="16"/>
                <w:szCs w:val="16"/>
                <w:color w:val="auto"/>
              </w:rPr>
              <w:t>7,104,000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0.97%</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478,000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1.79%</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70"/>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59"/>
              <w:spacing w:after="0"/>
              <w:rPr>
                <w:sz w:val="20"/>
                <w:szCs w:val="20"/>
                <w:color w:val="auto"/>
              </w:rPr>
            </w:pPr>
            <w:r>
              <w:rPr>
                <w:rFonts w:ascii="Arial" w:cs="Arial" w:eastAsia="Arial" w:hAnsi="Arial"/>
                <w:sz w:val="16"/>
                <w:szCs w:val="16"/>
                <w:color w:val="auto"/>
              </w:rPr>
              <w:t>6,535,000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0.89%</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315,000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1.18%</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270"/>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59"/>
              <w:spacing w:after="0"/>
              <w:rPr>
                <w:sz w:val="20"/>
                <w:szCs w:val="20"/>
                <w:color w:val="auto"/>
              </w:rPr>
            </w:pPr>
            <w:r>
              <w:rPr>
                <w:rFonts w:ascii="Arial" w:cs="Arial" w:eastAsia="Arial" w:hAnsi="Arial"/>
                <w:sz w:val="16"/>
                <w:szCs w:val="16"/>
                <w:color w:val="auto"/>
              </w:rPr>
              <w:t>6,425,000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0.88%</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289,000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1.08%</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70"/>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59"/>
              <w:spacing w:after="0"/>
              <w:rPr>
                <w:sz w:val="20"/>
                <w:szCs w:val="20"/>
                <w:color w:val="auto"/>
              </w:rPr>
            </w:pPr>
            <w:r>
              <w:rPr>
                <w:rFonts w:ascii="Arial" w:cs="Arial" w:eastAsia="Arial" w:hAnsi="Arial"/>
                <w:sz w:val="16"/>
                <w:szCs w:val="16"/>
                <w:color w:val="auto"/>
              </w:rPr>
              <w:t>6,393,000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0.87%</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330,000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1.24%</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270"/>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59"/>
              <w:spacing w:after="0"/>
              <w:rPr>
                <w:sz w:val="20"/>
                <w:szCs w:val="20"/>
                <w:color w:val="auto"/>
              </w:rPr>
            </w:pPr>
            <w:r>
              <w:rPr>
                <w:rFonts w:ascii="Arial" w:cs="Arial" w:eastAsia="Arial" w:hAnsi="Arial"/>
                <w:sz w:val="16"/>
                <w:szCs w:val="16"/>
                <w:color w:val="auto"/>
              </w:rPr>
              <w:t>6,332,000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0.87%</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220,000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0.82%</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270"/>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59"/>
              <w:spacing w:after="0"/>
              <w:rPr>
                <w:sz w:val="20"/>
                <w:szCs w:val="20"/>
                <w:color w:val="auto"/>
              </w:rPr>
            </w:pPr>
            <w:r>
              <w:rPr>
                <w:rFonts w:ascii="Arial" w:cs="Arial" w:eastAsia="Arial" w:hAnsi="Arial"/>
                <w:sz w:val="16"/>
                <w:szCs w:val="16"/>
                <w:color w:val="auto"/>
              </w:rPr>
              <w:t>6,083,000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0.83%</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106,000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0.40%</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270"/>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59"/>
              <w:spacing w:after="0"/>
              <w:rPr>
                <w:sz w:val="20"/>
                <w:szCs w:val="20"/>
                <w:color w:val="auto"/>
              </w:rPr>
            </w:pPr>
            <w:r>
              <w:rPr>
                <w:rFonts w:ascii="Arial" w:cs="Arial" w:eastAsia="Arial" w:hAnsi="Arial"/>
                <w:sz w:val="16"/>
                <w:szCs w:val="16"/>
                <w:color w:val="auto"/>
              </w:rPr>
              <w:t>6,066,000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0.83%</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529,000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1.98%</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270"/>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59"/>
              <w:spacing w:after="0"/>
              <w:rPr>
                <w:sz w:val="20"/>
                <w:szCs w:val="20"/>
                <w:color w:val="auto"/>
              </w:rPr>
            </w:pPr>
            <w:r>
              <w:rPr>
                <w:rFonts w:ascii="Arial" w:cs="Arial" w:eastAsia="Arial" w:hAnsi="Arial"/>
                <w:sz w:val="16"/>
                <w:szCs w:val="16"/>
                <w:color w:val="auto"/>
              </w:rPr>
              <w:t>5,933,000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0.81%</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219,000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0.82%</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70"/>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59"/>
              <w:spacing w:after="0"/>
              <w:rPr>
                <w:sz w:val="20"/>
                <w:szCs w:val="20"/>
                <w:color w:val="auto"/>
              </w:rPr>
            </w:pPr>
            <w:r>
              <w:rPr>
                <w:rFonts w:ascii="Arial" w:cs="Arial" w:eastAsia="Arial" w:hAnsi="Arial"/>
                <w:sz w:val="16"/>
                <w:szCs w:val="16"/>
                <w:color w:val="auto"/>
              </w:rPr>
              <w:t>5,692,000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0.78%</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223,000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0.84%</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270"/>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59"/>
              <w:spacing w:after="0"/>
              <w:rPr>
                <w:sz w:val="20"/>
                <w:szCs w:val="20"/>
                <w:color w:val="auto"/>
              </w:rPr>
            </w:pPr>
            <w:r>
              <w:rPr>
                <w:rFonts w:ascii="Arial" w:cs="Arial" w:eastAsia="Arial" w:hAnsi="Arial"/>
                <w:sz w:val="16"/>
                <w:szCs w:val="16"/>
                <w:color w:val="auto"/>
              </w:rPr>
              <w:t>5,670,000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0.78%</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186,000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0.70%</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270"/>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59"/>
              <w:spacing w:after="0"/>
              <w:rPr>
                <w:sz w:val="20"/>
                <w:szCs w:val="20"/>
                <w:color w:val="auto"/>
              </w:rPr>
            </w:pPr>
            <w:r>
              <w:rPr>
                <w:rFonts w:ascii="Arial" w:cs="Arial" w:eastAsia="Arial" w:hAnsi="Arial"/>
                <w:sz w:val="16"/>
                <w:szCs w:val="16"/>
                <w:color w:val="auto"/>
              </w:rPr>
              <w:t>5,187,000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0.71%</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150,000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0.56%</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270"/>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59"/>
              <w:spacing w:after="0"/>
              <w:rPr>
                <w:sz w:val="20"/>
                <w:szCs w:val="20"/>
                <w:color w:val="auto"/>
              </w:rPr>
            </w:pPr>
            <w:r>
              <w:rPr>
                <w:rFonts w:ascii="Arial" w:cs="Arial" w:eastAsia="Arial" w:hAnsi="Arial"/>
                <w:sz w:val="16"/>
                <w:szCs w:val="16"/>
                <w:color w:val="auto"/>
              </w:rPr>
              <w:t>4,772,000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0.65%</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167,000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0.63%</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270"/>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59"/>
              <w:spacing w:after="0"/>
              <w:rPr>
                <w:sz w:val="20"/>
                <w:szCs w:val="20"/>
                <w:color w:val="auto"/>
              </w:rPr>
            </w:pPr>
            <w:r>
              <w:rPr>
                <w:rFonts w:ascii="Arial" w:cs="Arial" w:eastAsia="Arial" w:hAnsi="Arial"/>
                <w:sz w:val="16"/>
                <w:szCs w:val="16"/>
                <w:color w:val="auto"/>
              </w:rPr>
              <w:t>4,503,000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0.62%</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207,000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0.78%</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270"/>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59"/>
              <w:spacing w:after="0"/>
              <w:rPr>
                <w:sz w:val="20"/>
                <w:szCs w:val="20"/>
                <w:color w:val="auto"/>
              </w:rPr>
            </w:pPr>
            <w:r>
              <w:rPr>
                <w:rFonts w:ascii="Arial" w:cs="Arial" w:eastAsia="Arial" w:hAnsi="Arial"/>
                <w:sz w:val="16"/>
                <w:szCs w:val="16"/>
                <w:color w:val="auto"/>
              </w:rPr>
              <w:t>4,423,000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0.61%</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69,000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0.26%</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40</w:t>
            </w:r>
          </w:p>
        </w:tc>
      </w:tr>
      <w:tr>
        <w:trPr>
          <w:trHeight w:val="270"/>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59"/>
              <w:spacing w:after="0"/>
              <w:rPr>
                <w:sz w:val="20"/>
                <w:szCs w:val="20"/>
                <w:color w:val="auto"/>
              </w:rPr>
            </w:pPr>
            <w:r>
              <w:rPr>
                <w:rFonts w:ascii="Arial" w:cs="Arial" w:eastAsia="Arial" w:hAnsi="Arial"/>
                <w:sz w:val="16"/>
                <w:szCs w:val="16"/>
                <w:color w:val="auto"/>
              </w:rPr>
              <w:t>4,192,000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0.57%</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412,000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1.54%</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270"/>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59"/>
              <w:spacing w:after="0"/>
              <w:rPr>
                <w:sz w:val="20"/>
                <w:szCs w:val="20"/>
                <w:color w:val="auto"/>
              </w:rPr>
            </w:pPr>
            <w:r>
              <w:rPr>
                <w:rFonts w:ascii="Arial" w:cs="Arial" w:eastAsia="Arial" w:hAnsi="Arial"/>
                <w:sz w:val="16"/>
                <w:szCs w:val="16"/>
                <w:color w:val="auto"/>
              </w:rPr>
              <w:t>4,184,000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0.57%</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51,000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0.19%</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270"/>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59"/>
              <w:spacing w:after="0"/>
              <w:rPr>
                <w:sz w:val="20"/>
                <w:szCs w:val="20"/>
                <w:color w:val="auto"/>
              </w:rPr>
            </w:pPr>
            <w:r>
              <w:rPr>
                <w:rFonts w:ascii="Arial" w:cs="Arial" w:eastAsia="Arial" w:hAnsi="Arial"/>
                <w:sz w:val="16"/>
                <w:szCs w:val="16"/>
                <w:color w:val="auto"/>
              </w:rPr>
              <w:t>3,992,000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0.55%</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64,000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0.24%</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46"/>
        </w:trPr>
        <w:tc>
          <w:tcPr>
            <w:tcW w:w="2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r>
      <w:tr>
        <w:trPr>
          <w:trHeight w:val="217"/>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59"/>
              <w:spacing w:after="0"/>
              <w:rPr>
                <w:sz w:val="20"/>
                <w:szCs w:val="20"/>
                <w:color w:val="auto"/>
              </w:rPr>
            </w:pPr>
            <w:r>
              <w:rPr>
                <w:rFonts w:ascii="Arial" w:cs="Arial" w:eastAsia="Arial" w:hAnsi="Arial"/>
                <w:sz w:val="16"/>
                <w:szCs w:val="16"/>
                <w:color w:val="auto"/>
              </w:rPr>
              <w:t>202,907,000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27.76%</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8,353,000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31.30%</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317</w:t>
            </w:r>
          </w:p>
        </w:tc>
      </w:tr>
      <w:tr>
        <w:trPr>
          <w:trHeight w:val="33"/>
        </w:trPr>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-4139565</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-3796665</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-3453765</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-3110865</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-2767965</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-2425065</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-2082165</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-1739265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-1396365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-1053465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-710565</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-367665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-16510</wp:posOffset>
            </wp:positionV>
            <wp:extent cx="713232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240"/>
            <w:col w:w="5660"/>
          </w:cols>
          <w:pgMar w:left="320" w:top="715" w:right="339" w:bottom="1440" w:gutter="0" w:footer="0" w:header="0"/>
          <w:type w:val="continuous"/>
        </w:sectPr>
      </w:pPr>
    </w:p>
    <w:p>
      <w:pPr>
        <w:spacing w:after="0" w:line="87" w:lineRule="exact"/>
        <w:rPr>
          <w:sz w:val="20"/>
          <w:szCs w:val="20"/>
          <w:color w:val="auto"/>
        </w:rPr>
      </w:pPr>
    </w:p>
    <w:tbl>
      <w:tblPr>
        <w:tblLayout w:type="fixed"/>
        <w:tblInd w:w="600" w:type="dxa"/>
        <w:tblCellMar>
          <w:top w:w="0" w:type="dxa"/>
          <w:left w:w="0" w:type="dxa"/>
          <w:bottom w:w="0" w:type="dxa"/>
          <w:right w:w="0" w:type="dxa"/>
        </w:tblCellMar>
      </w:tblPr>
      <w:tr>
        <w:trPr>
          <w:trHeight w:val="206"/>
        </w:trPr>
        <w:tc>
          <w:tcPr>
            <w:tcW w:w="2800" w:type="dxa"/>
            <w:vAlign w:val="bottom"/>
          </w:tcPr>
          <w:p>
            <w:pPr>
              <w:spacing w:after="0"/>
              <w:rPr>
                <w:sz w:val="20"/>
                <w:szCs w:val="20"/>
                <w:color w:val="auto"/>
              </w:rPr>
            </w:pPr>
            <w:r>
              <w:rPr>
                <w:rFonts w:ascii="Arial" w:cs="Arial" w:eastAsia="Arial" w:hAnsi="Arial"/>
                <w:sz w:val="16"/>
                <w:szCs w:val="16"/>
                <w:color w:val="auto"/>
              </w:rPr>
              <w:t>Total (5):</w:t>
            </w:r>
          </w:p>
        </w:tc>
        <w:tc>
          <w:tcPr>
            <w:tcW w:w="4340" w:type="dxa"/>
            <w:vAlign w:val="bottom"/>
          </w:tcPr>
          <w:p>
            <w:pPr>
              <w:jc w:val="right"/>
              <w:ind w:right="639"/>
              <w:spacing w:after="0"/>
              <w:rPr>
                <w:sz w:val="20"/>
                <w:szCs w:val="20"/>
                <w:color w:val="auto"/>
              </w:rPr>
            </w:pPr>
            <w:r>
              <w:rPr>
                <w:rFonts w:ascii="Arial" w:cs="Arial" w:eastAsia="Arial" w:hAnsi="Arial"/>
                <w:sz w:val="16"/>
                <w:szCs w:val="16"/>
                <w:color w:val="auto"/>
              </w:rPr>
              <w:t>$   730,860,000  (2)</w:t>
            </w:r>
          </w:p>
        </w:tc>
        <w:tc>
          <w:tcPr>
            <w:tcW w:w="1780" w:type="dxa"/>
            <w:vAlign w:val="bottom"/>
          </w:tcPr>
          <w:p>
            <w:pPr>
              <w:jc w:val="right"/>
              <w:spacing w:after="0"/>
              <w:rPr>
                <w:sz w:val="20"/>
                <w:szCs w:val="20"/>
                <w:color w:val="auto"/>
              </w:rPr>
            </w:pPr>
            <w:r>
              <w:rPr>
                <w:rFonts w:ascii="Arial" w:cs="Arial" w:eastAsia="Arial" w:hAnsi="Arial"/>
                <w:sz w:val="16"/>
                <w:szCs w:val="16"/>
                <w:color w:val="auto"/>
              </w:rPr>
              <w:t>26,686,000  (4)</w:t>
            </w:r>
          </w:p>
        </w:tc>
      </w:tr>
    </w:tbl>
    <w:p>
      <w:pPr>
        <w:spacing w:after="0" w:line="347"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600" w:hanging="565"/>
        <w:spacing w:after="0"/>
        <w:tabs>
          <w:tab w:leader="none" w:pos="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Credit Ratings are as of March 31, 2020. Subsequent rating changes have not been reflected.</w:t>
      </w:r>
    </w:p>
    <w:p>
      <w:pPr>
        <w:spacing w:after="0" w:line="86" w:lineRule="exact"/>
        <w:rPr>
          <w:rFonts w:ascii="Arial" w:cs="Arial" w:eastAsia="Arial" w:hAnsi="Arial"/>
          <w:sz w:val="16"/>
          <w:szCs w:val="16"/>
          <w:color w:val="auto"/>
        </w:rPr>
      </w:pPr>
    </w:p>
    <w:p>
      <w:pPr>
        <w:ind w:left="600" w:hanging="565"/>
        <w:spacing w:after="0"/>
        <w:tabs>
          <w:tab w:leader="none" w:pos="6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Reflects aggregate, annualized in-place contractual (defined as cash-basis excluding rent abatements) minimum rent for all occupied spaces as of March 31, 2020.</w:t>
      </w:r>
    </w:p>
    <w:p>
      <w:pPr>
        <w:spacing w:after="0" w:line="122" w:lineRule="exact"/>
        <w:rPr>
          <w:rFonts w:ascii="Arial" w:cs="Arial" w:eastAsia="Arial" w:hAnsi="Arial"/>
          <w:sz w:val="14"/>
          <w:szCs w:val="14"/>
          <w:color w:val="auto"/>
        </w:rPr>
      </w:pPr>
    </w:p>
    <w:p>
      <w:pPr>
        <w:ind w:left="600" w:hanging="565"/>
        <w:spacing w:after="0"/>
        <w:tabs>
          <w:tab w:leader="none" w:pos="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86" w:lineRule="exact"/>
        <w:rPr>
          <w:rFonts w:ascii="Arial" w:cs="Arial" w:eastAsia="Arial" w:hAnsi="Arial"/>
          <w:sz w:val="16"/>
          <w:szCs w:val="16"/>
          <w:color w:val="auto"/>
        </w:rPr>
      </w:pPr>
    </w:p>
    <w:p>
      <w:pPr>
        <w:ind w:left="600" w:hanging="565"/>
        <w:spacing w:after="0"/>
        <w:tabs>
          <w:tab w:leader="none" w:pos="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Excludes redevelopment square footage not yet placed in service.</w:t>
      </w:r>
    </w:p>
    <w:p>
      <w:pPr>
        <w:spacing w:after="0" w:line="86" w:lineRule="exact"/>
        <w:rPr>
          <w:rFonts w:ascii="Arial" w:cs="Arial" w:eastAsia="Arial" w:hAnsi="Arial"/>
          <w:sz w:val="16"/>
          <w:szCs w:val="16"/>
          <w:color w:val="auto"/>
        </w:rPr>
      </w:pPr>
    </w:p>
    <w:p>
      <w:pPr>
        <w:ind w:left="600" w:hanging="565"/>
        <w:spacing w:after="0"/>
        <w:tabs>
          <w:tab w:leader="none" w:pos="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Totals reflect both the commercial and residential portions of our properties.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715" w:right="339" w:bottom="1440" w:gutter="0" w:footer="0" w:header="0"/>
          <w:type w:val="continuous"/>
        </w:sectPr>
      </w:pPr>
    </w:p>
    <w:bookmarkStart w:id="30" w:name="page31"/>
    <w:bookmarkEnd w:id="3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Tenant Diversification by Category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2020</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below reflects the breakout of our Annualized Base Rent</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as of March 31, 2020 by type of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40575" cy="46380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0575" cy="4638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25% of Annualized Base Rent comes from Essential Retail</w:t>
      </w:r>
    </w:p>
    <w:p>
      <w:pPr>
        <w:spacing w:after="0" w:line="18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20% of Annualized Base Rent comes from Office and Residential</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71" w:lineRule="exact"/>
        <w:rPr>
          <w:sz w:val="20"/>
          <w:szCs w:val="20"/>
          <w:color w:val="auto"/>
        </w:rPr>
      </w:pPr>
    </w:p>
    <w:p>
      <w:pPr>
        <w:ind w:left="800" w:hanging="441"/>
        <w:spacing w:after="0" w:line="298" w:lineRule="auto"/>
        <w:tabs>
          <w:tab w:leader="none" w:pos="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Reflects aggregate, annualized in-place contractual (defined as cash-basis excluding rent abatements) minimum rent for all occupied spaces and occupied residential units as of March 31, 2020. Excludes redevelopment square footage not yet placed in service.</w:t>
      </w:r>
    </w:p>
    <w:p>
      <w:pPr>
        <w:ind w:left="800" w:hanging="44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Communications &amp; Home Office includes: Telecommunications, Electronics, and Office Supply.</w:t>
      </w:r>
    </w:p>
    <w:p>
      <w:pPr>
        <w:spacing w:after="0" w:line="63" w:lineRule="exact"/>
        <w:rPr>
          <w:rFonts w:ascii="Arial" w:cs="Arial" w:eastAsia="Arial" w:hAnsi="Arial"/>
          <w:sz w:val="18"/>
          <w:szCs w:val="18"/>
          <w:color w:val="auto"/>
        </w:rPr>
      </w:pPr>
    </w:p>
    <w:p>
      <w:pPr>
        <w:ind w:left="800" w:hanging="44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Essential includes: Auto, Liquor, Home Improvement, Pets, and Medical.</w:t>
      </w:r>
    </w:p>
    <w:p>
      <w:pPr>
        <w:spacing w:after="0" w:line="63" w:lineRule="exact"/>
        <w:rPr>
          <w:rFonts w:ascii="Arial" w:cs="Arial" w:eastAsia="Arial" w:hAnsi="Arial"/>
          <w:sz w:val="18"/>
          <w:szCs w:val="18"/>
          <w:color w:val="auto"/>
        </w:rPr>
      </w:pPr>
    </w:p>
    <w:p>
      <w:pPr>
        <w:ind w:left="800" w:hanging="44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Total Restaurants comprise full service (less than 8%) and quick service (less than 8 %).</w:t>
      </w:r>
    </w:p>
    <w:p>
      <w:pPr>
        <w:spacing w:after="0" w:line="63" w:lineRule="exact"/>
        <w:rPr>
          <w:rFonts w:ascii="Arial" w:cs="Arial" w:eastAsia="Arial" w:hAnsi="Arial"/>
          <w:sz w:val="18"/>
          <w:szCs w:val="18"/>
          <w:color w:val="auto"/>
        </w:rPr>
      </w:pPr>
    </w:p>
    <w:p>
      <w:pPr>
        <w:ind w:left="800" w:hanging="44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Experiential includes: Activity, Cinema, and Entertainment.</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60"/>
          </w:cols>
          <w:pgMar w:left="320" w:top="715" w:right="41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222"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b w:val="1"/>
          <w:bCs w:val="1"/>
          <w:color w:val="auto"/>
        </w:rPr>
        <w:t xml:space="preserve">EBITDA for Real Estate ("EBITDAre"): </w:t>
      </w:r>
      <w:r>
        <w:rPr>
          <w:rFonts w:ascii="Arial" w:cs="Arial" w:eastAsia="Arial" w:hAnsi="Arial"/>
          <w:sz w:val="16"/>
          <w:szCs w:val="16"/>
          <w:color w:val="auto"/>
        </w:rPr>
        <w:t>EBITDAre is a non-GAAP measure that the National Association of Real Estate Investment Trusts ("NAREIT")</w:t>
      </w:r>
      <w:r>
        <w:rPr>
          <w:rFonts w:ascii="Arial" w:cs="Arial" w:eastAsia="Arial" w:hAnsi="Arial"/>
          <w:sz w:val="16"/>
          <w:szCs w:val="16"/>
          <w:b w:val="1"/>
          <w:bCs w:val="1"/>
          <w:color w:val="auto"/>
        </w:rPr>
        <w:t xml:space="preserve"> </w:t>
      </w:r>
      <w:r>
        <w:rPr>
          <w:rFonts w:ascii="Arial" w:cs="Arial" w:eastAsia="Arial" w:hAnsi="Arial"/>
          <w:sz w:val="16"/>
          <w:szCs w:val="16"/>
          <w:color w:val="auto"/>
        </w:rPr>
        <w:t>defines as: net income computed in accordance with GAAP plus net interest expense, income tax expense, depreciation and amortization, gain or loss on sale of real estate, impairments of real estate, and adjustments to reflect the entity's share of EBITDAre of unconsolidated affiliates. We calculate EBITDAre consistent with the NAREIT definition. As EBITDA is a widely known and understood measure of performance, management believes EBITDAre represents an additional non-GAAP performance measure, independent of a company's capital structure, that will provide investors with a uniform basis to measure the enterprise value of a company. EBITDAre also approximates a key performance measure in our debt covenants, but it should not be considered an alternative measure of operating results or cash flow from operations as determined in accordance with GAAP. The reconciliation of net income to EBITDAre for the three months ended March 31, 2020 and 2019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4"/>
          </w:tcPr>
          <w:p>
            <w:pPr>
              <w:jc w:val="center"/>
              <w:ind w:right="236"/>
              <w:spacing w:after="0"/>
              <w:rPr>
                <w:sz w:val="20"/>
                <w:szCs w:val="20"/>
                <w:color w:val="auto"/>
              </w:rPr>
            </w:pPr>
            <w:r>
              <w:rPr>
                <w:rFonts w:ascii="Arial" w:cs="Arial" w:eastAsia="Arial" w:hAnsi="Arial"/>
                <w:sz w:val="14"/>
                <w:szCs w:val="14"/>
                <w:b w:val="1"/>
                <w:bCs w:val="1"/>
                <w:color w:val="auto"/>
                <w:w w:val="95"/>
              </w:rPr>
              <w:t>Three Months Ended</w:t>
            </w:r>
          </w:p>
        </w:tc>
      </w:tr>
      <w:tr>
        <w:trPr>
          <w:trHeight w:val="276"/>
        </w:trPr>
        <w:tc>
          <w:tcPr>
            <w:tcW w:w="8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center"/>
              <w:ind w:left="559"/>
              <w:spacing w:after="0"/>
              <w:rPr>
                <w:sz w:val="20"/>
                <w:szCs w:val="20"/>
                <w:color w:val="auto"/>
              </w:rPr>
            </w:pPr>
            <w:r>
              <w:rPr>
                <w:rFonts w:ascii="Arial" w:cs="Arial" w:eastAsia="Arial" w:hAnsi="Arial"/>
                <w:sz w:val="14"/>
                <w:szCs w:val="14"/>
                <w:b w:val="1"/>
                <w:bCs w:val="1"/>
                <w:color w:val="auto"/>
                <w:w w:val="99"/>
              </w:rPr>
              <w:t>March 31,</w:t>
            </w:r>
          </w:p>
        </w:tc>
        <w:tc>
          <w:tcPr>
            <w:tcW w:w="960" w:type="dxa"/>
            <w:vAlign w:val="bottom"/>
            <w:tcBorders>
              <w:bottom w:val="single" w:sz="8" w:color="auto"/>
            </w:tcBorders>
          </w:tcPr>
          <w:p>
            <w:pPr>
              <w:spacing w:after="0"/>
              <w:rPr>
                <w:sz w:val="24"/>
                <w:szCs w:val="24"/>
                <w:color w:val="auto"/>
              </w:rPr>
            </w:pPr>
          </w:p>
        </w:tc>
      </w:tr>
      <w:tr>
        <w:trPr>
          <w:trHeight w:val="263"/>
        </w:trPr>
        <w:tc>
          <w:tcPr>
            <w:tcW w:w="82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r>
      <w:tr>
        <w:trPr>
          <w:trHeight w:val="250"/>
        </w:trPr>
        <w:tc>
          <w:tcPr>
            <w:tcW w:w="8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gridSpan w:val="3"/>
          </w:tcPr>
          <w:p>
            <w:pPr>
              <w:jc w:val="center"/>
              <w:ind w:left="559"/>
              <w:spacing w:after="0"/>
              <w:rPr>
                <w:sz w:val="20"/>
                <w:szCs w:val="20"/>
                <w:color w:val="auto"/>
              </w:rPr>
            </w:pPr>
            <w:r>
              <w:rPr>
                <w:rFonts w:ascii="Arial" w:cs="Arial" w:eastAsia="Arial" w:hAnsi="Arial"/>
                <w:sz w:val="14"/>
                <w:szCs w:val="14"/>
                <w:b w:val="1"/>
                <w:bCs w:val="1"/>
                <w:color w:val="auto"/>
                <w:w w:val="91"/>
              </w:rPr>
              <w:t>(in thousands)</w:t>
            </w:r>
          </w:p>
        </w:tc>
        <w:tc>
          <w:tcPr>
            <w:tcW w:w="960" w:type="dxa"/>
            <w:vAlign w:val="bottom"/>
          </w:tcPr>
          <w:p>
            <w:pPr>
              <w:spacing w:after="0"/>
              <w:rPr>
                <w:sz w:val="21"/>
                <w:szCs w:val="21"/>
                <w:color w:val="auto"/>
              </w:rPr>
            </w:pPr>
          </w:p>
        </w:tc>
      </w:tr>
      <w:tr>
        <w:trPr>
          <w:trHeight w:val="25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w:t>
            </w:r>
          </w:p>
        </w:tc>
        <w:tc>
          <w:tcPr>
            <w:tcW w:w="3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56,441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61,803</w:t>
            </w:r>
          </w:p>
        </w:tc>
      </w:tr>
      <w:tr>
        <w:trPr>
          <w:trHeight w:val="239"/>
        </w:trPr>
        <w:tc>
          <w:tcPr>
            <w:tcW w:w="8220" w:type="dxa"/>
            <w:vAlign w:val="bottom"/>
          </w:tcPr>
          <w:p>
            <w:pPr>
              <w:ind w:left="40"/>
              <w:spacing w:after="0"/>
              <w:rPr>
                <w:sz w:val="20"/>
                <w:szCs w:val="20"/>
                <w:color w:val="auto"/>
              </w:rPr>
            </w:pPr>
            <w:r>
              <w:rPr>
                <w:rFonts w:ascii="Arial" w:cs="Arial" w:eastAsia="Arial" w:hAnsi="Arial"/>
                <w:sz w:val="17"/>
                <w:szCs w:val="17"/>
                <w:color w:val="auto"/>
              </w:rPr>
              <w:t>Interest expense</w:t>
            </w: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7"/>
                <w:szCs w:val="17"/>
                <w:color w:val="auto"/>
              </w:rPr>
              <w:t>28,445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28,033</w:t>
            </w:r>
          </w:p>
        </w:tc>
      </w:tr>
      <w:tr>
        <w:trPr>
          <w:trHeight w:val="31"/>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(177)</w:t>
            </w:r>
          </w:p>
        </w:tc>
      </w:tr>
      <w:tr>
        <w:trPr>
          <w:trHeight w:val="239"/>
        </w:trPr>
        <w:tc>
          <w:tcPr>
            <w:tcW w:w="8220" w:type="dxa"/>
            <w:vAlign w:val="bottom"/>
          </w:tcPr>
          <w:p>
            <w:pPr>
              <w:ind w:left="40"/>
              <w:spacing w:after="0"/>
              <w:rPr>
                <w:sz w:val="20"/>
                <w:szCs w:val="20"/>
                <w:color w:val="auto"/>
              </w:rPr>
            </w:pPr>
            <w:r>
              <w:rPr>
                <w:rFonts w:ascii="Arial" w:cs="Arial" w:eastAsia="Arial" w:hAnsi="Arial"/>
                <w:sz w:val="17"/>
                <w:szCs w:val="17"/>
                <w:color w:val="auto"/>
              </w:rPr>
              <w:t>Income tax benefit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(111)</w:t>
            </w:r>
          </w:p>
        </w:tc>
      </w:tr>
      <w:tr>
        <w:trPr>
          <w:trHeight w:val="31"/>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62,188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59,622</w:t>
            </w:r>
          </w:p>
        </w:tc>
      </w:tr>
      <w:tr>
        <w:trPr>
          <w:trHeight w:val="239"/>
        </w:trPr>
        <w:tc>
          <w:tcPr>
            <w:tcW w:w="8220" w:type="dxa"/>
            <w:vAlign w:val="bottom"/>
          </w:tcPr>
          <w:p>
            <w:pPr>
              <w:ind w:left="40"/>
              <w:spacing w:after="0"/>
              <w:rPr>
                <w:sz w:val="20"/>
                <w:szCs w:val="20"/>
                <w:color w:val="auto"/>
              </w:rPr>
            </w:pPr>
            <w:r>
              <w:rPr>
                <w:rFonts w:ascii="Arial" w:cs="Arial" w:eastAsia="Arial" w:hAnsi="Arial"/>
                <w:sz w:val="17"/>
                <w:szCs w:val="17"/>
                <w:color w:val="auto"/>
              </w:rPr>
              <w:t>Adjustments of EBITDAre of unconsolidated affiliates</w:t>
            </w: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7"/>
                <w:szCs w:val="17"/>
                <w:color w:val="auto"/>
              </w:rPr>
              <w:t>1,730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1,793</w:t>
            </w:r>
          </w:p>
        </w:tc>
      </w:tr>
      <w:tr>
        <w:trPr>
          <w:trHeight w:val="31"/>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EBITDAre</w:t>
            </w: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148,421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150,963</w:t>
            </w: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color w:val="auto"/>
        </w:rPr>
        <w:t xml:space="preserve">Funds From Operations (FFO): </w:t>
      </w:r>
      <w:r>
        <w:rPr>
          <w:rFonts w:ascii="Arial" w:cs="Arial" w:eastAsia="Arial" w:hAnsi="Arial"/>
          <w:sz w:val="16"/>
          <w:szCs w:val="16"/>
          <w:color w:val="auto"/>
        </w:rPr>
        <w:t>FFO is a supplemental measure of real estate companies' operating performances. NAREIT defines FFO as follows: net income,</w:t>
      </w:r>
      <w:r>
        <w:rPr>
          <w:rFonts w:ascii="Arial" w:cs="Arial" w:eastAsia="Arial" w:hAnsi="Arial"/>
          <w:sz w:val="16"/>
          <w:szCs w:val="16"/>
          <w:b w:val="1"/>
          <w:bCs w:val="1"/>
          <w:color w:val="auto"/>
        </w:rPr>
        <w:t xml:space="preserve"> </w:t>
      </w:r>
      <w:r>
        <w:rPr>
          <w:rFonts w:ascii="Arial" w:cs="Arial" w:eastAsia="Arial" w:hAnsi="Arial"/>
          <w:sz w:val="16"/>
          <w:szCs w:val="16"/>
          <w:color w:val="auto"/>
        </w:rPr>
        <w:t>computed in accordance with GAAP plus real estate related depreciation and amortization, gains and losses on sale of real estate, and impairment write-downs of depreciable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Property Operating Income: </w:t>
      </w:r>
      <w:r>
        <w:rPr>
          <w:rFonts w:ascii="Arial" w:cs="Arial" w:eastAsia="Arial" w:hAnsi="Arial"/>
          <w:sz w:val="17"/>
          <w:szCs w:val="17"/>
          <w:color w:val="auto"/>
        </w:rPr>
        <w:t>Rental income and mortgage interest income, less rental expenses and real estate taxes.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Overall Portfolio: </w:t>
      </w:r>
      <w:r>
        <w:rPr>
          <w:rFonts w:ascii="Arial" w:cs="Arial" w:eastAsia="Arial" w:hAnsi="Arial"/>
          <w:sz w:val="17"/>
          <w:szCs w:val="17"/>
          <w:color w:val="auto"/>
        </w:rPr>
        <w:t>Includes all operating properties owned in reporting period.</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Comparable Properties: </w:t>
      </w:r>
      <w:r>
        <w:rPr>
          <w:rFonts w:ascii="Arial" w:cs="Arial" w:eastAsia="Arial" w:hAnsi="Arial"/>
          <w:sz w:val="16"/>
          <w:szCs w:val="16"/>
          <w:color w:val="auto"/>
        </w:rPr>
        <w:t>Represents our consolidated property portfolio other than those properties that distort comparability between periods in two primary</w:t>
      </w:r>
    </w:p>
    <w:p>
      <w:pPr>
        <w:spacing w:after="0" w:line="36" w:lineRule="exact"/>
        <w:rPr>
          <w:sz w:val="20"/>
          <w:szCs w:val="20"/>
          <w:color w:val="auto"/>
        </w:rPr>
      </w:pPr>
    </w:p>
    <w:p>
      <w:pPr>
        <w:ind w:right="580"/>
        <w:spacing w:after="0" w:line="257" w:lineRule="auto"/>
        <w:rPr>
          <w:sz w:val="20"/>
          <w:szCs w:val="20"/>
          <w:color w:val="auto"/>
        </w:rPr>
      </w:pPr>
      <w:r>
        <w:rPr>
          <w:rFonts w:ascii="Arial" w:cs="Arial" w:eastAsia="Arial" w:hAnsi="Arial"/>
          <w:sz w:val="17"/>
          <w:szCs w:val="17"/>
          <w:color w:val="auto"/>
        </w:rPr>
        <w:t>categories: (1) assets that were not owned for the full quarter in both periods presented and (2) assets currently under development or being repositioned for significant redevelopment and investment. Comparable property growth statistics are calculated on a GAAP basis.</w:t>
      </w:r>
    </w:p>
    <w:p>
      <w:pPr>
        <w:spacing w:after="0" w:line="90" w:lineRule="exact"/>
        <w:rPr>
          <w:sz w:val="20"/>
          <w:szCs w:val="20"/>
          <w:color w:val="auto"/>
        </w:rPr>
      </w:pPr>
    </w:p>
    <w:p>
      <w:pPr>
        <w:ind w:right="40"/>
        <w:spacing w:after="0" w:line="303" w:lineRule="auto"/>
        <w:rPr>
          <w:sz w:val="20"/>
          <w:szCs w:val="20"/>
          <w:color w:val="auto"/>
        </w:rPr>
      </w:pPr>
      <w:r>
        <w:rPr>
          <w:rFonts w:ascii="Arial" w:cs="Arial" w:eastAsia="Arial" w:hAnsi="Arial"/>
          <w:sz w:val="15"/>
          <w:szCs w:val="15"/>
          <w:b w:val="1"/>
          <w:bCs w:val="1"/>
          <w:color w:val="auto"/>
        </w:rPr>
        <w:t xml:space="preserve">Tenant Improvements and Incentives: </w:t>
      </w:r>
      <w:r>
        <w:rPr>
          <w:rFonts w:ascii="Arial" w:cs="Arial" w:eastAsia="Arial" w:hAnsi="Arial"/>
          <w:sz w:val="15"/>
          <w:szCs w:val="15"/>
          <w:color w:val="auto"/>
        </w:rPr>
        <w:t>Represents not only the total dollars committed for the improvement (fit-out) of a space as it relates to a specific lease and,</w:t>
      </w:r>
      <w:r>
        <w:rPr>
          <w:rFonts w:ascii="Arial" w:cs="Arial" w:eastAsia="Arial" w:hAnsi="Arial"/>
          <w:sz w:val="15"/>
          <w:szCs w:val="15"/>
          <w:b w:val="1"/>
          <w:bCs w:val="1"/>
          <w:color w:val="auto"/>
        </w:rPr>
        <w:t xml:space="preserve"> </w:t>
      </w:r>
      <w:r>
        <w:rPr>
          <w:rFonts w:ascii="Arial" w:cs="Arial" w:eastAsia="Arial" w:hAnsi="Arial"/>
          <w:sz w:val="15"/>
          <w:szCs w:val="15"/>
          <w:color w:val="auto"/>
        </w:rPr>
        <w:t>except for redevelopments, may also include base building costs (i.e. expansion, escalators or new entrances) which are required to make the space leasable. Incentives include amounts paid to tenants as an inducement to sign a lease that do not represent building improvements. Costs related to redevelopments require judgment by management in determining what reflects base building cost and thus, is not included in the "tenant improvements and incentives" amount.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04"/>
    </w:lvl>
  </w:abstractNum>
  <w:abstractNum w:abstractNumId="2">
    <w:nsid w:val="140E0F76"/>
    <w:multiLevelType w:val="hybridMultilevel"/>
    <w:lvl w:ilvl="0">
      <w:lvlJc w:val="left"/>
      <w:lvlText w:val="3"/>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decimal"/>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2020-05-06T15:21:14Z</dcterms:created>
  <dcterms:modified xsi:type="dcterms:W3CDTF">2020-05-06T15:21:14Z</dcterms:modified>
</cp:coreProperties>
</file>