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1, 2004</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tbl>
      <w:tblPr>
        <w:tblLayout w:type="fixed"/>
        <w:tblInd w:w="1160" w:type="dxa"/>
        <w:tblCellMar>
          <w:top w:w="0" w:type="dxa"/>
          <w:left w:w="0" w:type="dxa"/>
          <w:bottom w:w="0" w:type="dxa"/>
          <w:right w:w="0" w:type="dxa"/>
        </w:tblCellMar>
      </w:tblPr>
      <w:tr>
        <w:trPr>
          <w:trHeight w:val="174"/>
        </w:trPr>
        <w:tc>
          <w:tcPr>
            <w:tcW w:w="9040" w:type="dxa"/>
            <w:vAlign w:val="bottom"/>
            <w:gridSpan w:val="3"/>
          </w:tcPr>
          <w:p>
            <w:pPr>
              <w:ind w:left="30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49"/>
        </w:trPr>
        <w:tc>
          <w:tcPr>
            <w:tcW w:w="3580" w:type="dxa"/>
            <w:vAlign w:val="bottom"/>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3500" w:type="dxa"/>
            <w:vAlign w:val="bottom"/>
          </w:tcPr>
          <w:p>
            <w:pPr>
              <w:spacing w:after="0"/>
              <w:rPr>
                <w:sz w:val="12"/>
                <w:szCs w:val="12"/>
                <w:color w:val="auto"/>
              </w:rPr>
            </w:pPr>
          </w:p>
        </w:tc>
      </w:tr>
      <w:tr>
        <w:trPr>
          <w:trHeight w:val="372"/>
        </w:trPr>
        <w:tc>
          <w:tcPr>
            <w:tcW w:w="3580" w:type="dxa"/>
            <w:vAlign w:val="bottom"/>
          </w:tcPr>
          <w:p>
            <w:pPr>
              <w:jc w:val="center"/>
              <w:ind w:right="205"/>
              <w:spacing w:after="0"/>
              <w:rPr>
                <w:sz w:val="20"/>
                <w:szCs w:val="20"/>
                <w:color w:val="auto"/>
              </w:rPr>
            </w:pPr>
            <w:r>
              <w:rPr>
                <w:rFonts w:ascii="Arial" w:cs="Arial" w:eastAsia="Arial" w:hAnsi="Arial"/>
                <w:sz w:val="18"/>
                <w:szCs w:val="18"/>
                <w:b w:val="1"/>
                <w:bCs w:val="1"/>
                <w:color w:val="auto"/>
                <w:w w:val="93"/>
              </w:rPr>
              <w:t>Maryland</w:t>
            </w:r>
          </w:p>
        </w:tc>
        <w:tc>
          <w:tcPr>
            <w:tcW w:w="546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52-0782497</w:t>
            </w:r>
          </w:p>
        </w:tc>
      </w:tr>
      <w:tr>
        <w:trPr>
          <w:trHeight w:val="149"/>
        </w:trPr>
        <w:tc>
          <w:tcPr>
            <w:tcW w:w="358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9"/>
              </w:rPr>
              <w:t>(State or Other Jurisdiction</w:t>
            </w:r>
          </w:p>
        </w:tc>
        <w:tc>
          <w:tcPr>
            <w:tcW w:w="1960" w:type="dxa"/>
            <w:vAlign w:val="bottom"/>
          </w:tcPr>
          <w:p>
            <w:pPr>
              <w:spacing w:after="0"/>
              <w:rPr>
                <w:sz w:val="12"/>
                <w:szCs w:val="12"/>
                <w:color w:val="auto"/>
              </w:rPr>
            </w:pPr>
          </w:p>
        </w:tc>
        <w:tc>
          <w:tcPr>
            <w:tcW w:w="3500" w:type="dxa"/>
            <w:vAlign w:val="bottom"/>
          </w:tcPr>
          <w:p>
            <w:pPr>
              <w:jc w:val="center"/>
              <w:ind w:left="400"/>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358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7"/>
              </w:rPr>
              <w:t>of Incorporation or</w:t>
            </w:r>
          </w:p>
        </w:tc>
        <w:tc>
          <w:tcPr>
            <w:tcW w:w="1960" w:type="dxa"/>
            <w:vAlign w:val="bottom"/>
          </w:tcPr>
          <w:p>
            <w:pPr>
              <w:spacing w:after="0"/>
              <w:rPr>
                <w:sz w:val="12"/>
                <w:szCs w:val="12"/>
                <w:color w:val="auto"/>
              </w:rPr>
            </w:pPr>
          </w:p>
        </w:tc>
        <w:tc>
          <w:tcPr>
            <w:tcW w:w="3500" w:type="dxa"/>
            <w:vAlign w:val="bottom"/>
          </w:tcPr>
          <w:p>
            <w:pPr>
              <w:jc w:val="center"/>
              <w:ind w:left="400"/>
              <w:spacing w:after="0" w:line="149" w:lineRule="exact"/>
              <w:rPr>
                <w:sz w:val="20"/>
                <w:szCs w:val="20"/>
                <w:color w:val="auto"/>
              </w:rPr>
            </w:pPr>
            <w:r>
              <w:rPr>
                <w:rFonts w:ascii="Arial" w:cs="Arial" w:eastAsia="Arial" w:hAnsi="Arial"/>
                <w:sz w:val="14"/>
                <w:szCs w:val="14"/>
                <w:b w:val="1"/>
                <w:bCs w:val="1"/>
                <w:color w:val="auto"/>
                <w:w w:val="90"/>
              </w:rPr>
              <w:t>Identification Number)</w:t>
            </w:r>
          </w:p>
        </w:tc>
      </w:tr>
      <w:tr>
        <w:trPr>
          <w:trHeight w:val="174"/>
        </w:trPr>
        <w:tc>
          <w:tcPr>
            <w:tcW w:w="3580" w:type="dxa"/>
            <w:vAlign w:val="bottom"/>
          </w:tcPr>
          <w:p>
            <w:pPr>
              <w:jc w:val="center"/>
              <w:ind w:right="205"/>
              <w:spacing w:after="0"/>
              <w:rPr>
                <w:sz w:val="20"/>
                <w:szCs w:val="20"/>
                <w:color w:val="auto"/>
              </w:rPr>
            </w:pPr>
            <w:r>
              <w:rPr>
                <w:rFonts w:ascii="Arial" w:cs="Arial" w:eastAsia="Arial" w:hAnsi="Arial"/>
                <w:sz w:val="14"/>
                <w:szCs w:val="14"/>
                <w:b w:val="1"/>
                <w:bCs w:val="1"/>
                <w:color w:val="auto"/>
                <w:w w:val="90"/>
              </w:rPr>
              <w:t>Organization)</w:t>
            </w:r>
          </w:p>
        </w:tc>
        <w:tc>
          <w:tcPr>
            <w:tcW w:w="1960" w:type="dxa"/>
            <w:vAlign w:val="bottom"/>
          </w:tcPr>
          <w:p>
            <w:pPr>
              <w:spacing w:after="0"/>
              <w:rPr>
                <w:sz w:val="15"/>
                <w:szCs w:val="15"/>
                <w:color w:val="auto"/>
              </w:rPr>
            </w:pPr>
          </w:p>
        </w:tc>
        <w:tc>
          <w:tcPr>
            <w:tcW w:w="3500" w:type="dxa"/>
            <w:vAlign w:val="bottom"/>
          </w:tcPr>
          <w:p>
            <w:pPr>
              <w:spacing w:after="0"/>
              <w:rPr>
                <w:sz w:val="15"/>
                <w:szCs w:val="15"/>
                <w:color w:val="auto"/>
              </w:rPr>
            </w:pPr>
          </w:p>
        </w:tc>
      </w:tr>
      <w:tr>
        <w:trPr>
          <w:trHeight w:val="418"/>
        </w:trPr>
        <w:tc>
          <w:tcPr>
            <w:tcW w:w="3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00" w:type="dxa"/>
            <w:vAlign w:val="bottom"/>
          </w:tcPr>
          <w:p>
            <w:pPr>
              <w:jc w:val="center"/>
              <w:ind w:left="400"/>
              <w:spacing w:after="0"/>
              <w:rPr>
                <w:sz w:val="20"/>
                <w:szCs w:val="20"/>
                <w:color w:val="auto"/>
              </w:rPr>
            </w:pPr>
            <w:r>
              <w:rPr>
                <w:rFonts w:ascii="Arial" w:cs="Arial" w:eastAsia="Arial" w:hAnsi="Arial"/>
                <w:sz w:val="18"/>
                <w:szCs w:val="18"/>
                <w:b w:val="1"/>
                <w:bCs w:val="1"/>
                <w:color w:val="auto"/>
                <w:w w:val="91"/>
              </w:rPr>
              <w:t>Dawn M. Becker</w:t>
            </w:r>
          </w:p>
        </w:tc>
      </w:tr>
      <w:tr>
        <w:trPr>
          <w:trHeight w:val="216"/>
        </w:trPr>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7"/>
              </w:rPr>
              <w:t>Senior Vice President, General Counsel,</w:t>
            </w:r>
          </w:p>
        </w:tc>
      </w:tr>
      <w:tr>
        <w:trPr>
          <w:trHeight w:val="216"/>
        </w:trPr>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7"/>
              </w:rPr>
              <w:t>Secretary</w:t>
            </w:r>
          </w:p>
        </w:tc>
      </w:tr>
      <w:tr>
        <w:trPr>
          <w:trHeight w:val="216"/>
        </w:trPr>
        <w:tc>
          <w:tcPr>
            <w:tcW w:w="3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9"/>
              </w:rPr>
              <w:t>Federal Realty Investment Trust</w:t>
            </w:r>
          </w:p>
        </w:tc>
      </w:tr>
      <w:tr>
        <w:trPr>
          <w:trHeight w:val="216"/>
        </w:trPr>
        <w:tc>
          <w:tcPr>
            <w:tcW w:w="3580" w:type="dxa"/>
            <w:vAlign w:val="bottom"/>
          </w:tcPr>
          <w:p>
            <w:pPr>
              <w:jc w:val="center"/>
              <w:ind w:right="205"/>
              <w:spacing w:after="0"/>
              <w:rPr>
                <w:sz w:val="20"/>
                <w:szCs w:val="20"/>
                <w:color w:val="auto"/>
              </w:rPr>
            </w:pPr>
            <w:r>
              <w:rPr>
                <w:rFonts w:ascii="Arial" w:cs="Arial" w:eastAsia="Arial" w:hAnsi="Arial"/>
                <w:sz w:val="18"/>
                <w:szCs w:val="18"/>
                <w:b w:val="1"/>
                <w:bCs w:val="1"/>
                <w:color w:val="auto"/>
                <w:w w:val="86"/>
              </w:rPr>
              <w:t>1626 East Jefferson Street</w:t>
            </w:r>
          </w:p>
        </w:tc>
        <w:tc>
          <w:tcPr>
            <w:tcW w:w="1960" w:type="dxa"/>
            <w:vAlign w:val="bottom"/>
          </w:tcPr>
          <w:p>
            <w:pPr>
              <w:spacing w:after="0"/>
              <w:rPr>
                <w:sz w:val="18"/>
                <w:szCs w:val="18"/>
                <w:color w:val="auto"/>
              </w:rPr>
            </w:pPr>
          </w:p>
        </w:tc>
        <w:tc>
          <w:tcPr>
            <w:tcW w:w="3500" w:type="dxa"/>
            <w:vAlign w:val="bottom"/>
          </w:tcPr>
          <w:p>
            <w:pPr>
              <w:jc w:val="center"/>
              <w:ind w:left="380"/>
              <w:spacing w:after="0"/>
              <w:rPr>
                <w:sz w:val="20"/>
                <w:szCs w:val="20"/>
                <w:color w:val="auto"/>
              </w:rPr>
            </w:pPr>
            <w:r>
              <w:rPr>
                <w:rFonts w:ascii="Arial" w:cs="Arial" w:eastAsia="Arial" w:hAnsi="Arial"/>
                <w:sz w:val="18"/>
                <w:szCs w:val="18"/>
                <w:b w:val="1"/>
                <w:bCs w:val="1"/>
                <w:color w:val="auto"/>
                <w:w w:val="87"/>
              </w:rPr>
              <w:t>1626 East Jefferson Street</w:t>
            </w:r>
          </w:p>
        </w:tc>
      </w:tr>
      <w:tr>
        <w:trPr>
          <w:trHeight w:val="216"/>
        </w:trPr>
        <w:tc>
          <w:tcPr>
            <w:tcW w:w="3580" w:type="dxa"/>
            <w:vAlign w:val="bottom"/>
          </w:tcPr>
          <w:p>
            <w:pPr>
              <w:jc w:val="center"/>
              <w:ind w:right="205"/>
              <w:spacing w:after="0"/>
              <w:rPr>
                <w:sz w:val="20"/>
                <w:szCs w:val="20"/>
                <w:color w:val="auto"/>
              </w:rPr>
            </w:pPr>
            <w:r>
              <w:rPr>
                <w:rFonts w:ascii="Arial" w:cs="Arial" w:eastAsia="Arial" w:hAnsi="Arial"/>
                <w:sz w:val="18"/>
                <w:szCs w:val="18"/>
                <w:b w:val="1"/>
                <w:bCs w:val="1"/>
                <w:color w:val="auto"/>
                <w:w w:val="90"/>
              </w:rPr>
              <w:t>Rockville, Maryland 20852</w:t>
            </w:r>
          </w:p>
        </w:tc>
        <w:tc>
          <w:tcPr>
            <w:tcW w:w="1960" w:type="dxa"/>
            <w:vAlign w:val="bottom"/>
          </w:tcPr>
          <w:p>
            <w:pPr>
              <w:spacing w:after="0"/>
              <w:rPr>
                <w:sz w:val="18"/>
                <w:szCs w:val="18"/>
                <w:color w:val="auto"/>
              </w:rPr>
            </w:pPr>
          </w:p>
        </w:tc>
        <w:tc>
          <w:tcPr>
            <w:tcW w:w="3500" w:type="dxa"/>
            <w:vAlign w:val="bottom"/>
          </w:tcPr>
          <w:p>
            <w:pPr>
              <w:jc w:val="center"/>
              <w:ind w:left="400"/>
              <w:spacing w:after="0"/>
              <w:rPr>
                <w:sz w:val="20"/>
                <w:szCs w:val="20"/>
                <w:color w:val="auto"/>
              </w:rPr>
            </w:pPr>
            <w:r>
              <w:rPr>
                <w:rFonts w:ascii="Arial" w:cs="Arial" w:eastAsia="Arial" w:hAnsi="Arial"/>
                <w:sz w:val="18"/>
                <w:szCs w:val="18"/>
                <w:b w:val="1"/>
                <w:bCs w:val="1"/>
                <w:color w:val="auto"/>
                <w:w w:val="90"/>
              </w:rPr>
              <w:t>Rockville, Maryland 20852</w:t>
            </w:r>
          </w:p>
        </w:tc>
      </w:tr>
      <w:tr>
        <w:trPr>
          <w:trHeight w:val="228"/>
        </w:trPr>
        <w:tc>
          <w:tcPr>
            <w:tcW w:w="3580" w:type="dxa"/>
            <w:vAlign w:val="bottom"/>
          </w:tcPr>
          <w:p>
            <w:pPr>
              <w:jc w:val="center"/>
              <w:ind w:right="205"/>
              <w:spacing w:after="0"/>
              <w:rPr>
                <w:sz w:val="20"/>
                <w:szCs w:val="20"/>
                <w:color w:val="auto"/>
              </w:rPr>
            </w:pPr>
            <w:r>
              <w:rPr>
                <w:rFonts w:ascii="Arial" w:cs="Arial" w:eastAsia="Arial" w:hAnsi="Arial"/>
                <w:sz w:val="18"/>
                <w:szCs w:val="18"/>
                <w:b w:val="1"/>
                <w:bCs w:val="1"/>
                <w:color w:val="auto"/>
                <w:w w:val="89"/>
              </w:rPr>
              <w:t>(301) 998-8100</w:t>
            </w:r>
          </w:p>
        </w:tc>
        <w:tc>
          <w:tcPr>
            <w:tcW w:w="54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(301) 998-8100</w:t>
            </w:r>
          </w:p>
        </w:tc>
      </w:tr>
      <w:tr>
        <w:trPr>
          <w:trHeight w:val="151"/>
        </w:trPr>
        <w:tc>
          <w:tcPr>
            <w:tcW w:w="3580" w:type="dxa"/>
            <w:vAlign w:val="bottom"/>
          </w:tcPr>
          <w:p>
            <w:pPr>
              <w:jc w:val="center"/>
              <w:ind w:right="205"/>
              <w:spacing w:after="0" w:line="151"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1960" w:type="dxa"/>
            <w:vAlign w:val="bottom"/>
          </w:tcPr>
          <w:p>
            <w:pPr>
              <w:spacing w:after="0"/>
              <w:rPr>
                <w:sz w:val="13"/>
                <w:szCs w:val="13"/>
                <w:color w:val="auto"/>
              </w:rPr>
            </w:pPr>
          </w:p>
        </w:tc>
        <w:tc>
          <w:tcPr>
            <w:tcW w:w="3500" w:type="dxa"/>
            <w:vAlign w:val="bottom"/>
          </w:tcPr>
          <w:p>
            <w:pPr>
              <w:jc w:val="center"/>
              <w:ind w:left="400"/>
              <w:spacing w:after="0" w:line="151" w:lineRule="exact"/>
              <w:rPr>
                <w:sz w:val="20"/>
                <w:szCs w:val="20"/>
                <w:color w:val="auto"/>
              </w:rPr>
            </w:pPr>
            <w:r>
              <w:rPr>
                <w:rFonts w:ascii="Arial" w:cs="Arial" w:eastAsia="Arial" w:hAnsi="Arial"/>
                <w:sz w:val="14"/>
                <w:szCs w:val="14"/>
                <w:b w:val="1"/>
                <w:bCs w:val="1"/>
                <w:color w:val="auto"/>
                <w:w w:val="87"/>
              </w:rPr>
              <w:t>(Name, Address, Including Zip Code, and Telephone</w:t>
            </w:r>
          </w:p>
        </w:tc>
      </w:tr>
      <w:tr>
        <w:trPr>
          <w:trHeight w:val="149"/>
        </w:trPr>
        <w:tc>
          <w:tcPr>
            <w:tcW w:w="3580" w:type="dxa"/>
            <w:vAlign w:val="bottom"/>
          </w:tcPr>
          <w:p>
            <w:pPr>
              <w:jc w:val="center"/>
              <w:ind w:right="205"/>
              <w:spacing w:after="0" w:line="149" w:lineRule="exact"/>
              <w:rPr>
                <w:sz w:val="20"/>
                <w:szCs w:val="20"/>
                <w:color w:val="auto"/>
              </w:rPr>
            </w:pPr>
            <w:r>
              <w:rPr>
                <w:rFonts w:ascii="Arial" w:cs="Arial" w:eastAsia="Arial" w:hAnsi="Arial"/>
                <w:sz w:val="14"/>
                <w:szCs w:val="14"/>
                <w:b w:val="1"/>
                <w:bCs w:val="1"/>
                <w:color w:val="auto"/>
                <w:w w:val="88"/>
              </w:rPr>
              <w:t>Including Area Code, of Registrant’s Principal Executive</w:t>
            </w:r>
          </w:p>
        </w:tc>
        <w:tc>
          <w:tcPr>
            <w:tcW w:w="1960" w:type="dxa"/>
            <w:vAlign w:val="bottom"/>
          </w:tcPr>
          <w:p>
            <w:pPr>
              <w:spacing w:after="0"/>
              <w:rPr>
                <w:sz w:val="12"/>
                <w:szCs w:val="12"/>
                <w:color w:val="auto"/>
              </w:rPr>
            </w:pPr>
          </w:p>
        </w:tc>
        <w:tc>
          <w:tcPr>
            <w:tcW w:w="3500" w:type="dxa"/>
            <w:vAlign w:val="bottom"/>
          </w:tcPr>
          <w:p>
            <w:pPr>
              <w:jc w:val="center"/>
              <w:ind w:left="380"/>
              <w:spacing w:after="0" w:line="149" w:lineRule="exact"/>
              <w:rPr>
                <w:sz w:val="20"/>
                <w:szCs w:val="20"/>
                <w:color w:val="auto"/>
              </w:rPr>
            </w:pPr>
            <w:r>
              <w:rPr>
                <w:rFonts w:ascii="Arial" w:cs="Arial" w:eastAsia="Arial" w:hAnsi="Arial"/>
                <w:sz w:val="14"/>
                <w:szCs w:val="14"/>
                <w:b w:val="1"/>
                <w:bCs w:val="1"/>
                <w:color w:val="auto"/>
                <w:w w:val="87"/>
              </w:rPr>
              <w:t>Number, Including Area Code, of Agent for Service)</w:t>
            </w:r>
          </w:p>
        </w:tc>
      </w:tr>
      <w:tr>
        <w:trPr>
          <w:trHeight w:val="174"/>
        </w:trPr>
        <w:tc>
          <w:tcPr>
            <w:tcW w:w="3580" w:type="dxa"/>
            <w:vAlign w:val="bottom"/>
          </w:tcPr>
          <w:p>
            <w:pPr>
              <w:jc w:val="center"/>
              <w:ind w:right="205"/>
              <w:spacing w:after="0"/>
              <w:rPr>
                <w:sz w:val="20"/>
                <w:szCs w:val="20"/>
                <w:color w:val="auto"/>
              </w:rPr>
            </w:pPr>
            <w:r>
              <w:rPr>
                <w:rFonts w:ascii="Arial" w:cs="Arial" w:eastAsia="Arial" w:hAnsi="Arial"/>
                <w:sz w:val="14"/>
                <w:szCs w:val="14"/>
                <w:b w:val="1"/>
                <w:bCs w:val="1"/>
                <w:color w:val="auto"/>
                <w:w w:val="88"/>
              </w:rPr>
              <w:t>Offices)</w:t>
            </w:r>
          </w:p>
        </w:tc>
        <w:tc>
          <w:tcPr>
            <w:tcW w:w="1960" w:type="dxa"/>
            <w:vAlign w:val="bottom"/>
          </w:tcPr>
          <w:p>
            <w:pPr>
              <w:spacing w:after="0"/>
              <w:rPr>
                <w:sz w:val="15"/>
                <w:szCs w:val="15"/>
                <w:color w:val="auto"/>
              </w:rPr>
            </w:pPr>
          </w:p>
        </w:tc>
        <w:tc>
          <w:tcPr>
            <w:tcW w:w="3500" w:type="dxa"/>
            <w:vAlign w:val="bottom"/>
          </w:tcPr>
          <w:p>
            <w:pPr>
              <w:spacing w:after="0"/>
              <w:rPr>
                <w:sz w:val="15"/>
                <w:szCs w:val="15"/>
                <w:color w:val="auto"/>
              </w:rPr>
            </w:pP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Sylvia M. Mahaffey,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 xml:space="preserve">Approximate date the registrant proposes to begin selling securities to the public: </w:t>
      </w:r>
      <w:r>
        <w:rPr>
          <w:rFonts w:ascii="Arial" w:cs="Arial" w:eastAsia="Arial" w:hAnsi="Arial"/>
          <w:sz w:val="18"/>
          <w:szCs w:val="18"/>
          <w:color w:val="auto"/>
        </w:rPr>
        <w:t>From time to time after the effective date of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80"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13"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143510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420" w:type="dxa"/>
            <w:vAlign w:val="bottom"/>
          </w:tcPr>
          <w:p>
            <w:pPr>
              <w:jc w:val="center"/>
              <w:ind w:left="1427"/>
              <w:spacing w:after="0"/>
              <w:rPr>
                <w:sz w:val="20"/>
                <w:szCs w:val="20"/>
                <w:color w:val="auto"/>
              </w:rPr>
            </w:pPr>
            <w:r>
              <w:rPr>
                <w:rFonts w:ascii="Arial" w:cs="Arial" w:eastAsia="Arial" w:hAnsi="Arial"/>
                <w:sz w:val="14"/>
                <w:szCs w:val="14"/>
                <w:b w:val="1"/>
                <w:bCs w:val="1"/>
                <w:color w:val="auto"/>
                <w:w w:val="87"/>
              </w:rPr>
              <w:t>Proposed Maximum</w:t>
            </w:r>
          </w:p>
        </w:tc>
        <w:tc>
          <w:tcPr>
            <w:tcW w:w="13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640" w:type="dxa"/>
            <w:vAlign w:val="bottom"/>
          </w:tcPr>
          <w:p>
            <w:pPr>
              <w:jc w:val="center"/>
              <w:ind w:left="102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3420" w:type="dxa"/>
            <w:vAlign w:val="bottom"/>
          </w:tcPr>
          <w:p>
            <w:pPr>
              <w:jc w:val="center"/>
              <w:ind w:left="1427"/>
              <w:spacing w:after="0" w:line="149" w:lineRule="exact"/>
              <w:rPr>
                <w:sz w:val="20"/>
                <w:szCs w:val="20"/>
                <w:color w:val="auto"/>
              </w:rPr>
            </w:pPr>
            <w:r>
              <w:rPr>
                <w:rFonts w:ascii="Arial" w:cs="Arial" w:eastAsia="Arial" w:hAnsi="Arial"/>
                <w:sz w:val="14"/>
                <w:szCs w:val="14"/>
                <w:b w:val="1"/>
                <w:bCs w:val="1"/>
                <w:color w:val="auto"/>
                <w:w w:val="86"/>
              </w:rPr>
              <w:t>Aggregate</w:t>
            </w:r>
          </w:p>
        </w:tc>
        <w:tc>
          <w:tcPr>
            <w:tcW w:w="13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20" w:type="dxa"/>
            <w:vAlign w:val="bottom"/>
          </w:tcPr>
          <w:p>
            <w:pPr>
              <w:spacing w:after="0"/>
              <w:rPr>
                <w:sz w:val="14"/>
                <w:szCs w:val="14"/>
                <w:color w:val="auto"/>
              </w:rPr>
            </w:pPr>
          </w:p>
        </w:tc>
        <w:tc>
          <w:tcPr>
            <w:tcW w:w="6640" w:type="dxa"/>
            <w:vAlign w:val="bottom"/>
            <w:tcBorders>
              <w:bottom w:val="single" w:sz="8" w:color="auto"/>
            </w:tcBorders>
          </w:tcPr>
          <w:p>
            <w:pPr>
              <w:jc w:val="center"/>
              <w:ind w:left="1022"/>
              <w:spacing w:after="0"/>
              <w:rPr>
                <w:sz w:val="20"/>
                <w:szCs w:val="20"/>
                <w:color w:val="auto"/>
              </w:rPr>
            </w:pPr>
            <w:r>
              <w:rPr>
                <w:rFonts w:ascii="Arial" w:cs="Arial" w:eastAsia="Arial" w:hAnsi="Arial"/>
                <w:sz w:val="14"/>
                <w:szCs w:val="14"/>
                <w:b w:val="1"/>
                <w:bCs w:val="1"/>
                <w:color w:val="auto"/>
                <w:w w:val="85"/>
              </w:rPr>
              <w:t>To Be Registered</w:t>
            </w:r>
          </w:p>
        </w:tc>
        <w:tc>
          <w:tcPr>
            <w:tcW w:w="3420" w:type="dxa"/>
            <w:vAlign w:val="bottom"/>
            <w:tcBorders>
              <w:bottom w:val="single" w:sz="8" w:color="auto"/>
            </w:tcBorders>
          </w:tcPr>
          <w:p>
            <w:pPr>
              <w:jc w:val="center"/>
              <w:ind w:left="1427"/>
              <w:spacing w:after="0"/>
              <w:rPr>
                <w:sz w:val="20"/>
                <w:szCs w:val="20"/>
                <w:color w:val="auto"/>
              </w:rPr>
            </w:pPr>
            <w:r>
              <w:rPr>
                <w:rFonts w:ascii="Arial" w:cs="Arial" w:eastAsia="Arial" w:hAnsi="Arial"/>
                <w:sz w:val="14"/>
                <w:szCs w:val="14"/>
                <w:b w:val="1"/>
                <w:bCs w:val="1"/>
                <w:color w:val="auto"/>
                <w:w w:val="90"/>
              </w:rPr>
              <w:t>Offering Price</w:t>
            </w:r>
          </w:p>
        </w:tc>
        <w:tc>
          <w:tcPr>
            <w:tcW w:w="1340" w:type="dxa"/>
            <w:vAlign w:val="bottom"/>
            <w:tcBorders>
              <w:bottom w:val="single" w:sz="8" w:color="auto"/>
            </w:tcBorders>
          </w:tcPr>
          <w:p>
            <w:pPr>
              <w:jc w:val="center"/>
              <w:ind w:left="306"/>
              <w:spacing w:after="0"/>
              <w:rPr>
                <w:sz w:val="20"/>
                <w:szCs w:val="20"/>
                <w:color w:val="auto"/>
              </w:rPr>
            </w:pPr>
            <w:r>
              <w:rPr>
                <w:rFonts w:ascii="Arial" w:cs="Arial" w:eastAsia="Arial" w:hAnsi="Arial"/>
                <w:sz w:val="14"/>
                <w:szCs w:val="14"/>
                <w:b w:val="1"/>
                <w:bCs w:val="1"/>
                <w:color w:val="auto"/>
                <w:w w:val="87"/>
              </w:rPr>
              <w:t>Registration Fee</w:t>
            </w:r>
          </w:p>
        </w:tc>
      </w:tr>
      <w:tr>
        <w:trPr>
          <w:trHeight w:val="201"/>
        </w:trPr>
        <w:tc>
          <w:tcPr>
            <w:tcW w:w="2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rPr>
              <w:t>Common Shares of Beneficial Interest,</w:t>
            </w:r>
          </w:p>
        </w:tc>
        <w:tc>
          <w:tcPr>
            <w:tcW w:w="3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par value $.01 per share</w:t>
            </w:r>
          </w:p>
        </w:tc>
        <w:tc>
          <w:tcPr>
            <w:tcW w:w="3420" w:type="dxa"/>
            <w:vAlign w:val="bottom"/>
          </w:tcPr>
          <w:p>
            <w:pPr>
              <w:jc w:val="center"/>
              <w:ind w:left="1427"/>
              <w:spacing w:after="0"/>
              <w:rPr>
                <w:sz w:val="20"/>
                <w:szCs w:val="20"/>
                <w:color w:val="auto"/>
              </w:rPr>
            </w:pPr>
            <w:r>
              <w:rPr>
                <w:rFonts w:ascii="Arial" w:cs="Arial" w:eastAsia="Arial" w:hAnsi="Arial"/>
                <w:sz w:val="18"/>
                <w:szCs w:val="18"/>
                <w:color w:val="auto"/>
                <w:w w:val="88"/>
              </w:rPr>
              <w:t>$1,857,366</w:t>
            </w:r>
          </w:p>
        </w:tc>
        <w:tc>
          <w:tcPr>
            <w:tcW w:w="1340" w:type="dxa"/>
            <w:vAlign w:val="bottom"/>
          </w:tcPr>
          <w:p>
            <w:pPr>
              <w:jc w:val="center"/>
              <w:ind w:left="306"/>
              <w:spacing w:after="0"/>
              <w:rPr>
                <w:sz w:val="20"/>
                <w:szCs w:val="20"/>
                <w:color w:val="auto"/>
              </w:rPr>
            </w:pPr>
            <w:r>
              <w:rPr>
                <w:rFonts w:ascii="Arial" w:cs="Arial" w:eastAsia="Arial" w:hAnsi="Arial"/>
                <w:sz w:val="18"/>
                <w:szCs w:val="18"/>
                <w:color w:val="auto"/>
                <w:w w:val="85"/>
              </w:rPr>
              <w:t>$237.00.</w:t>
            </w:r>
          </w:p>
        </w:tc>
      </w:tr>
      <w:tr>
        <w:trPr>
          <w:trHeight w:val="134"/>
        </w:trPr>
        <w:tc>
          <w:tcPr>
            <w:tcW w:w="20" w:type="dxa"/>
            <w:vAlign w:val="bottom"/>
            <w:tcBorders>
              <w:bottom w:val="single" w:sz="8" w:color="auto"/>
            </w:tcBorders>
          </w:tcPr>
          <w:p>
            <w:pPr>
              <w:spacing w:after="0"/>
              <w:rPr>
                <w:sz w:val="11"/>
                <w:szCs w:val="11"/>
                <w:color w:val="auto"/>
              </w:rPr>
            </w:pPr>
          </w:p>
        </w:tc>
        <w:tc>
          <w:tcPr>
            <w:tcW w:w="664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4"/>
          <w:szCs w:val="24"/>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The information in this prospectus is not complete and may be changed. The selling shareholders identified herein may not sell the securities covered by this prospectus until the Securities and Exchange Commission declares the registration statement of which this prospectus is a part effective. This prospectus is not an offer to sell these securities and it is not soliciting an offer to buy these securities in any state where such an offer or sale is not permitted.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October 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109220</wp:posOffset>
            </wp:positionV>
            <wp:extent cx="4725035" cy="71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2503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FEDERAL REALTY INVESTMENT TRUST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Shares of Beneficial Interest</w:t>
      </w:r>
    </w:p>
    <w:p>
      <w:pPr>
        <w:spacing w:after="0" w:line="178" w:lineRule="exact"/>
        <w:rPr>
          <w:sz w:val="20"/>
          <w:szCs w:val="20"/>
          <w:color w:val="auto"/>
        </w:rPr>
      </w:pPr>
    </w:p>
    <w:p>
      <w:pPr>
        <w:ind w:left="460"/>
        <w:spacing w:after="0"/>
        <w:tabs>
          <w:tab w:leader="none" w:pos="10280" w:val="left"/>
        </w:tabs>
        <w:rPr>
          <w:sz w:val="20"/>
          <w:szCs w:val="20"/>
          <w:color w:val="auto"/>
        </w:rPr>
      </w:pPr>
      <w:r>
        <w:rPr>
          <w:rFonts w:ascii="Arial" w:cs="Arial" w:eastAsia="Arial" w:hAnsi="Arial"/>
          <w:sz w:val="18"/>
          <w:szCs w:val="18"/>
          <w:color w:val="auto"/>
        </w:rPr>
        <w:t>The persons listed herein, who are shareholders of Federal Realty Investment Trust, may offer and sell from time to time up to</w:t>
      </w:r>
      <w:r>
        <w:rPr>
          <w:sz w:val="20"/>
          <w:szCs w:val="20"/>
          <w:color w:val="auto"/>
        </w:rPr>
        <w:tab/>
      </w:r>
      <w:r>
        <w:rPr>
          <w:rFonts w:ascii="Arial" w:cs="Arial" w:eastAsia="Arial" w:hAnsi="Arial"/>
          <w:sz w:val="15"/>
          <w:szCs w:val="15"/>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5952490</wp:posOffset>
            </wp:positionH>
            <wp:positionV relativeFrom="paragraph">
              <wp:posOffset>-13970</wp:posOffset>
            </wp:positionV>
            <wp:extent cx="557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0"/>
        <w:spacing w:after="0" w:line="254" w:lineRule="auto"/>
        <w:rPr>
          <w:sz w:val="20"/>
          <w:szCs w:val="20"/>
          <w:color w:val="auto"/>
        </w:rPr>
      </w:pPr>
      <w:r>
        <w:rPr>
          <w:rFonts w:ascii="Arial" w:cs="Arial" w:eastAsia="Arial" w:hAnsi="Arial"/>
          <w:sz w:val="18"/>
          <w:szCs w:val="18"/>
          <w:color w:val="auto"/>
        </w:rPr>
        <w:t>of beneficial interest under this prospectus. We refer to such persons as the selling shareholders. We are registering the offered shares as required under the terms of a registration rights agreement between the selling shareholders and us. Our registration of the offered shares does not mean that any of the selling shareholders will offer or sell any of the offered shares. We will receive no proceeds of any sales of the offered shares by the selling shareholders, but we will incur expenses in connection with the offering.</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selling shareholders may sell the offered shares in public or private transactions, on or off the New York Stock Exchange, at prevailing market prices or at privately negotiated prices. The selling shareholders may sell the offered shares directly or through agents or broker-dealers acting as principal or agent, or in a distribution by underwriters.</w:t>
      </w:r>
    </w:p>
    <w:p>
      <w:pPr>
        <w:spacing w:after="0" w:line="127" w:lineRule="exact"/>
        <w:rPr>
          <w:sz w:val="20"/>
          <w:szCs w:val="20"/>
          <w:color w:val="auto"/>
        </w:rPr>
      </w:pPr>
    </w:p>
    <w:p>
      <w:pPr>
        <w:ind w:left="460" w:right="4400"/>
        <w:spacing w:after="0" w:line="503" w:lineRule="auto"/>
        <w:rPr>
          <w:sz w:val="20"/>
          <w:szCs w:val="20"/>
          <w:color w:val="auto"/>
        </w:rPr>
      </w:pPr>
      <w:r>
        <w:rPr>
          <w:rFonts w:ascii="Arial" w:cs="Arial" w:eastAsia="Arial" w:hAnsi="Arial"/>
          <w:sz w:val="15"/>
          <w:szCs w:val="15"/>
          <w:color w:val="auto"/>
        </w:rPr>
        <w:t xml:space="preserve">Our common shares are listed on the New York Stock Exchange under the symbol “FRT.” </w:t>
      </w:r>
      <w:r>
        <w:rPr>
          <w:rFonts w:ascii="Arial" w:cs="Arial" w:eastAsia="Arial" w:hAnsi="Arial"/>
          <w:sz w:val="15"/>
          <w:szCs w:val="15"/>
          <w:b w:val="1"/>
          <w:bCs w:val="1"/>
          <w:color w:val="auto"/>
        </w:rPr>
        <w:t>Investing in our common shares involves risks. See “Risk Factors” beginning on page 4.</w:t>
      </w:r>
    </w:p>
    <w:p>
      <w:pPr>
        <w:ind w:right="3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offered shares, or determined if this prospectus is truthful or complete. Any representation to the contrary is a criminal offense.</w:t>
      </w:r>
    </w:p>
    <w:p>
      <w:pPr>
        <w:spacing w:after="0" w:line="44" w:lineRule="exact"/>
        <w:rPr>
          <w:sz w:val="20"/>
          <w:szCs w:val="20"/>
          <w:color w:val="auto"/>
        </w:rPr>
      </w:pPr>
    </w:p>
    <w:tbl>
      <w:tblPr>
        <w:tblLayout w:type="fixed"/>
        <w:tblInd w:w="372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b w:val="1"/>
                <w:bCs w:val="1"/>
                <w:color w:val="auto"/>
                <w:w w:val="86"/>
              </w:rPr>
              <w:t>The date of this prospectus is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 2004.</w:t>
            </w:r>
          </w:p>
        </w:tc>
      </w:tr>
      <w:tr>
        <w:trPr>
          <w:trHeight w:val="20"/>
        </w:trPr>
        <w:tc>
          <w:tcPr>
            <w:tcW w:w="2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2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2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Disclosure Regarding Forward-Looking Statements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Trust</w:t>
              </w:r>
            </w:hyperlink>
          </w:p>
        </w:tc>
        <w:tc>
          <w:tcPr>
            <w:tcW w:w="560" w:type="dxa"/>
            <w:vAlign w:val="bottom"/>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3300" w:type="dxa"/>
            <w:vAlign w:val="bottom"/>
            <w:gridSpan w:val="9"/>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Use of Proceeds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Selling Shareholders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Federal Income Tax Considerations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Plan of Distribution</w:t>
              </w:r>
            </w:hyperlink>
          </w:p>
        </w:tc>
        <w:tc>
          <w:tcPr>
            <w:tcW w:w="1700" w:type="dxa"/>
            <w:vAlign w:val="bottom"/>
            <w:gridSpan w:val="4"/>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274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Notice Regarding Arthur Andersen LLP</w:t>
              </w:r>
            </w:hyperlink>
          </w:p>
        </w:tc>
        <w:tc>
          <w:tcPr>
            <w:tcW w:w="1360" w:type="dxa"/>
            <w:vAlign w:val="bottom"/>
            <w:gridSpan w:val="2"/>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is part of a registration statement on Form S-3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provides you with a general description of the offered shares. Each time a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used in this prospectus, references to “we,” “our,” the “Trust” and “Federal Realty” and similar references are to Federal Realty Investment Trust, a Maryland real estate investment trust and its consolidated subsidiaries. As used in this prospectus, references to the “selling shareholders” and similar references are to the persons listed herein, who are shareholders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Federal Realty Investment Trust and who may offer and sell from time to time up to</w:t>
      </w:r>
      <w:r>
        <w:rPr>
          <w:sz w:val="20"/>
          <w:szCs w:val="20"/>
          <w:color w:val="auto"/>
        </w:rPr>
        <w:tab/>
      </w:r>
      <w:r>
        <w:rPr>
          <w:rFonts w:ascii="Arial" w:cs="Arial" w:eastAsia="Arial" w:hAnsi="Arial"/>
          <w:sz w:val="15"/>
          <w:szCs w:val="15"/>
          <w:color w:val="auto"/>
        </w:rPr>
        <w:t>common shares of beneficial interest under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-13970</wp:posOffset>
            </wp:positionV>
            <wp:extent cx="5575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Given these uncertainties, we caution you not to place undue reliance on any forward-looking statements that we make, including those in this prospectus. Such factors include, but are not limited to, the risk factors described below, and include the following:</w:t>
      </w:r>
    </w:p>
    <w:p>
      <w:pPr>
        <w:spacing w:after="0" w:line="21"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800" w:right="80" w:hanging="346"/>
        <w:spacing w:after="0" w:line="298" w:lineRule="auto"/>
        <w:tabs>
          <w:tab w:leader="none" w:pos="8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and our development, construction and renovation projects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18" w:lineRule="exact"/>
        <w:rPr>
          <w:rFonts w:ascii="Arial" w:cs="Arial" w:eastAsia="Arial" w:hAnsi="Arial"/>
          <w:sz w:val="16"/>
          <w:szCs w:val="16"/>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76"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identify forward-looking statements in this prospectus and other materials filed or to be filed by us with the Securities and Exchange Commission, or the Commission,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Except as required by law, we make no promise to update any of the forward-looking statements as a result of new information, future events, or otherwise.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June 30, 2004, we owned or had an interest in 62 community and neighborhood shopping centers comprising approximately 14.1 million square feet, primarily located in densely populated and affluent communities throughout the Northeast and Mid-Atlantic United States, as well as California. In addition, we owned 49 urban and retail mixed-use properties comprising almost 2.8 million square feet and one apartment complex, primarily located in strategic metropolitan markets in the Northeast and Mid-Atlantic regions and California. In total, our properties were 94.2% leased at June 30, 2004, 93.1% leased at December 31, 2003 and 93.1% leased at June 30, 2003. We have paid quarterly dividends to our shareholders continuously since our founding in 1962, and have increased our dividend rate for 36 consecutive years.</w:t>
      </w:r>
    </w:p>
    <w:p>
      <w:pPr>
        <w:spacing w:after="0" w:line="10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who are responsible for day to day operating decisions.</w:t>
      </w:r>
    </w:p>
    <w:p>
      <w:pPr>
        <w:spacing w:after="0" w:line="9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principal executive offices are located at 1626 East Jefferson Street, Rockville, Maryland 20852 and our telephone number is (301) 998-8100. Our Web site address is www.federalrealty.com. The information contained on our Web site is not a part of this prospectus.</w:t>
      </w:r>
    </w:p>
    <w:p>
      <w:pPr>
        <w:spacing w:after="0" w:line="6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increase our net income depends on the success and continued presence of our shopping center “anchor” tenants.</w:t>
      </w:r>
    </w:p>
    <w:p>
      <w:pPr>
        <w:spacing w:after="0" w:line="8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The closing of one or more anchor stores prior to the expiration of the lease of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 substantial amount of debt. As of June 30, 2004, we had approximately $1.3 billion of debt outstanding. Of that outstanding debt, approximately $253 million was secured by 12 of our properties and approximately $159 million represented capital lease obligations on 11 of our properties. All of our secured debt and senior notes and virtually all of our capital lease obligations are fixed rate debt.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21" w:lineRule="exact"/>
        <w:rPr>
          <w:sz w:val="20"/>
          <w:szCs w:val="20"/>
          <w:color w:val="auto"/>
        </w:rPr>
      </w:pPr>
    </w:p>
    <w:p>
      <w:pPr>
        <w:ind w:left="800" w:right="80" w:hanging="346"/>
        <w:spacing w:after="0" w:line="325"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our variable rate, unhedged debt if interest rates rise;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346"/>
        <w:spacing w:after="0" w:line="325"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1" w:lineRule="exact"/>
        <w:rPr>
          <w:rFonts w:ascii="Arial" w:cs="Arial" w:eastAsia="Arial" w:hAnsi="Arial"/>
          <w:sz w:val="16"/>
          <w:szCs w:val="16"/>
          <w:color w:val="auto"/>
        </w:rPr>
      </w:pPr>
    </w:p>
    <w:p>
      <w:pPr>
        <w:ind w:left="800" w:right="60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0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are obligated to comply with financial and other covenants in our debt that could restrict our operating activities, and the failure to comply could result in defaults that accelerate payment under our debt.</w:t>
      </w:r>
    </w:p>
    <w:p>
      <w:pPr>
        <w:spacing w:after="0" w:line="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credit facility and term loans include financial covenants that may limit our operating activities in the future. These covenants require us, among other things, to:</w:t>
      </w:r>
    </w:p>
    <w:p>
      <w:pPr>
        <w:spacing w:after="0" w:line="37"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.55 to 1 (we maintained a ratio of .47 to 1 as of June 30, 2004);</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total asset value to less than .30 to 1 (we maintained a ratio of .15 to 1 as of June 30, 2004);</w:t>
      </w:r>
    </w:p>
    <w:p>
      <w:pPr>
        <w:spacing w:after="0" w:line="99"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2.22 to 1 as of June 30, 2004);</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2.72 to 1 as of June 30, 2004); and</w:t>
      </w:r>
    </w:p>
    <w:p>
      <w:pPr>
        <w:spacing w:after="0" w:line="37"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total asset value (the budgeted total cost of our projects under construction at June 30, 2004 represented 3.6% of gross asset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these covenants are calculated in accordance with the terms of our credit facility, there is no relevant reconciliation to these ratios under generally accepted accounting principles.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additional covenants, including, among others, provisions:</w:t>
      </w:r>
    </w:p>
    <w:p>
      <w:pPr>
        <w:spacing w:after="0" w:line="7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other liens;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June 30, 2004,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are inherently risky.</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ground-up development of improvements on real property, as opposed to the renovation and redevelopment of existing improvements,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presents substantial risks. We do not intend to initiate any new large-scale mixed-use, ground-up development projects; however, we do intend to complete the development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the risks associated with our remaining development activities include:</w:t>
      </w:r>
    </w:p>
    <w:p>
      <w:pPr>
        <w:spacing w:after="0" w:line="37" w:lineRule="exact"/>
        <w:rPr>
          <w:sz w:val="20"/>
          <w:szCs w:val="20"/>
          <w:color w:val="auto"/>
        </w:rPr>
      </w:pPr>
    </w:p>
    <w:p>
      <w:pPr>
        <w:ind w:left="5620" w:right="1340" w:hanging="5166"/>
        <w:spacing w:after="0" w:line="440"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time lag between commencement and completion subjects us to greater risks due to fluctuation in the general economy; -7-</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higher-than-estimated construction costs, including labor and material costs; and</w:t>
      </w:r>
    </w:p>
    <w:p>
      <w:pPr>
        <w:spacing w:after="0" w:line="76" w:lineRule="exact"/>
        <w:rPr>
          <w:rFonts w:ascii="Arial" w:cs="Arial" w:eastAsia="Arial" w:hAnsi="Arial"/>
          <w:sz w:val="18"/>
          <w:szCs w:val="18"/>
          <w:color w:val="auto"/>
        </w:rPr>
      </w:pPr>
    </w:p>
    <w:p>
      <w:pPr>
        <w:ind w:left="800" w:right="48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Santana Row</w:t>
      </w:r>
      <w:r>
        <w:rPr>
          <w:rFonts w:ascii="Arial" w:cs="Arial" w:eastAsia="Arial" w:hAnsi="Arial"/>
          <w:sz w:val="16"/>
          <w:szCs w:val="16"/>
          <w:color w:val="auto"/>
        </w:rPr>
        <w:t>. Santana Row is the largest project we have undertaken, and if it is not successful it could have a material adverse effect on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and results of operations. We have made a full and final settlement with the insurance company relating to the August 19, 2002 fire at the property. All proceeds from that insurance settlement have been reflected in our 2003 financial statements with the exception of approximately $3 million which will be included as income in our 2004 financial statements. We are currently in the process of constructing Phases III and IV of the project. Phase III consists of the addition of a new art screen cinema and a small amount of additional retail space. The movie theater has been pre-leased and the tenant is responsible for constructing the new improvements. Our cost of completing Phase III is estimated to be approximately $3.8 million. Phase IV of the project consists of rebuilding on Building 7 256 residential units that were destroyed by the August 2002 fire. We have estimated the incremental cost of completing Phase IV to be approximately $58 million.</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 In addition, our financial condition and results of operations may be adversely affected by delays or cost overruns in completing Phase III, Phase IV or future phases of Santana Row, by an inability to achieve the market rents that were projected when the project was commenced, or by slower than projected lease-up of the project.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8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12" w:lineRule="exact"/>
        <w:rPr>
          <w:sz w:val="20"/>
          <w:szCs w:val="20"/>
          <w:color w:val="auto"/>
        </w:rPr>
      </w:pPr>
    </w:p>
    <w:p>
      <w:pPr>
        <w:ind w:left="8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spacing w:after="0" w:line="268" w:lineRule="auto"/>
        <w:rPr>
          <w:sz w:val="20"/>
          <w:szCs w:val="20"/>
          <w:color w:val="auto"/>
        </w:rPr>
      </w:pPr>
      <w:r>
        <w:rPr>
          <w:rFonts w:ascii="Arial" w:cs="Arial" w:eastAsia="Arial" w:hAnsi="Arial"/>
          <w:sz w:val="18"/>
          <w:szCs w:val="18"/>
          <w:color w:val="auto"/>
        </w:rPr>
        <w:t>redevelopment may be too short, and in either case, the property may fail to achieve the returns we have projected, either temporarily or for a longer time;</w:t>
      </w:r>
    </w:p>
    <w:p>
      <w:pPr>
        <w:spacing w:after="0" w:line="3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able to identify suitable properties to acquire or may be unable to complete the acquisition of the properties we identify;</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integrate any acquisitions into our existing operations successfully;</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37"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to complete our redevelopments, it is often necessary for us to take space out of service for a period of time which, on at least a temporary basis, increases vacancy and decreases revenue at the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8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Of our approximately $1.3 billion of debt outstanding as of December 31, 2003, approximately $186 million bears interest at variable rates and was unhedged.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to demand a higher annual yield, which could adversely affect the market price of our outstanding debt securities and preferred shares and the cost of issuing additional debt securities or preferred shares.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2"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downturns in the areas where our properties are located;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oversupply or reduction in demand;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76"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investment.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properties that we redevelop, renovate or reposition may produce reduced rents during the redevelopment, renovation or repositioning. In those events, the cash flow from existing operations may be insufficient to pay the operating expenses and debt service associated with those properties until the properties are fully leased.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Numerous commercial developers and real estate companies compete with us in seeking tenants for our existing properties and properties for acquisition.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70"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 or may become inadequate.</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2004, we carry comprehensive insurance on all of our properties, including insurance for liability, fire, flood, and rental loss. We also carry earthquake insurance on all of our properties in California and environmental insurance on most of our properties. These earthquake and environmental policies contain coverage limitations. We believe this coverage is of the type and amount customarily obtained for or by an owner of real property assets. We intend to obtain similar insurance coverage on subsequently acquired properties.</w:t>
      </w:r>
    </w:p>
    <w:p>
      <w:pPr>
        <w:spacing w:after="0" w:line="13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consequence of the September 11, 2001 terrorist attacks and other significant losses incurred by the insurance industry, the availability of insurance coverage has decreased and the prices for insurance have increased. As a result, we may be unable to renew or duplicate our current insurance coverage in adequate amounts or at reasonable prices when the policies expire.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August 30, 2004, we hold eleven shopping centers and eight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suggestions or instructions, or in opposition to our policies or objectives. Although we hold the managing general partnership or membership interest in all 19 of our existing co-investments as of August 30, 2004, we must obtain the consent of the co-investor or meet defined criteria to sell or to finance nine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99"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 addition, we have created a new joint venture for purposes of acquiring properties. Although we are the manager of that entity, we are the minority equity owner. Under the joint venture arrangement,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or to act quickly if circumstances change or we believe an action is required. In particular, our partner’s consent is required to do the following:</w:t>
      </w:r>
    </w:p>
    <w:p>
      <w:pPr>
        <w:spacing w:after="0" w:line="3"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or modify leases with, or enforce remedies against, anchor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repairs, renovations or other changes or improvements to properties, the cost of which exceeds approved budgets;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the property or finance or refinance the property with secured debt.</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Under the terms of our partnership, certain acquisition opportunities that become available to us are required to be offered first to the joint venture. This requirement will result in conflicts of interest and could limit our ability to acquire properties for our own account which could, in turn, limit our ability to grow. Our investment in this joint venture is also subject to the risks described above for jointly owned investments.</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because we act as property manager and leasing agent for the joint venture, there may be potential conflicts of interest within management in allocating time and resources between us and the joint venture.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using those properties as collateral. The costs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Americans with Disabilities Act of 1990 could require us to take remedial steps with respect to existing or newly acquired properties.</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the Act, or of other federal, state or local laws, also may change in the future and restrict further renovations of our properties with respect to access for disabled persons. Future compliance with the Act may require expensive changes to the properties.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the IRS may determine that we are not qualified as such. In addition, we may not remain qualified as a REIT in the future.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fail to qualify as a REIT:</w:t>
      </w:r>
    </w:p>
    <w:p>
      <w:pPr>
        <w:spacing w:after="0" w:line="77"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76" w:lineRule="exact"/>
        <w:rPr>
          <w:rFonts w:ascii="Arial" w:cs="Arial" w:eastAsia="Arial" w:hAnsi="Arial"/>
          <w:sz w:val="18"/>
          <w:szCs w:val="18"/>
          <w:color w:val="auto"/>
        </w:rPr>
      </w:pPr>
    </w:p>
    <w:p>
      <w:pPr>
        <w:ind w:left="800" w:right="24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spacing w:after="0" w:line="37"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8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3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11" w:lineRule="exact"/>
        <w:rPr>
          <w:rFonts w:ascii="Arial" w:cs="Arial" w:eastAsia="Arial" w:hAnsi="Arial"/>
          <w:sz w:val="15"/>
          <w:szCs w:val="15"/>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non-deductible capital expenditures, creation of reserves, or debt service requirements may reduce available cash but not taxable income.</w:t>
      </w:r>
    </w:p>
    <w:p>
      <w:pPr>
        <w:spacing w:after="0" w:line="18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these circumstances, we might have to borrow funds on unfavorable terms and we may have to borrow funds even if our management believes the market conditions make borrowing financially unattractive.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of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0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83" w:lineRule="exact"/>
        <w:rPr>
          <w:sz w:val="20"/>
          <w:szCs w:val="20"/>
          <w:color w:val="auto"/>
        </w:rPr>
      </w:pPr>
    </w:p>
    <w:p>
      <w:pPr>
        <w:ind w:right="300" w:firstLine="456"/>
        <w:spacing w:after="0" w:line="325"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9"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staggered, fixed-size Board of Trustees consisting of three classes of trustees;</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by the chairman of the Board, by the chief executive officer, by the president, by one-third of the trustees or by shareholders possessing no less than 25% of all the votes entitled to be cast at the meeting;</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shares of beneficial interest, including the reclassification of common shares into preferred shares and vice-versa;</w:t>
      </w:r>
    </w:p>
    <w:p>
      <w:pPr>
        <w:spacing w:after="0" w:line="77"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 and</w:t>
      </w:r>
    </w:p>
    <w:p>
      <w:pPr>
        <w:spacing w:after="0" w:line="76" w:lineRule="exact"/>
        <w:rPr>
          <w:rFonts w:ascii="Arial" w:cs="Arial" w:eastAsia="Arial" w:hAnsi="Arial"/>
          <w:sz w:val="18"/>
          <w:szCs w:val="18"/>
          <w:color w:val="auto"/>
        </w:rPr>
      </w:pPr>
    </w:p>
    <w:p>
      <w:pPr>
        <w:ind w:left="800" w:hanging="346"/>
        <w:spacing w:after="0" w:line="370" w:lineRule="auto"/>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4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fifty percent of the shareholders entitled to vote, and, upon such repeal, may, to the extent provided by any successor bylaw, apply to any prior or subsequent control share acquisition.</w:t>
      </w:r>
    </w:p>
    <w:p>
      <w:pPr>
        <w:spacing w:after="0" w:line="8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amend or revise our business policies without your approval, and we have adopted a business plan that involves changes in our operational policies.</w:t>
      </w:r>
    </w:p>
    <w:p>
      <w:pPr>
        <w:spacing w:after="0" w:line="31"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in February of 2002, our Board of Trustees adopted a business plan that focuses on our investment in neighborhood and community shopping centers, principally through redevelopments and acquisitions. If our new business plan is not successful, it could have a material adverse effect on our financial condition and results of operations.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We will not receive any of the proceeds from sales of the common shares covered by this prospectus by the selling shareholders. We will pay all costs and expenses incurred in connection with the offering of the offered shares, other than any brokerage fees and commissions, fees and disbursements of legal counsel for the selling shareholders and share transfer and other taxes attributable to the sale of the common shares, which will be paid by the selling shareholders.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selling shareholders received the common shares in connection with a transaction in which, pursuant to the terms of the partnership agreement of one of our partnerships, an unaffiliated partner merged with and into one of our subsidiaries with the stockholders of the unaffiliated partner receiving the common shares in exchange for such partner’s partnership interests. The following table provides the name of each selling shareholder and the number of common shares that may be offered by each selling shareholder. The address for each selling shareholder is c/o CIM Group, LLC, 6922 Hollywood Boulevard, Suite 900, Los Angeles, California 90028. Since the selling shareholders may sell all, some or none of the offered shares, no estimate can be made of the number of offered shares that will be sold by the selling shareholders or that will be owned by the selling shareholders upon completion of the offering. The offered shares represent approximately % of our total common shares outstanding as of September 23, 2004.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8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Owned Prior to the</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gridSpan w:val="2"/>
          </w:tcPr>
          <w:p>
            <w:pPr>
              <w:jc w:val="center"/>
              <w:ind w:right="612"/>
              <w:spacing w:after="0"/>
              <w:rPr>
                <w:sz w:val="20"/>
                <w:szCs w:val="20"/>
                <w:color w:val="auto"/>
              </w:rPr>
            </w:pPr>
            <w:r>
              <w:rPr>
                <w:rFonts w:ascii="Arial" w:cs="Arial" w:eastAsia="Arial" w:hAnsi="Arial"/>
                <w:sz w:val="14"/>
                <w:szCs w:val="14"/>
                <w:b w:val="1"/>
                <w:bCs w:val="1"/>
                <w:color w:val="auto"/>
                <w:w w:val="91"/>
              </w:rPr>
              <w:t>Offering</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After the Offering</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720" w:type="dxa"/>
            <w:vAlign w:val="bottom"/>
            <w:gridSpan w:val="2"/>
          </w:tcPr>
          <w:p>
            <w:pPr>
              <w:jc w:val="center"/>
              <w:ind w:left="297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0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80"/>
              </w:rPr>
              <w:t>Percent</w:t>
            </w:r>
            <w:r>
              <w:rPr>
                <w:rFonts w:ascii="Arial" w:cs="Arial" w:eastAsia="Arial" w:hAnsi="Arial"/>
                <w:sz w:val="22"/>
                <w:szCs w:val="22"/>
                <w:b w:val="1"/>
                <w:bCs w:val="1"/>
                <w:color w:val="auto"/>
                <w:w w:val="80"/>
                <w:vertAlign w:val="superscript"/>
              </w:rPr>
              <w:t>(2)</w:t>
            </w:r>
          </w:p>
        </w:tc>
        <w:tc>
          <w:tcPr>
            <w:tcW w:w="60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Shares Being</w:t>
            </w:r>
          </w:p>
        </w:tc>
        <w:tc>
          <w:tcPr>
            <w:tcW w:w="1060" w:type="dxa"/>
            <w:vAlign w:val="bottom"/>
          </w:tcPr>
          <w:p>
            <w:pPr>
              <w:jc w:val="right"/>
              <w:ind w:right="125"/>
              <w:spacing w:after="0" w:line="149" w:lineRule="exact"/>
              <w:rPr>
                <w:sz w:val="20"/>
                <w:szCs w:val="20"/>
                <w:color w:val="auto"/>
              </w:rPr>
            </w:pPr>
            <w:r>
              <w:rPr>
                <w:rFonts w:ascii="Arial" w:cs="Arial" w:eastAsia="Arial" w:hAnsi="Arial"/>
                <w:sz w:val="14"/>
                <w:szCs w:val="14"/>
                <w:b w:val="1"/>
                <w:bCs w:val="1"/>
                <w:color w:val="auto"/>
              </w:rPr>
              <w:t>Beneficially</w:t>
            </w:r>
          </w:p>
        </w:tc>
        <w:tc>
          <w:tcPr>
            <w:tcW w:w="6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77"/>
              </w:rPr>
              <w:t>Percent</w:t>
            </w:r>
            <w:r>
              <w:rPr>
                <w:rFonts w:ascii="Arial" w:cs="Arial" w:eastAsia="Arial" w:hAnsi="Arial"/>
                <w:sz w:val="22"/>
                <w:szCs w:val="22"/>
                <w:b w:val="1"/>
                <w:bCs w:val="1"/>
                <w:color w:val="auto"/>
                <w:w w:val="77"/>
                <w:vertAlign w:val="superscript"/>
              </w:rPr>
              <w:t>(2)</w:t>
            </w:r>
          </w:p>
        </w:tc>
        <w:tc>
          <w:tcPr>
            <w:tcW w:w="0" w:type="dxa"/>
            <w:vAlign w:val="bottom"/>
          </w:tcPr>
          <w:p>
            <w:pPr>
              <w:spacing w:after="0"/>
              <w:rPr>
                <w:sz w:val="1"/>
                <w:szCs w:val="1"/>
                <w:color w:val="auto"/>
              </w:rPr>
            </w:pPr>
          </w:p>
        </w:tc>
      </w:tr>
      <w:tr>
        <w:trPr>
          <w:trHeight w:val="266"/>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Stockholder</w:t>
            </w:r>
          </w:p>
        </w:tc>
        <w:tc>
          <w:tcPr>
            <w:tcW w:w="304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600" w:type="dxa"/>
            <w:vAlign w:val="bottom"/>
          </w:tcPr>
          <w:p>
            <w:pPr>
              <w:spacing w:after="0"/>
              <w:rPr>
                <w:sz w:val="23"/>
                <w:szCs w:val="23"/>
                <w:color w:val="auto"/>
              </w:rPr>
            </w:pPr>
          </w:p>
        </w:tc>
        <w:tc>
          <w:tcPr>
            <w:tcW w:w="58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Offered</w:t>
            </w:r>
          </w:p>
        </w:tc>
        <w:tc>
          <w:tcPr>
            <w:tcW w:w="1060" w:type="dxa"/>
            <w:vAlign w:val="bottom"/>
          </w:tcPr>
          <w:p>
            <w:pPr>
              <w:jc w:val="right"/>
              <w:ind w:right="245"/>
              <w:spacing w:after="0"/>
              <w:rPr>
                <w:sz w:val="20"/>
                <w:szCs w:val="20"/>
                <w:color w:val="auto"/>
              </w:rPr>
            </w:pPr>
            <w:r>
              <w:rPr>
                <w:rFonts w:ascii="Arial" w:cs="Arial" w:eastAsia="Arial" w:hAnsi="Arial"/>
                <w:sz w:val="14"/>
                <w:szCs w:val="14"/>
                <w:b w:val="1"/>
                <w:bCs w:val="1"/>
                <w:color w:val="auto"/>
              </w:rPr>
              <w:t>Owned</w:t>
            </w:r>
          </w:p>
        </w:tc>
        <w:tc>
          <w:tcPr>
            <w:tcW w:w="600" w:type="dxa"/>
            <w:vAlign w:val="bottom"/>
          </w:tcPr>
          <w:p>
            <w:pPr>
              <w:spacing w:after="0"/>
              <w:rPr>
                <w:sz w:val="23"/>
                <w:szCs w:val="23"/>
                <w:color w:val="auto"/>
              </w:rPr>
            </w:pPr>
          </w:p>
        </w:tc>
        <w:tc>
          <w:tcPr>
            <w:tcW w:w="7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Borders>
              <w:top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Richard Ressler</w:t>
            </w:r>
          </w:p>
        </w:tc>
        <w:tc>
          <w:tcPr>
            <w:tcW w:w="3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Shaul Kuba</w:t>
            </w:r>
          </w:p>
        </w:tc>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51,536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Avraham Shemesh</w:t>
            </w:r>
          </w:p>
        </w:tc>
        <w:tc>
          <w:tcPr>
            <w:tcW w:w="3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51,536</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Assuming the sale of all of the shares being offered under this registration statement.</w:t>
      </w:r>
    </w:p>
    <w:p>
      <w:pPr>
        <w:spacing w:after="0" w:line="62" w:lineRule="exact"/>
        <w:rPr>
          <w:rFonts w:ascii="Arial" w:cs="Arial" w:eastAsia="Arial" w:hAnsi="Arial"/>
          <w:sz w:val="22"/>
          <w:szCs w:val="22"/>
          <w:color w:val="auto"/>
          <w:vertAlign w:val="superscript"/>
        </w:rPr>
      </w:pPr>
    </w:p>
    <w:p>
      <w:pPr>
        <w:ind w:left="460" w:hanging="452"/>
        <w:spacing w:after="0" w:line="209"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Based upon 51,785,091 common shares outstanding as of September 23, 2004.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CONSIDERATIONS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broker-dealers, and non-U.S. individuals and foreign corporations (except to the extent discussed in “— Taxation of Non-U.S. Shareholders” below).</w:t>
      </w:r>
    </w:p>
    <w:p>
      <w:pPr>
        <w:spacing w:after="0" w:line="18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In the opinion of our tax counsel, Shaw Pittman LLP, (i) we qualified as a REIT under Sections 856 through 859 of the Code with respect to our taxable years ended through December 31, 2001;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46" w:lineRule="exact"/>
        <w:rPr>
          <w:sz w:val="20"/>
          <w:szCs w:val="20"/>
          <w:color w:val="auto"/>
        </w:rPr>
      </w:pPr>
    </w:p>
    <w:p>
      <w:pPr>
        <w:ind w:left="800" w:right="2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99" w:lineRule="exact"/>
        <w:rPr>
          <w:rFonts w:ascii="Arial" w:cs="Arial" w:eastAsia="Arial" w:hAnsi="Arial"/>
          <w:sz w:val="16"/>
          <w:szCs w:val="16"/>
          <w:color w:val="auto"/>
        </w:rPr>
      </w:pPr>
    </w:p>
    <w:p>
      <w:pPr>
        <w:ind w:left="800" w:right="160" w:hanging="346"/>
        <w:spacing w:after="0" w:line="325"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800" w:right="14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800" w:right="180" w:hanging="346"/>
        <w:spacing w:after="0" w:line="305" w:lineRule="auto"/>
        <w:tabs>
          <w:tab w:leader="none" w:pos="8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we fail to satisfy the 75% gross income test or the 95% gross income test (as described below under “— Requirements for REIT Qualification — Income Tests”), and nonetheless continue to qualify as a REIT because we meet certain other requirements, we will pay a 100% tax on the greater of</w:t>
      </w:r>
    </w:p>
    <w:p>
      <w:pPr>
        <w:ind w:left="800"/>
        <w:spacing w:after="0" w:line="302" w:lineRule="auto"/>
        <w:rPr>
          <w:rFonts w:ascii="Arial" w:cs="Arial" w:eastAsia="Arial" w:hAnsi="Arial"/>
          <w:sz w:val="15"/>
          <w:szCs w:val="15"/>
          <w:color w:val="auto"/>
        </w:rPr>
      </w:pPr>
      <w:r>
        <w:rPr>
          <w:rFonts w:ascii="Arial" w:cs="Arial" w:eastAsia="Arial" w:hAnsi="Arial"/>
          <w:sz w:val="16"/>
          <w:szCs w:val="16"/>
          <w:color w:val="auto"/>
        </w:rPr>
        <w:t>(i) the amount by which 90% of our gross income (excluding gross income from prohibited transactions) exceeds our qualifying income under the 95% gross income test, or (ii) the amount of which 75% of our gross income (excluding gross income from prohibited transactions) exceeds our qualifying income under the 75% gross income test, multiplied, in either case, by a fraction intended to reflect our profitability;</w:t>
      </w:r>
    </w:p>
    <w:p>
      <w:pPr>
        <w:spacing w:after="0" w:line="14" w:lineRule="exact"/>
        <w:rPr>
          <w:rFonts w:ascii="Arial" w:cs="Arial" w:eastAsia="Arial" w:hAnsi="Arial"/>
          <w:sz w:val="15"/>
          <w:szCs w:val="15"/>
          <w:color w:val="auto"/>
        </w:rPr>
      </w:pPr>
    </w:p>
    <w:p>
      <w:pPr>
        <w:ind w:left="800" w:right="120" w:hanging="346"/>
        <w:spacing w:after="0" w:line="259"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76" w:lineRule="exact"/>
        <w:rPr>
          <w:rFonts w:ascii="Arial" w:cs="Arial" w:eastAsia="Arial" w:hAnsi="Arial"/>
          <w:sz w:val="18"/>
          <w:szCs w:val="18"/>
          <w:color w:val="auto"/>
        </w:rPr>
      </w:pPr>
    </w:p>
    <w:p>
      <w:pPr>
        <w:ind w:left="800" w:right="140" w:hanging="346"/>
        <w:spacing w:after="0" w:line="294"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58"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57" w:lineRule="exact"/>
        <w:rPr>
          <w:rFonts w:ascii="Arial" w:cs="Arial" w:eastAsia="Arial" w:hAnsi="Arial"/>
          <w:sz w:val="18"/>
          <w:szCs w:val="18"/>
          <w:color w:val="auto"/>
        </w:rPr>
      </w:pPr>
    </w:p>
    <w:p>
      <w:pPr>
        <w:ind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18"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118"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requirements 5 and 6. The provisions of our declaration of trust restricting the ownership and transfer of the common shares are described in “Description of Shares of Beneficial Interest-Restrictions on Ownership and Transfer.”</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105"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77" w:lineRule="exact"/>
        <w:rPr>
          <w:sz w:val="20"/>
          <w:szCs w:val="20"/>
          <w:color w:val="auto"/>
        </w:rPr>
      </w:pPr>
    </w:p>
    <w:p>
      <w:pPr>
        <w:ind w:left="800" w:right="60" w:hanging="346"/>
        <w:spacing w:after="0" w:line="255"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8" w:lineRule="exact"/>
        <w:rPr>
          <w:rFonts w:ascii="Arial" w:cs="Arial" w:eastAsia="Arial" w:hAnsi="Arial"/>
          <w:sz w:val="18"/>
          <w:szCs w:val="18"/>
          <w:color w:val="auto"/>
        </w:rPr>
      </w:pPr>
    </w:p>
    <w:p>
      <w:pPr>
        <w:ind w:left="800" w:hanging="346"/>
        <w:spacing w:after="0" w:line="259"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“rents from real property” (which is qualifying income for purposes of the 75% and 95% gross income tests) only if several conditions are met under the REIT tax rules:</w:t>
      </w:r>
    </w:p>
    <w:p>
      <w:pPr>
        <w:spacing w:after="0" w:line="46" w:lineRule="exact"/>
        <w:rPr>
          <w:sz w:val="20"/>
          <w:szCs w:val="20"/>
          <w:color w:val="auto"/>
        </w:rPr>
      </w:pPr>
    </w:p>
    <w:p>
      <w:pPr>
        <w:ind w:left="800" w:right="80" w:hanging="346"/>
        <w:spacing w:after="0" w:line="259"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45" w:lineRule="exact"/>
        <w:rPr>
          <w:rFonts w:ascii="Arial" w:cs="Arial" w:eastAsia="Arial" w:hAnsi="Arial"/>
          <w:sz w:val="18"/>
          <w:szCs w:val="18"/>
          <w:color w:val="auto"/>
        </w:rPr>
      </w:pPr>
    </w:p>
    <w:p>
      <w:pPr>
        <w:ind w:left="800" w:right="20" w:hanging="346"/>
        <w:spacing w:after="0" w:line="287"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800" w:right="80" w:hanging="346"/>
        <w:spacing w:after="0" w:line="254"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9" w:lineRule="exact"/>
        <w:rPr>
          <w:rFonts w:ascii="Arial" w:cs="Arial" w:eastAsia="Arial" w:hAnsi="Arial"/>
          <w:sz w:val="18"/>
          <w:szCs w:val="18"/>
          <w:color w:val="auto"/>
        </w:rPr>
      </w:pPr>
    </w:p>
    <w:p>
      <w:pPr>
        <w:ind w:left="800" w:right="220" w:hanging="346"/>
        <w:spacing w:after="0" w:line="298"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line="290"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foregoing, we believe that rent from leases should qualify as “rents from real property” for purposes of the 75% and 95% gross income tests.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described above, however, the IRS may not assert successfully a contrary position and, therefore, prevent us from qualifying as a REIT.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800" w:right="16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800" w:right="34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45"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800" w:right="2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Tax on Income From Property Acquired in Foreclosure</w:t>
      </w:r>
      <w:r>
        <w:rPr>
          <w:rFonts w:ascii="Arial" w:cs="Arial" w:eastAsia="Arial" w:hAnsi="Arial"/>
          <w:sz w:val="18"/>
          <w:szCs w:val="18"/>
          <w:color w:val="auto"/>
        </w:rPr>
        <w:t>. We will be subject to tax at the maximum corporate rate on any income from foreclosure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income that would be qualifying income for purposes of the 75% gross income test), less expenses directly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connected to the production of such income. “Foreclosure property” is any real property including interests in real property) and any personal property incident to such real property:</w:t>
      </w:r>
    </w:p>
    <w:p>
      <w:pPr>
        <w:spacing w:after="0" w:line="37" w:lineRule="exact"/>
        <w:rPr>
          <w:sz w:val="20"/>
          <w:szCs w:val="20"/>
          <w:color w:val="auto"/>
        </w:rPr>
      </w:pPr>
    </w:p>
    <w:p>
      <w:pPr>
        <w:ind w:left="800" w:right="280" w:hanging="346"/>
        <w:spacing w:after="0" w:line="325"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58" w:lineRule="exact"/>
        <w:rPr>
          <w:sz w:val="20"/>
          <w:szCs w:val="20"/>
          <w:color w:val="auto"/>
        </w:rPr>
      </w:pPr>
    </w:p>
    <w:p>
      <w:pPr>
        <w:jc w:val="both"/>
        <w:ind w:firstLine="456"/>
        <w:spacing w:after="0" w:line="34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800" w:right="26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37" w:lineRule="exact"/>
        <w:rPr>
          <w:rFonts w:ascii="Arial" w:cs="Arial" w:eastAsia="Arial" w:hAnsi="Arial"/>
          <w:sz w:val="18"/>
          <w:szCs w:val="18"/>
          <w:color w:val="auto"/>
        </w:rPr>
      </w:pPr>
    </w:p>
    <w:p>
      <w:pPr>
        <w:ind w:left="800" w:right="200" w:hanging="346"/>
        <w:spacing w:after="0" w:line="370" w:lineRule="auto"/>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Tax and Deduction Limits on Certain Transactions with Taxable REIT Subsidiaries</w:t>
      </w:r>
      <w:r>
        <w:rPr>
          <w:rFonts w:ascii="Arial" w:cs="Arial" w:eastAsia="Arial" w:hAnsi="Arial"/>
          <w:sz w:val="16"/>
          <w:szCs w:val="16"/>
          <w:color w:val="auto"/>
        </w:rPr>
        <w:t>. A REIT will incur a 100% tax on certain transactions between a REIT</w:t>
      </w:r>
      <w:r>
        <w:rPr>
          <w:rFonts w:ascii="Arial" w:cs="Arial" w:eastAsia="Arial" w:hAnsi="Arial"/>
          <w:sz w:val="16"/>
          <w:szCs w:val="16"/>
          <w:i w:val="1"/>
          <w:iCs w:val="1"/>
          <w:color w:val="auto"/>
        </w:rPr>
        <w:t xml:space="preserve"> </w:t>
      </w:r>
      <w:r>
        <w:rPr>
          <w:rFonts w:ascii="Arial" w:cs="Arial" w:eastAsia="Arial" w:hAnsi="Arial"/>
          <w:sz w:val="16"/>
          <w:szCs w:val="16"/>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Relief from Consequences of Failing to Meet Income Tests</w:t>
      </w:r>
      <w:r>
        <w:rPr>
          <w:rFonts w:ascii="Arial" w:cs="Arial" w:eastAsia="Arial" w:hAnsi="Arial"/>
          <w:sz w:val="16"/>
          <w:szCs w:val="16"/>
          <w:color w:val="auto"/>
        </w:rPr>
        <w:t>. If we fail to satisfy one or both of the 75% and 95% gross income tests for any taxable year, we</w:t>
      </w:r>
      <w:r>
        <w:rPr>
          <w:rFonts w:ascii="Arial" w:cs="Arial" w:eastAsia="Arial" w:hAnsi="Arial"/>
          <w:sz w:val="16"/>
          <w:szCs w:val="16"/>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generally will be available if our failure to meet such tests is due to reasonable cause and not due to willful neglect, we attach a schedule of the sources of our income to our tax return, and any incorrect information on the schedule was not due to fraud with intent to evade tax. We may not qualify for the relief provisions in all circumstances. In addition, as discussed above in “— Taxation of the Company,” even if the relief provisions apply, we would incur a 100% tax on the greater of (i) the amount by which 90% of our gross income (excluding gross income from prohibited transactions) exceeds our qualifying income under the 95% gross income test, or (ii) the amount by which 75% of our gross income (excluding gross income from prohibited transactions) exceeds our qualifying income under the 75% gross income test, multiplied, in either case, by a fraction intended to reflect our profitability.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Asset Tests</w:t>
      </w:r>
      <w:r>
        <w:rPr>
          <w:rFonts w:ascii="Arial" w:cs="Arial" w:eastAsia="Arial" w:hAnsi="Arial"/>
          <w:sz w:val="16"/>
          <w:szCs w:val="16"/>
          <w:color w:val="auto"/>
        </w:rPr>
        <w:t>. To maintain our qualification as a REIT, we also must satisfy two asset tests at the close of each quarter of each taxable year:</w:t>
      </w:r>
    </w:p>
    <w:p>
      <w:pPr>
        <w:spacing w:after="0" w:line="100" w:lineRule="exact"/>
        <w:rPr>
          <w:sz w:val="20"/>
          <w:szCs w:val="20"/>
          <w:color w:val="auto"/>
        </w:rPr>
      </w:pPr>
    </w:p>
    <w:p>
      <w:pPr>
        <w:ind w:left="800" w:right="440" w:hanging="346"/>
        <w:spacing w:after="0" w:line="26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jc w:val="both"/>
        <w:ind w:left="800" w:right="220" w:hanging="346"/>
        <w:spacing w:after="0" w:line="25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800" w:hanging="346"/>
        <w:spacing w:after="0" w:line="294"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Distribution Requirements</w:t>
      </w:r>
      <w:r>
        <w:rPr>
          <w:rFonts w:ascii="Arial" w:cs="Arial" w:eastAsia="Arial" w:hAnsi="Arial"/>
          <w:sz w:val="18"/>
          <w:szCs w:val="18"/>
          <w:color w:val="auto"/>
        </w:rPr>
        <w:t>. Each taxable year, we must distribute dividends (other than capital gain dividends and deemed distributions of retained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stock. We have complied, and we intend to continue to comply, with such requirements.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Failure to Qualify</w:t>
      </w:r>
      <w:r>
        <w:rPr>
          <w:rFonts w:ascii="Arial" w:cs="Arial" w:eastAsia="Arial" w:hAnsi="Arial"/>
          <w:sz w:val="16"/>
          <w:szCs w:val="16"/>
          <w:color w:val="auto"/>
        </w:rPr>
        <w:t>. If we failed to qualify as a REIT in any taxable year, and no relief provision applied, we would be subject to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Such distributions would, however, be “qualified dividend income,” which is taxable at long-term capital gain rates for individual stockholders.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“U.S. shareholder” means a holder of common shares that for U.S. federal income tax purposes is</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76" w:lineRule="exact"/>
        <w:rPr>
          <w:rFonts w:ascii="Arial" w:cs="Arial" w:eastAsia="Arial" w:hAnsi="Arial"/>
          <w:sz w:val="18"/>
          <w:szCs w:val="18"/>
          <w:color w:val="auto"/>
        </w:rPr>
      </w:pPr>
    </w:p>
    <w:p>
      <w:pPr>
        <w:ind w:left="800" w:right="60" w:hanging="346"/>
        <w:spacing w:after="0" w:line="298"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United States shareholders.</w:t>
      </w:r>
    </w:p>
    <w:p>
      <w:pPr>
        <w:spacing w:after="0" w:line="99"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a partnership, including an entity that is treated as a partnership for U.S. federal income tax purposes, is a beneficial owner of our common stock, the treatment of a partner in the partnership will generally depend on the status of the partner and the activities of the partnership.</w:t>
      </w:r>
    </w:p>
    <w:p>
      <w:pPr>
        <w:spacing w:after="0" w:line="7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 xml:space="preserve">Dividends and Other U.S. Shareholder Distributions. </w:t>
      </w:r>
      <w:r>
        <w:rPr>
          <w:rFonts w:ascii="Arial" w:cs="Arial" w:eastAsia="Arial" w:hAnsi="Arial"/>
          <w:sz w:val="16"/>
          <w:szCs w:val="16"/>
          <w:color w:val="auto"/>
        </w:rPr>
        <w:t>As long as we qualify as a REIT, a taxable U.S. shareholder must take into account distributions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Taxation of U.S. Shareholders on the Disposition of the Common Shares</w:t>
      </w:r>
      <w:r>
        <w:rPr>
          <w:rFonts w:ascii="Arial" w:cs="Arial" w:eastAsia="Arial" w:hAnsi="Arial"/>
          <w:sz w:val="16"/>
          <w:szCs w:val="16"/>
          <w:color w:val="auto"/>
        </w:rPr>
        <w:t>. In general, a U.S. shareholder who is not a dealer in securities must treat any gain</w:t>
      </w:r>
      <w:r>
        <w:rPr>
          <w:rFonts w:ascii="Arial" w:cs="Arial" w:eastAsia="Arial" w:hAnsi="Arial"/>
          <w:sz w:val="16"/>
          <w:szCs w:val="16"/>
          <w:i w:val="1"/>
          <w:iCs w:val="1"/>
          <w:color w:val="auto"/>
        </w:rPr>
        <w:t xml:space="preserve"> </w:t>
      </w:r>
      <w:r>
        <w:rPr>
          <w:rFonts w:ascii="Arial" w:cs="Arial" w:eastAsia="Arial" w:hAnsi="Arial"/>
          <w:sz w:val="16"/>
          <w:szCs w:val="16"/>
          <w:color w:val="auto"/>
        </w:rPr>
        <w:t>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the 61-day period beginning 30 days before and ending 30 days after the disposition.</w:t>
      </w:r>
    </w:p>
    <w:p>
      <w:pPr>
        <w:spacing w:after="0" w:line="10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Capital Gains and Losses</w:t>
      </w:r>
      <w:r>
        <w:rPr>
          <w:rFonts w:ascii="Arial" w:cs="Arial" w:eastAsia="Arial" w:hAnsi="Arial"/>
          <w:sz w:val="16"/>
          <w:szCs w:val="16"/>
          <w:color w:val="auto"/>
        </w:rPr>
        <w:t>. A taxpayer generally must hold a capital asset for more than one year for gain or loss derived from its sale or exchange to be</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ordinary income for non-corporate taxpayers is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9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Jobs and Growth Tax Relief Reconciliation Act of 2003. </w:t>
      </w:r>
      <w:r>
        <w:rPr>
          <w:rFonts w:ascii="Arial" w:cs="Arial" w:eastAsia="Arial" w:hAnsi="Arial"/>
          <w:sz w:val="16"/>
          <w:szCs w:val="16"/>
          <w:color w:val="auto"/>
        </w:rPr>
        <w:t>Under the Act, which was signed into law on May 28, 2003, the maximum tax rate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capital gains of domestic non-corporate taxpayers is reduced to 15% for taxable years beginning on or before December 31, 2008. The Act also reduced the tax rate on “qualified dividend income” to the maximum capital gains rate. Because, as a REIT, we are not generally subject to tax on the portion of our REIT taxable income or capital gains distributed to our shareholders, our distributions are not generally eligible for this new tax rate on dividends. As a result, our ordinary REIT distributions continue to be taxed at the higher tax rates applicable to ordinary income. However, the new 15% rate does generally apply to:</w:t>
      </w:r>
    </w:p>
    <w:p>
      <w:pPr>
        <w:spacing w:after="0" w:line="21"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and</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Without further legislation, the maximum tax rate on long-term capital gains will revert to 20% in 2009.</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Information Reporting Requirements and Back-up Withholding</w:t>
      </w:r>
      <w:r>
        <w:rPr>
          <w:rFonts w:ascii="Arial" w:cs="Arial" w:eastAsia="Arial" w:hAnsi="Arial"/>
          <w:sz w:val="16"/>
          <w:szCs w:val="16"/>
          <w:color w:val="auto"/>
        </w:rPr>
        <w:t>. We will report to our shareholders and to the IRS the amount of distributions we pay during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calendar year, and the amount of tax we withhold, if any. Under the backup withholding rules, a shareholder may be subject to backup withholding (at the rate of 28% through December 31, 2010 and thereafter at a rate of 31%)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common stock.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34" w:lineRule="exact"/>
        <w:rPr>
          <w:sz w:val="20"/>
          <w:szCs w:val="20"/>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800" w:right="640" w:hanging="346"/>
        <w:spacing w:after="0" w:line="332"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requirements, be allowed a credit or refund of the tax deemed paid by such entities in respect of such includible gains.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beneficial owner of our shares that is not a U.S. shareholder.</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14"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i w:val="1"/>
          <w:iCs w:val="1"/>
          <w:color w:val="auto"/>
        </w:rPr>
        <w:t xml:space="preserve"> </w:t>
      </w:r>
      <w:r>
        <w:rPr>
          <w:rFonts w:ascii="Arial" w:cs="Arial" w:eastAsia="Arial" w:hAnsi="Arial"/>
          <w:sz w:val="16"/>
          <w:szCs w:val="16"/>
          <w:color w:val="auto"/>
        </w:rPr>
        <w:t>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Capital Gain Dividends</w:t>
      </w:r>
      <w:r>
        <w:rPr>
          <w:rFonts w:ascii="Arial" w:cs="Arial" w:eastAsia="Arial" w:hAnsi="Arial"/>
          <w:sz w:val="16"/>
          <w:szCs w:val="16"/>
          <w:color w:val="auto"/>
        </w:rPr>
        <w:t>. For any year in which we qualify as a REIT, a non-U.S. shareholder will incur tax on distributions that are attributable to gain</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Back-up Withholding</w:t>
      </w:r>
      <w:r>
        <w:rPr>
          <w:rFonts w:ascii="Arial" w:cs="Arial" w:eastAsia="Arial" w:hAnsi="Arial"/>
          <w:sz w:val="16"/>
          <w:szCs w:val="16"/>
          <w:color w:val="auto"/>
        </w:rPr>
        <w:t>. Back-up withholding tax (which generally is withholding at the rate of 28% through December 31, 2010 and thereafter at a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31%), on certain payments to persons 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26" w:lineRule="exact"/>
        <w:rPr>
          <w:sz w:val="20"/>
          <w:szCs w:val="20"/>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U.S. shareholders) for U.S. tax purposes; or</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sale or distribution of all or any portion of the commons shares covered by this prospectus may be effected from time to time by the selling shareholders, or any of their pledgees, donees, transferees or other successors in interest to the selling shareholders.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the common shares covered by this prospectus may be sold or distributed include:</w:t>
      </w:r>
    </w:p>
    <w:p>
      <w:pPr>
        <w:spacing w:after="0" w:line="77" w:lineRule="exact"/>
        <w:rPr>
          <w:sz w:val="20"/>
          <w:szCs w:val="20"/>
          <w:color w:val="auto"/>
        </w:rPr>
      </w:pPr>
    </w:p>
    <w:p>
      <w:pPr>
        <w:ind w:left="800" w:right="60" w:hanging="346"/>
        <w:spacing w:after="0" w:line="26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any selling shareholder or successor in interest that is an entity;</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if any, thereunder; or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Commission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2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(or persons whose offered shares are aggregated) who has satisfied a one-year holding period may, under certain circumstances, sell within any three-month period a number of the common shares covered by this prospectus which does not exceed the greater of one percent of the our outstanding common shares or the average weekly reported trading volume of the common shares covered by this prospectus during the four calendar weeks prior to such sale. Rule 144 also permits, under certain circumstances, the sale of the common shares covered by this prospectus by a person who is not an affiliate of ours and who has satisfied a two-year holding period without any volume limitation. Therefore, both during and after the effectiveness of the registration statement, selling shareholders may sell the common shares covered by this prospectus pursuant to Rule 144.</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consolidated balance sheets as of December 31, 2003 and December 31, 2002, and the consolidated statements of operations, common shareholders’ equity and cash flows for the years ended December 31, 2003 and December 31, 2002 appearing in our Annual Report on Form 10-K, as amended, for the fiscal years ended December 31, 2003, and incorporated by reference into this prospectus, have been audited by Grant Thornton LLP, independent registered public accounting firm, as indicated in their report with respect thereto, and have been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herein in reliance upon the authority of said firm as experts in giving said report.</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consolidated balance sheet as of December 31, 2001 and the consolidated statements of operations, common shareholders’ equity and cash flows for the year ended December 31, 2001 appearing in our Annual Report on Form 10-K for the year ended December 31, 2001 and incorporated by reference into this prospectus and elsewhere in the registration statement, have been audited by Arthur Andersen LLP.</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On June 4, 2002, we announced that we had appointed Grant Thornton LLP as our independent auditor for fiscal year 2002, replacing Arthur Andersen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1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provided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date of this prospectus, the Arthur Andersen partners who reviewed our audited financial statements, as of December 31, 2001, resigned from Arthur Andersen. As a result, after reasonable efforts, we have been unable to obtain Arthur Andersen’s written consent to the incorporation by reference into this registration statement of its audit reports with respect to those financial statements.</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Under these circumstances, Rule 437a under the Securities Act permits us to file this registration statement without a written consent from Arthur Andersen. Accordingly, Arthur Andersen will not be liable to you under Section 11(a) of the Securities Act because it has not consented to being named as an expert in the registration statement.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validity of the offered shares and the accuracy of the discussion under “Federal Income Tax Considerations” will be passed upon for us by Shaw Pittman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20" w:firstLine="456"/>
        <w:spacing w:after="0" w:line="347" w:lineRule="auto"/>
        <w:rPr>
          <w:sz w:val="20"/>
          <w:szCs w:val="20"/>
          <w:color w:val="auto"/>
        </w:rPr>
      </w:pPr>
      <w:r>
        <w:rPr>
          <w:rFonts w:ascii="Arial" w:cs="Arial" w:eastAsia="Arial" w:hAnsi="Arial"/>
          <w:sz w:val="15"/>
          <w:szCs w:val="15"/>
          <w:color w:val="auto"/>
        </w:rPr>
        <w:t>We file annual, quarterly and special reports, proxy statements and other information with the Commission. Our Commission filings are available to the public over the Commission’s website at http://www.sec.gov. You may also read and copy any document we file at the Commission’s Public Reference Room at: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call the Commission at (800) SEC-0330 for further information on the operating rules and procedures for the public reference room.</w:t>
      </w:r>
    </w:p>
    <w:p>
      <w:pPr>
        <w:spacing w:after="0" w:line="18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Commission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Commission will automatically update and supersede this information. We incorporate by reference the documents listed below as well as any future filings made with the Commission under Sections 13(a), 13(c), 14, or 15(d) of the Securities Exchange Act from the date of the initial registration statement and prior to the effectiveness of this registration statement, and any filings made from the date of this prospectus until we sell all of the securities under this prospectus as supplemented.</w:t>
      </w:r>
    </w:p>
    <w:p>
      <w:pPr>
        <w:spacing w:after="0" w:line="50" w:lineRule="exact"/>
        <w:rPr>
          <w:sz w:val="20"/>
          <w:szCs w:val="20"/>
          <w:color w:val="auto"/>
        </w:rPr>
      </w:pPr>
    </w:p>
    <w:p>
      <w:pPr>
        <w:ind w:left="800" w:hanging="346"/>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March 15, 2004, as amended by the Form 10-K/A filed March 26, 2004 and the Form 10-K/A filed March 31,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June 30,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Report on Form 8-K, filed January 26,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Report on Form 8-K, filed March 11,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Report on Form 8-K, filed April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Report on Form 8-K, filed July 13,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76" w:lineRule="exact"/>
        <w:rPr>
          <w:rFonts w:ascii="Arial" w:cs="Arial" w:eastAsia="Arial" w:hAnsi="Arial"/>
          <w:sz w:val="18"/>
          <w:szCs w:val="18"/>
          <w:color w:val="auto"/>
        </w:rPr>
      </w:pPr>
    </w:p>
    <w:p>
      <w:pPr>
        <w:ind w:left="800" w:right="240" w:hanging="346"/>
        <w:spacing w:after="0" w:line="370" w:lineRule="auto"/>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and in the First Amendment to Amended and Restated Rights Agreement, dated as of November 2003, between us and American Stock Transfer &amp; Trust Company.</w:t>
      </w:r>
    </w:p>
    <w:p>
      <w:pPr>
        <w:spacing w:after="0" w:line="4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addition, you may request a copy of these filings and any amendments thereto, at no cost, by writing or telephoning us. Those copies will not include exhibits to those documents unless the exhibits are specifically incorporated by reference in the documents or unless you</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specifically request them. You may also request copies of any exhibits to the registration statement. Please direct your request to:</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Commission.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15,000.00*</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24,237.00*</w:t>
            </w: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000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Trustees and Officers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1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a shareholder or Trustee of a Maryland real estate investment trust is not personally liable for the obligations of the real estate investment trust, except in any case in which a Trustee otherwise would be liable and such liability to the real estate investment trust or its shareholders constitutes bad faith, willful misfeasance, gross negligence or reckless disregard of the Trustee’s duties. Title 1 of the Corporations and Associations Code of the State of Maryland, as amended,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a Maryland corporation may not indemnify a Trustee or officer in a suit by or in the right of the trust if such Trustee or officer has been adjudged to be liable to the corporation.</w:t>
      </w:r>
    </w:p>
    <w:p>
      <w:pPr>
        <w:spacing w:after="0" w:line="10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Trustees, officers or persons controlling the registrant pursuant to the foregoing provisions, the registrant has been informed that in the opinion of the Securities and Exchange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Commission such indemnification is against public policy as expressed in the Securities Act and is therefore unenforceable.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Arial" w:cs="Arial" w:eastAsia="Arial" w:hAnsi="Arial"/>
                <w:sz w:val="18"/>
                <w:szCs w:val="18"/>
                <w:b w:val="1"/>
                <w:bCs w:val="1"/>
                <w:color w:val="auto"/>
                <w:w w:val="98"/>
              </w:rPr>
              <w:t>Item 16.</w:t>
            </w:r>
          </w:p>
        </w:tc>
        <w:tc>
          <w:tcPr>
            <w:tcW w:w="10720" w:type="dxa"/>
            <w:vAlign w:val="bottom"/>
            <w:gridSpan w:val="3"/>
          </w:tcPr>
          <w:p>
            <w:pPr>
              <w:ind w:left="360"/>
              <w:spacing w:after="0"/>
              <w:rPr>
                <w:sz w:val="20"/>
                <w:szCs w:val="20"/>
                <w:color w:val="auto"/>
              </w:rPr>
            </w:pPr>
            <w:r>
              <w:rPr>
                <w:rFonts w:ascii="Arial" w:cs="Arial" w:eastAsia="Arial" w:hAnsi="Arial"/>
                <w:sz w:val="18"/>
                <w:szCs w:val="18"/>
                <w:b w:val="1"/>
                <w:bCs w:val="1"/>
                <w:color w:val="auto"/>
              </w:rPr>
              <w:t>Exhibits</w:t>
            </w:r>
          </w:p>
        </w:tc>
      </w:tr>
      <w:tr>
        <w:trPr>
          <w:trHeight w:val="312"/>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060" w:type="dxa"/>
            <w:vAlign w:val="bottom"/>
          </w:tcPr>
          <w:p>
            <w:pPr>
              <w:spacing w:after="0"/>
              <w:rPr>
                <w:sz w:val="8"/>
                <w:szCs w:val="8"/>
                <w:color w:val="auto"/>
              </w:rPr>
            </w:pPr>
          </w:p>
        </w:tc>
      </w:tr>
      <w:tr>
        <w:trPr>
          <w:trHeight w:val="417"/>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Specimen Common Share certificate (filed as Exhibit 4(i) to the Trust’s Annual Report on Form 10-K for the year ended December 31, 1999,</w:t>
            </w:r>
          </w:p>
        </w:tc>
      </w:tr>
      <w:tr>
        <w:trPr>
          <w:trHeight w:val="222"/>
        </w:trPr>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8"/>
              </w:rPr>
              <w:t>Amended and Restated Rights Agreement, dated March 11, 1999, between the Trust and American Stock Transfer &amp; Trust Company (filed as</w:t>
            </w:r>
          </w:p>
        </w:tc>
      </w:tr>
      <w:tr>
        <w:trPr>
          <w:trHeight w:val="222"/>
        </w:trPr>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Exhibit 1 to the Trust’s Registration Statement No. 1-07533 on Form 8-A/A filed on March 11, 1999, and incorporated herein by reference)</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7"/>
              </w:rPr>
              <w:t>First Amendment to Amended and Restated Rights Agreement, dated as of November 2003, between the Trust and American Stock Transfer &amp;</w:t>
            </w:r>
          </w:p>
        </w:tc>
      </w:tr>
      <w:tr>
        <w:trPr>
          <w:trHeight w:val="216"/>
        </w:trPr>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2"/>
              </w:rPr>
              <w:t>Trust Company (filed as Exhibit 4.5 to the Trust’s Annual Report on Form 10-K for the year ended December 31, 2003 filed on March 15,</w:t>
            </w:r>
          </w:p>
        </w:tc>
      </w:tr>
      <w:tr>
        <w:trPr>
          <w:trHeight w:val="222"/>
        </w:trPr>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2004, and incorporated herein by reference)</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the validity of the shares (filed herewith)</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certain tax matters (filed herewith)</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Consent of Grant Thornton LLP, independent public accountants (filed herewith)</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5.1)</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23.3</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8.1)</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365"/>
        </w:trPr>
        <w:tc>
          <w:tcPr>
            <w:tcW w:w="680" w:type="dxa"/>
            <w:vAlign w:val="bottom"/>
          </w:tcPr>
          <w:p>
            <w:pPr>
              <w:spacing w:after="0"/>
              <w:rPr>
                <w:sz w:val="20"/>
                <w:szCs w:val="20"/>
                <w:color w:val="auto"/>
              </w:rPr>
            </w:pPr>
            <w:r>
              <w:rPr>
                <w:rFonts w:ascii="Arial" w:cs="Arial" w:eastAsia="Arial" w:hAnsi="Arial"/>
                <w:sz w:val="18"/>
                <w:szCs w:val="18"/>
                <w:b w:val="1"/>
                <w:bCs w:val="1"/>
                <w:color w:val="auto"/>
                <w:w w:val="98"/>
              </w:rPr>
              <w:t>Item 17.</w:t>
            </w:r>
          </w:p>
        </w:tc>
        <w:tc>
          <w:tcPr>
            <w:tcW w:w="10720" w:type="dxa"/>
            <w:vAlign w:val="bottom"/>
            <w:gridSpan w:val="3"/>
          </w:tcPr>
          <w:p>
            <w:pPr>
              <w:ind w:left="360"/>
              <w:spacing w:after="0"/>
              <w:rPr>
                <w:sz w:val="20"/>
                <w:szCs w:val="20"/>
                <w:color w:val="auto"/>
              </w:rPr>
            </w:pPr>
            <w:r>
              <w:rPr>
                <w:rFonts w:ascii="Arial" w:cs="Arial" w:eastAsia="Arial" w:hAnsi="Arial"/>
                <w:sz w:val="18"/>
                <w:szCs w:val="18"/>
                <w:b w:val="1"/>
                <w:bCs w:val="1"/>
                <w:color w:val="auto"/>
              </w:rPr>
              <w:t>Undertakings</w:t>
            </w:r>
          </w:p>
        </w:tc>
      </w:tr>
    </w:tbl>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77" w:lineRule="exact"/>
        <w:rPr>
          <w:sz w:val="20"/>
          <w:szCs w:val="20"/>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60" w:firstLine="1"/>
        <w:spacing w:after="0" w:line="291" w:lineRule="auto"/>
        <w:tabs>
          <w:tab w:leader="none" w:pos="1178" w:val="left"/>
        </w:tabs>
        <w:numPr>
          <w:ilvl w:val="1"/>
          <w:numId w:val="3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price set forth in the “Calculation of Registration Fee” table in the effective registration statement;</w:t>
      </w:r>
    </w:p>
    <w:p>
      <w:pPr>
        <w:spacing w:after="0" w:line="77" w:lineRule="exact"/>
        <w:rPr>
          <w:sz w:val="20"/>
          <w:szCs w:val="20"/>
          <w:color w:val="auto"/>
        </w:rPr>
      </w:pPr>
    </w:p>
    <w:p>
      <w:pPr>
        <w:ind w:left="920" w:right="60" w:firstLine="1"/>
        <w:spacing w:after="0" w:line="268" w:lineRule="auto"/>
        <w:tabs>
          <w:tab w:leader="none" w:pos="12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37"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color w:val="auto"/>
        </w:rPr>
        <w:t>provided, however, that paragraphs (a)(1)(i) and (a)(1)(ii) do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12" w:lineRule="exact"/>
        <w:rPr>
          <w:sz w:val="20"/>
          <w:szCs w:val="20"/>
          <w:color w:val="auto"/>
        </w:rPr>
      </w:pPr>
    </w:p>
    <w:p>
      <w:pPr>
        <w:ind w:left="460" w:right="260" w:firstLine="4"/>
        <w:spacing w:after="0" w:line="259" w:lineRule="auto"/>
        <w:tabs>
          <w:tab w:leader="none" w:pos="7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200" w:firstLine="4"/>
        <w:spacing w:after="0" w:line="268" w:lineRule="auto"/>
        <w:tabs>
          <w:tab w:leader="none" w:pos="7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37" w:lineRule="exact"/>
        <w:rPr>
          <w:sz w:val="20"/>
          <w:szCs w:val="20"/>
          <w:color w:val="auto"/>
        </w:rPr>
      </w:pPr>
    </w:p>
    <w:p>
      <w:pPr>
        <w:ind w:left="460" w:right="140" w:firstLine="4"/>
        <w:spacing w:after="0" w:line="256" w:lineRule="auto"/>
        <w:tabs>
          <w:tab w:leader="none" w:pos="7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48" w:lineRule="exact"/>
        <w:rPr>
          <w:rFonts w:ascii="Arial" w:cs="Arial" w:eastAsia="Arial" w:hAnsi="Arial"/>
          <w:sz w:val="18"/>
          <w:szCs w:val="18"/>
          <w:color w:val="auto"/>
        </w:rPr>
      </w:pPr>
    </w:p>
    <w:p>
      <w:pPr>
        <w:ind w:left="460" w:firstLine="4"/>
        <w:spacing w:after="0" w:line="289" w:lineRule="auto"/>
        <w:tabs>
          <w:tab w:leader="none" w:pos="699"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Trustees,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2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September, 2004.</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Donald C. Wood</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Trustee (Principal Executive Officer)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Dawn M. Becker and Larry E. Finger,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p>
      <w:pPr>
        <w:ind w:left="1960"/>
        <w:spacing w:after="0"/>
        <w:tabs>
          <w:tab w:leader="none" w:pos="6880" w:val="left"/>
          <w:tab w:leader="none" w:pos="10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68580</wp:posOffset>
            </wp:positionV>
            <wp:extent cx="660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68580</wp:posOffset>
            </wp:positionV>
            <wp:extent cx="334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68580</wp:posOffset>
            </wp:positionV>
            <wp:extent cx="317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 Donald C. Wood</w:t>
            </w:r>
          </w:p>
        </w:tc>
        <w:tc>
          <w:tcPr>
            <w:tcW w:w="3740" w:type="dxa"/>
            <w:vAlign w:val="bottom"/>
          </w:tcPr>
          <w:p>
            <w:pPr>
              <w:ind w:left="340"/>
              <w:spacing w:after="0"/>
              <w:rPr>
                <w:sz w:val="20"/>
                <w:szCs w:val="20"/>
                <w:color w:val="auto"/>
              </w:rPr>
            </w:pPr>
            <w:r>
              <w:rPr>
                <w:rFonts w:ascii="Arial" w:cs="Arial" w:eastAsia="Arial" w:hAnsi="Arial"/>
                <w:sz w:val="18"/>
                <w:szCs w:val="18"/>
                <w:color w:val="auto"/>
              </w:rPr>
              <w:t>President, Chief Executive</w:t>
            </w:r>
          </w:p>
        </w:tc>
        <w:tc>
          <w:tcPr>
            <w:tcW w:w="2720" w:type="dxa"/>
            <w:vAlign w:val="bottom"/>
          </w:tcPr>
          <w:p>
            <w:pPr>
              <w:ind w:left="1300"/>
              <w:spacing w:after="0"/>
              <w:rPr>
                <w:sz w:val="20"/>
                <w:szCs w:val="20"/>
                <w:color w:val="auto"/>
              </w:rPr>
            </w:pPr>
            <w:r>
              <w:rPr>
                <w:rFonts w:ascii="Arial" w:cs="Arial" w:eastAsia="Arial" w:hAnsi="Arial"/>
                <w:sz w:val="18"/>
                <w:szCs w:val="18"/>
                <w:color w:val="auto"/>
                <w:w w:val="85"/>
              </w:rPr>
              <w:t>September 24, 2004</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3740" w:type="dxa"/>
            <w:vAlign w:val="bottom"/>
            <w:vMerge w:val="restart"/>
          </w:tcPr>
          <w:p>
            <w:pPr>
              <w:ind w:left="340"/>
              <w:spacing w:after="0"/>
              <w:rPr>
                <w:sz w:val="20"/>
                <w:szCs w:val="20"/>
                <w:color w:val="auto"/>
              </w:rPr>
            </w:pPr>
            <w:r>
              <w:rPr>
                <w:rFonts w:ascii="Arial" w:cs="Arial" w:eastAsia="Arial" w:hAnsi="Arial"/>
                <w:sz w:val="18"/>
                <w:szCs w:val="18"/>
                <w:color w:val="auto"/>
              </w:rPr>
              <w:t>Officer and Trustee (principal</w:t>
            </w: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r>
              <w:rPr>
                <w:rFonts w:ascii="Arial" w:cs="Arial" w:eastAsia="Arial" w:hAnsi="Arial"/>
                <w:sz w:val="18"/>
                <w:szCs w:val="18"/>
                <w:color w:val="auto"/>
              </w:rPr>
              <w:t>Donald C. Wood</w:t>
            </w:r>
          </w:p>
        </w:tc>
        <w:tc>
          <w:tcPr>
            <w:tcW w:w="3740" w:type="dxa"/>
            <w:vAlign w:val="bottom"/>
          </w:tcPr>
          <w:p>
            <w:pPr>
              <w:ind w:left="340"/>
              <w:spacing w:after="0"/>
              <w:rPr>
                <w:sz w:val="20"/>
                <w:szCs w:val="20"/>
                <w:color w:val="auto"/>
              </w:rPr>
            </w:pPr>
            <w:r>
              <w:rPr>
                <w:rFonts w:ascii="Arial" w:cs="Arial" w:eastAsia="Arial" w:hAnsi="Arial"/>
                <w:sz w:val="18"/>
                <w:szCs w:val="18"/>
                <w:color w:val="auto"/>
              </w:rPr>
              <w:t>executive officer)</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740" w:type="dxa"/>
            <w:vAlign w:val="bottom"/>
          </w:tcPr>
          <w:p>
            <w:pPr>
              <w:jc w:val="right"/>
              <w:ind w:right="2532"/>
              <w:spacing w:after="0"/>
              <w:rPr>
                <w:sz w:val="20"/>
                <w:szCs w:val="20"/>
                <w:color w:val="auto"/>
              </w:rPr>
            </w:pPr>
            <w:r>
              <w:rPr>
                <w:rFonts w:ascii="Arial" w:cs="Arial" w:eastAsia="Arial" w:hAnsi="Arial"/>
                <w:sz w:val="18"/>
                <w:szCs w:val="18"/>
                <w:color w:val="auto"/>
              </w:rPr>
              <w:t>-5-</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960"/>
        <w:spacing w:after="0"/>
        <w:tabs>
          <w:tab w:leader="none" w:pos="6880" w:val="left"/>
          <w:tab w:leader="none" w:pos="10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68580</wp:posOffset>
            </wp:positionV>
            <wp:extent cx="660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68580</wp:posOffset>
            </wp:positionV>
            <wp:extent cx="3346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68580</wp:posOffset>
            </wp:positionV>
            <wp:extent cx="317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 Larry E. Finger</w:t>
            </w:r>
          </w:p>
        </w:tc>
        <w:tc>
          <w:tcPr>
            <w:tcW w:w="3660" w:type="dxa"/>
            <w:vAlign w:val="bottom"/>
          </w:tcPr>
          <w:p>
            <w:pPr>
              <w:ind w:left="340"/>
              <w:spacing w:after="0"/>
              <w:rPr>
                <w:sz w:val="20"/>
                <w:szCs w:val="20"/>
                <w:color w:val="auto"/>
              </w:rPr>
            </w:pPr>
            <w:r>
              <w:rPr>
                <w:rFonts w:ascii="Arial" w:cs="Arial" w:eastAsia="Arial" w:hAnsi="Arial"/>
                <w:sz w:val="18"/>
                <w:szCs w:val="18"/>
                <w:color w:val="auto"/>
              </w:rPr>
              <w:t>Senior Vice President and</w:t>
            </w:r>
          </w:p>
        </w:tc>
        <w:tc>
          <w:tcPr>
            <w:tcW w:w="2800" w:type="dxa"/>
            <w:vAlign w:val="bottom"/>
          </w:tcPr>
          <w:p>
            <w:pPr>
              <w:jc w:val="center"/>
              <w:ind w:left="1312"/>
              <w:spacing w:after="0"/>
              <w:rPr>
                <w:sz w:val="20"/>
                <w:szCs w:val="20"/>
                <w:color w:val="auto"/>
              </w:rPr>
            </w:pPr>
            <w:r>
              <w:rPr>
                <w:rFonts w:ascii="Arial" w:cs="Arial" w:eastAsia="Arial" w:hAnsi="Arial"/>
                <w:sz w:val="18"/>
                <w:szCs w:val="18"/>
                <w:color w:val="auto"/>
                <w:w w:val="88"/>
              </w:rPr>
              <w:t>August 31, 2004</w:t>
            </w: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3660" w:type="dxa"/>
            <w:vAlign w:val="bottom"/>
            <w:vMerge w:val="restart"/>
          </w:tcPr>
          <w:p>
            <w:pPr>
              <w:ind w:left="340"/>
              <w:spacing w:after="0"/>
              <w:rPr>
                <w:sz w:val="20"/>
                <w:szCs w:val="20"/>
                <w:color w:val="auto"/>
              </w:rPr>
            </w:pPr>
            <w:r>
              <w:rPr>
                <w:rFonts w:ascii="Arial" w:cs="Arial" w:eastAsia="Arial" w:hAnsi="Arial"/>
                <w:sz w:val="18"/>
                <w:szCs w:val="18"/>
                <w:color w:val="auto"/>
              </w:rPr>
              <w:t>Chief Financial Officer and</w:t>
            </w: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Larry E. Finger</w:t>
            </w:r>
          </w:p>
        </w:tc>
        <w:tc>
          <w:tcPr>
            <w:tcW w:w="3660" w:type="dxa"/>
            <w:vAlign w:val="bottom"/>
          </w:tcPr>
          <w:p>
            <w:pPr>
              <w:ind w:left="340"/>
              <w:spacing w:after="0"/>
              <w:rPr>
                <w:sz w:val="20"/>
                <w:szCs w:val="20"/>
                <w:color w:val="auto"/>
              </w:rPr>
            </w:pPr>
            <w:r>
              <w:rPr>
                <w:rFonts w:ascii="Arial" w:cs="Arial" w:eastAsia="Arial" w:hAnsi="Arial"/>
                <w:sz w:val="18"/>
                <w:szCs w:val="18"/>
                <w:color w:val="auto"/>
              </w:rPr>
              <w:t>Treasurer (principal</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accounting officer)</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David W. Faeder</w:t>
            </w:r>
          </w:p>
        </w:tc>
        <w:tc>
          <w:tcPr>
            <w:tcW w:w="3660" w:type="dxa"/>
            <w:vAlign w:val="bottom"/>
          </w:tcPr>
          <w:p>
            <w:pPr>
              <w:ind w:left="340"/>
              <w:spacing w:after="0"/>
              <w:rPr>
                <w:sz w:val="20"/>
                <w:szCs w:val="20"/>
                <w:color w:val="auto"/>
              </w:rPr>
            </w:pPr>
            <w:r>
              <w:rPr>
                <w:rFonts w:ascii="Arial" w:cs="Arial" w:eastAsia="Arial" w:hAnsi="Arial"/>
                <w:sz w:val="18"/>
                <w:szCs w:val="18"/>
                <w:color w:val="auto"/>
              </w:rPr>
              <w:t>Trustee</w:t>
            </w:r>
          </w:p>
        </w:tc>
        <w:tc>
          <w:tcPr>
            <w:tcW w:w="2800" w:type="dxa"/>
            <w:vAlign w:val="bottom"/>
          </w:tcPr>
          <w:p>
            <w:pPr>
              <w:jc w:val="center"/>
              <w:ind w:left="1312"/>
              <w:spacing w:after="0"/>
              <w:rPr>
                <w:sz w:val="20"/>
                <w:szCs w:val="20"/>
                <w:color w:val="auto"/>
              </w:rPr>
            </w:pPr>
            <w:r>
              <w:rPr>
                <w:rFonts w:ascii="Arial" w:cs="Arial" w:eastAsia="Arial" w:hAnsi="Arial"/>
                <w:sz w:val="18"/>
                <w:szCs w:val="18"/>
                <w:color w:val="auto"/>
                <w:w w:val="86"/>
              </w:rPr>
              <w:t>September 1,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David W. Faeder</w:t>
            </w:r>
          </w:p>
        </w:tc>
        <w:tc>
          <w:tcPr>
            <w:tcW w:w="3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Kristin Gamble</w:t>
            </w:r>
          </w:p>
        </w:tc>
        <w:tc>
          <w:tcPr>
            <w:tcW w:w="3660" w:type="dxa"/>
            <w:vAlign w:val="bottom"/>
          </w:tcPr>
          <w:p>
            <w:pPr>
              <w:ind w:left="340"/>
              <w:spacing w:after="0"/>
              <w:rPr>
                <w:sz w:val="20"/>
                <w:szCs w:val="20"/>
                <w:color w:val="auto"/>
              </w:rPr>
            </w:pPr>
            <w:r>
              <w:rPr>
                <w:rFonts w:ascii="Arial" w:cs="Arial" w:eastAsia="Arial" w:hAnsi="Arial"/>
                <w:sz w:val="18"/>
                <w:szCs w:val="18"/>
                <w:color w:val="auto"/>
              </w:rPr>
              <w:t>Trustee</w:t>
            </w:r>
          </w:p>
        </w:tc>
        <w:tc>
          <w:tcPr>
            <w:tcW w:w="2800" w:type="dxa"/>
            <w:vAlign w:val="bottom"/>
          </w:tcPr>
          <w:p>
            <w:pPr>
              <w:jc w:val="center"/>
              <w:ind w:left="1292"/>
              <w:spacing w:after="0"/>
              <w:rPr>
                <w:sz w:val="20"/>
                <w:szCs w:val="20"/>
                <w:color w:val="auto"/>
              </w:rPr>
            </w:pPr>
            <w:r>
              <w:rPr>
                <w:rFonts w:ascii="Arial" w:cs="Arial" w:eastAsia="Arial" w:hAnsi="Arial"/>
                <w:sz w:val="18"/>
                <w:szCs w:val="18"/>
                <w:color w:val="auto"/>
                <w:w w:val="87"/>
              </w:rPr>
              <w:t>September 24,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Kristin Gamble</w:t>
            </w:r>
          </w:p>
        </w:tc>
        <w:tc>
          <w:tcPr>
            <w:tcW w:w="3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Joseph S. Vassalluzzo</w:t>
            </w:r>
          </w:p>
        </w:tc>
        <w:tc>
          <w:tcPr>
            <w:tcW w:w="3660" w:type="dxa"/>
            <w:vAlign w:val="bottom"/>
          </w:tcPr>
          <w:p>
            <w:pPr>
              <w:ind w:left="340"/>
              <w:spacing w:after="0"/>
              <w:rPr>
                <w:sz w:val="20"/>
                <w:szCs w:val="20"/>
                <w:color w:val="auto"/>
              </w:rPr>
            </w:pPr>
            <w:r>
              <w:rPr>
                <w:rFonts w:ascii="Arial" w:cs="Arial" w:eastAsia="Arial" w:hAnsi="Arial"/>
                <w:sz w:val="18"/>
                <w:szCs w:val="18"/>
                <w:color w:val="auto"/>
              </w:rPr>
              <w:t>Trustee</w:t>
            </w:r>
          </w:p>
        </w:tc>
        <w:tc>
          <w:tcPr>
            <w:tcW w:w="2800" w:type="dxa"/>
            <w:vAlign w:val="bottom"/>
          </w:tcPr>
          <w:p>
            <w:pPr>
              <w:jc w:val="center"/>
              <w:ind w:left="1312"/>
              <w:spacing w:after="0"/>
              <w:rPr>
                <w:sz w:val="20"/>
                <w:szCs w:val="20"/>
                <w:color w:val="auto"/>
              </w:rPr>
            </w:pPr>
            <w:r>
              <w:rPr>
                <w:rFonts w:ascii="Arial" w:cs="Arial" w:eastAsia="Arial" w:hAnsi="Arial"/>
                <w:sz w:val="18"/>
                <w:szCs w:val="18"/>
                <w:color w:val="auto"/>
                <w:w w:val="86"/>
              </w:rPr>
              <w:t>September 1,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Joseph S. Vassalluzzo</w:t>
            </w:r>
          </w:p>
        </w:tc>
        <w:tc>
          <w:tcPr>
            <w:tcW w:w="3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Mark S. Ordan</w:t>
            </w:r>
          </w:p>
        </w:tc>
        <w:tc>
          <w:tcPr>
            <w:tcW w:w="3660" w:type="dxa"/>
            <w:vAlign w:val="bottom"/>
          </w:tcPr>
          <w:p>
            <w:pPr>
              <w:ind w:left="340"/>
              <w:spacing w:after="0"/>
              <w:rPr>
                <w:sz w:val="20"/>
                <w:szCs w:val="20"/>
                <w:color w:val="auto"/>
              </w:rPr>
            </w:pPr>
            <w:r>
              <w:rPr>
                <w:rFonts w:ascii="Arial" w:cs="Arial" w:eastAsia="Arial" w:hAnsi="Arial"/>
                <w:sz w:val="18"/>
                <w:szCs w:val="18"/>
                <w:color w:val="auto"/>
              </w:rPr>
              <w:t>Trustee</w:t>
            </w:r>
          </w:p>
        </w:tc>
        <w:tc>
          <w:tcPr>
            <w:tcW w:w="2800" w:type="dxa"/>
            <w:vAlign w:val="bottom"/>
          </w:tcPr>
          <w:p>
            <w:pPr>
              <w:jc w:val="center"/>
              <w:ind w:left="1292"/>
              <w:spacing w:after="0"/>
              <w:rPr>
                <w:sz w:val="20"/>
                <w:szCs w:val="20"/>
                <w:color w:val="auto"/>
              </w:rPr>
            </w:pPr>
            <w:r>
              <w:rPr>
                <w:rFonts w:ascii="Arial" w:cs="Arial" w:eastAsia="Arial" w:hAnsi="Arial"/>
                <w:sz w:val="18"/>
                <w:szCs w:val="18"/>
                <w:color w:val="auto"/>
                <w:w w:val="87"/>
              </w:rPr>
              <w:t>September 24,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Mark S. Ordan</w:t>
            </w:r>
          </w:p>
        </w:tc>
        <w:tc>
          <w:tcPr>
            <w:tcW w:w="3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Amy B. Lane</w:t>
            </w:r>
          </w:p>
        </w:tc>
        <w:tc>
          <w:tcPr>
            <w:tcW w:w="3660" w:type="dxa"/>
            <w:vAlign w:val="bottom"/>
          </w:tcPr>
          <w:p>
            <w:pPr>
              <w:ind w:left="340"/>
              <w:spacing w:after="0"/>
              <w:rPr>
                <w:sz w:val="20"/>
                <w:szCs w:val="20"/>
                <w:color w:val="auto"/>
              </w:rPr>
            </w:pPr>
            <w:r>
              <w:rPr>
                <w:rFonts w:ascii="Arial" w:cs="Arial" w:eastAsia="Arial" w:hAnsi="Arial"/>
                <w:sz w:val="18"/>
                <w:szCs w:val="18"/>
                <w:color w:val="auto"/>
              </w:rPr>
              <w:t>Trustee</w:t>
            </w:r>
          </w:p>
        </w:tc>
        <w:tc>
          <w:tcPr>
            <w:tcW w:w="2800" w:type="dxa"/>
            <w:vAlign w:val="bottom"/>
          </w:tcPr>
          <w:p>
            <w:pPr>
              <w:jc w:val="center"/>
              <w:ind w:left="1292"/>
              <w:spacing w:after="0"/>
              <w:rPr>
                <w:sz w:val="20"/>
                <w:szCs w:val="20"/>
                <w:color w:val="auto"/>
              </w:rPr>
            </w:pPr>
            <w:r>
              <w:rPr>
                <w:rFonts w:ascii="Arial" w:cs="Arial" w:eastAsia="Arial" w:hAnsi="Arial"/>
                <w:sz w:val="18"/>
                <w:szCs w:val="18"/>
                <w:color w:val="auto"/>
                <w:w w:val="87"/>
              </w:rPr>
              <w:t>September 24,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Amy B. Lane</w:t>
            </w:r>
          </w:p>
        </w:tc>
        <w:tc>
          <w:tcPr>
            <w:tcW w:w="3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tcPr>
          <w:p>
            <w:pPr>
              <w:spacing w:after="0"/>
              <w:rPr>
                <w:sz w:val="20"/>
                <w:szCs w:val="20"/>
                <w:color w:val="auto"/>
              </w:rPr>
            </w:pPr>
            <w:r>
              <w:rPr>
                <w:rFonts w:ascii="Arial" w:cs="Arial" w:eastAsia="Arial" w:hAnsi="Arial"/>
                <w:sz w:val="18"/>
                <w:szCs w:val="18"/>
                <w:color w:val="auto"/>
              </w:rPr>
              <w:t>/s/ Walter F. Loeb</w:t>
            </w:r>
          </w:p>
        </w:tc>
        <w:tc>
          <w:tcPr>
            <w:tcW w:w="3660" w:type="dxa"/>
            <w:vAlign w:val="bottom"/>
          </w:tcPr>
          <w:p>
            <w:pPr>
              <w:ind w:left="340"/>
              <w:spacing w:after="0"/>
              <w:rPr>
                <w:sz w:val="20"/>
                <w:szCs w:val="20"/>
                <w:color w:val="auto"/>
              </w:rPr>
            </w:pPr>
            <w:r>
              <w:rPr>
                <w:rFonts w:ascii="Arial" w:cs="Arial" w:eastAsia="Arial" w:hAnsi="Arial"/>
                <w:sz w:val="18"/>
                <w:szCs w:val="18"/>
                <w:color w:val="auto"/>
              </w:rPr>
              <w:t>Trustee</w:t>
            </w:r>
          </w:p>
        </w:tc>
        <w:tc>
          <w:tcPr>
            <w:tcW w:w="2800" w:type="dxa"/>
            <w:vAlign w:val="bottom"/>
          </w:tcPr>
          <w:p>
            <w:pPr>
              <w:jc w:val="center"/>
              <w:ind w:left="1292"/>
              <w:spacing w:after="0"/>
              <w:rPr>
                <w:sz w:val="20"/>
                <w:szCs w:val="20"/>
                <w:color w:val="auto"/>
              </w:rPr>
            </w:pPr>
            <w:r>
              <w:rPr>
                <w:rFonts w:ascii="Arial" w:cs="Arial" w:eastAsia="Arial" w:hAnsi="Arial"/>
                <w:sz w:val="18"/>
                <w:szCs w:val="18"/>
                <w:color w:val="auto"/>
                <w:w w:val="87"/>
              </w:rPr>
              <w:t>September 24, 2004</w:t>
            </w:r>
          </w:p>
        </w:tc>
        <w:tc>
          <w:tcPr>
            <w:tcW w:w="0" w:type="dxa"/>
            <w:vAlign w:val="bottom"/>
          </w:tcPr>
          <w:p>
            <w:pPr>
              <w:spacing w:after="0"/>
              <w:rPr>
                <w:sz w:val="1"/>
                <w:szCs w:val="1"/>
                <w:color w:val="auto"/>
              </w:rPr>
            </w:pPr>
          </w:p>
        </w:tc>
      </w:tr>
      <w:tr>
        <w:trPr>
          <w:trHeight w:val="110"/>
        </w:trPr>
        <w:tc>
          <w:tcPr>
            <w:tcW w:w="47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tcPr>
          <w:p>
            <w:pPr>
              <w:spacing w:after="0"/>
              <w:rPr>
                <w:sz w:val="20"/>
                <w:szCs w:val="20"/>
                <w:color w:val="auto"/>
              </w:rPr>
            </w:pPr>
            <w:r>
              <w:rPr>
                <w:rFonts w:ascii="Arial" w:cs="Arial" w:eastAsia="Arial" w:hAnsi="Arial"/>
                <w:sz w:val="18"/>
                <w:szCs w:val="18"/>
                <w:color w:val="auto"/>
              </w:rPr>
              <w:t>Walter F. Loeb</w:t>
            </w:r>
          </w:p>
        </w:tc>
        <w:tc>
          <w:tcPr>
            <w:tcW w:w="3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Arial" w:cs="Arial" w:eastAsia="Arial" w:hAnsi="Arial"/>
                <w:sz w:val="18"/>
                <w:szCs w:val="18"/>
                <w:color w:val="auto"/>
              </w:rPr>
              <w:t>-6-</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20" w:type="dxa"/>
            <w:vAlign w:val="bottom"/>
          </w:tcPr>
          <w:p>
            <w:pPr>
              <w:ind w:left="2740"/>
              <w:spacing w:after="0"/>
              <w:rPr>
                <w:sz w:val="20"/>
                <w:szCs w:val="20"/>
                <w:color w:val="auto"/>
              </w:rPr>
            </w:pPr>
            <w:r>
              <w:rPr>
                <w:rFonts w:ascii="Arial" w:cs="Arial" w:eastAsia="Arial" w:hAnsi="Arial"/>
                <w:sz w:val="18"/>
                <w:szCs w:val="18"/>
                <w:b w:val="1"/>
                <w:bCs w:val="1"/>
                <w:color w:val="auto"/>
              </w:rPr>
              <w:t>INDEX TO EXHIBITS</w:t>
            </w:r>
          </w:p>
        </w:tc>
      </w:tr>
      <w:tr>
        <w:trPr>
          <w:trHeight w:val="312"/>
        </w:trPr>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220" w:type="dxa"/>
            <w:vAlign w:val="bottom"/>
          </w:tcPr>
          <w:p>
            <w:pPr>
              <w:spacing w:after="0"/>
              <w:rPr>
                <w:sz w:val="8"/>
                <w:szCs w:val="8"/>
                <w:color w:val="auto"/>
              </w:rPr>
            </w:pPr>
          </w:p>
        </w:tc>
      </w:tr>
      <w:tr>
        <w:trPr>
          <w:trHeight w:val="417"/>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Specimen Common Share certificate (filed as Exhibit 4(i) to the Trust’s Annual Report on Form 10-K for the year ended December 31, 1999</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8"/>
              </w:rPr>
              <w:t>Amended and Restated Rights Agreement, dated March 11, 1999, between the Trust and American Stock Transfer &amp; Trust Company (filed as</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1"/>
              </w:rPr>
              <w:t>Exhibit 1 to the Trust’s Registration Statement No. 1-07533 on Form 8-A/A filed on March 11, 1999 and incorporated herein by reference)</w:t>
            </w:r>
          </w:p>
        </w:tc>
      </w:tr>
      <w:tr>
        <w:trPr>
          <w:trHeight w:val="318"/>
        </w:trPr>
        <w:tc>
          <w:tcPr>
            <w:tcW w:w="600" w:type="dxa"/>
            <w:vAlign w:val="bottom"/>
          </w:tcPr>
          <w:p>
            <w:pPr>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87"/>
              </w:rPr>
              <w:t>First Amendment to Amended and Restated Rights Agreement, dated as of November _, 2003, between the Trust and American Stock Transfer</w:t>
            </w:r>
          </w:p>
        </w:tc>
      </w:tr>
      <w:tr>
        <w:trPr>
          <w:trHeight w:val="216"/>
        </w:trPr>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0"/>
              </w:rPr>
              <w:t>&amp; Trust Company (filed as Exhibit 4.5 to the Trust’s Annual Report on Form 10-K for the year ended December 31, 2003 filed on March 15,</w:t>
            </w:r>
          </w:p>
        </w:tc>
      </w:t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2004 and incorporated herein by reference)</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the validity of the shares (filed herewith)</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Opinion of Shaw Pittman LLP regarding certain tax matters (filed herewith)</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Consent of Grant Thornton LLP, independent public accountants (filed herewith)</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5.1)</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23.3</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Consent of Shaw Pittman LLP (included in Exhibit 8.1)</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ectPr>
          <w:pgSz w:w="11900" w:h="16838" w:orient="portrait"/>
          <w:cols w:equalWidth="0" w:num="1">
            <w:col w:w="11320"/>
          </w:cols>
          <w:pgMar w:left="240" w:top="45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5.1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September 29,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Registration Statement on Form S-3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acted as counsel to Federal Realty Investment Trust, a Maryland real estate investment trust (the “Company”), in connection with the Company’s filing with the Securities and Exchange Commission under the Securities Act of 1933, as amended (the “Act”), of a registration statement on Form S-3 (the “Registration Statement”) and the prospectus included therein (the “Prospectus”) relating to the resale of that number of the Company’s common shares of beneficial interest, par value $.01 per share (the “Shares”), having a value of $1,862,599, as provided in the Merger Agreement (as defined below), by the selling shareholders identified in the Registration Statement.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copies of the following documents:</w:t>
      </w:r>
    </w:p>
    <w:p>
      <w:pPr>
        <w:spacing w:after="0" w:line="7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Declaration of Trust of the Company (the “Articles”), as amended, restated or supplemented, if applicable, as certified by the Maryland State Department of Assessments and Taxation on September 23, 2004, and certified to us by the Senior Vice President, General Counsel and Secretary of the Company as being complete, accurate and in effect as of the date hereof;</w:t>
      </w:r>
    </w:p>
    <w:p>
      <w:pPr>
        <w:sectPr>
          <w:pgSz w:w="11900" w:h="16838" w:orient="portrait"/>
          <w:cols w:equalWidth="0" w:num="1">
            <w:col w:w="11420"/>
          </w:cols>
          <w:pgMar w:left="240" w:top="125" w:right="239" w:bottom="1440" w:gutter="0" w:footer="0" w:header="0"/>
        </w:sectPr>
      </w:pPr>
    </w:p>
    <w:bookmarkStart w:id="50" w:name="page51"/>
    <w:bookmarkEnd w:id="5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29,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900" w:right="100" w:hanging="446"/>
        <w:spacing w:after="0" w:line="325"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Amended and Restated Bylaws of the Company, as amended, restated or supplemented, if applicable (the “Bylaws”), in the form certified to us by the Senior Vice President, General Counsel and Secretary of the Company as being complete, accurate and in effect as of the date hereof;</w:t>
      </w:r>
    </w:p>
    <w:p>
      <w:pPr>
        <w:spacing w:after="0" w:line="1" w:lineRule="exact"/>
        <w:rPr>
          <w:rFonts w:ascii="Arial" w:cs="Arial" w:eastAsia="Arial" w:hAnsi="Arial"/>
          <w:sz w:val="16"/>
          <w:szCs w:val="16"/>
          <w:color w:val="auto"/>
        </w:rPr>
      </w:pPr>
    </w:p>
    <w:p>
      <w:pPr>
        <w:jc w:val="both"/>
        <w:ind w:left="900" w:right="120" w:hanging="446"/>
        <w:spacing w:after="0" w:line="347"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 executed copy of the Agreement and Plan of Merger (the “Merger Agreement”), made as of September 30, 2004, by and among Delaware GPO 10, Inc., a Delaware corporation (“GPO 10 Inc.”), the Selling Shareholders, the Company and Street Retail, Inc., a Maryland corporation (“SRI”);</w:t>
      </w:r>
    </w:p>
    <w:p>
      <w:pPr>
        <w:ind w:left="9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executed copy of the letter agreement, made as of September 30, 2004, executed by the Company, GPO 10 Inc. and the Selling Shareholders, and acknowledged and accepted by SRI (together with the Merger Agreement, the “Merger Documents”);</w:t>
      </w:r>
    </w:p>
    <w:p>
      <w:pPr>
        <w:spacing w:after="0" w:line="37" w:lineRule="exact"/>
        <w:rPr>
          <w:rFonts w:ascii="Arial" w:cs="Arial" w:eastAsia="Arial" w:hAnsi="Arial"/>
          <w:sz w:val="18"/>
          <w:szCs w:val="18"/>
          <w:color w:val="auto"/>
        </w:rPr>
      </w:pPr>
    </w:p>
    <w:p>
      <w:pPr>
        <w:ind w:left="900" w:right="260" w:hanging="446"/>
        <w:spacing w:after="0" w:line="325"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Agreement of Limited Partnership of Street Retail West 10, L.P., a Delaware limited partnership, dated as of March 21, 2000, entered into by Street Retail West GP, Inc., a Delaware corporation, the persons set forth on Exhibit A thereto and the Company;</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Registration Rights Agreement, executed as of March 21, 2000, by the Company and the person set forth on Appendix A thereto;</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(the “Resolutions”);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certificate of the Secretary of the Company dated as of the date hereof; and</w:t>
      </w:r>
    </w:p>
    <w:p>
      <w:pPr>
        <w:spacing w:after="0" w:line="76"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18"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authority of all entities other than the Company, the genuineness of all signatures, the completeness and authenticity of all documents submitted to us as originals, and the conformity to original documents of all documents submitted to us as certified, telecopied, photostatic or reproduced copies.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the opinions expressed below, we have assumed that, at and prior to the time of the issuance and delivery of the Shares pursuant to the Merger Documents,</w:t>
      </w:r>
    </w:p>
    <w:p>
      <w:pPr>
        <w:sectPr>
          <w:pgSz w:w="11900" w:h="16838" w:orient="portrait"/>
          <w:cols w:equalWidth="0" w:num="1">
            <w:col w:w="11320"/>
          </w:cols>
          <w:pgMar w:left="240" w:top="280" w:right="339" w:bottom="1440" w:gutter="0" w:footer="0" w:header="0"/>
        </w:sectPr>
      </w:pPr>
    </w:p>
    <w:bookmarkStart w:id="51" w:name="page52"/>
    <w:bookmarkEnd w:id="5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29,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8"/>
        <w:spacing w:after="0" w:line="287" w:lineRule="auto"/>
        <w:tabs>
          <w:tab w:leader="none" w:pos="2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Resolutions shall not have been amended, modified or rescinded and (ii) no change in law materially adversely affecting the power of the Company to issue and deliver the Shares pursuant to the Merger Documents or the validity of the Shares shall have occurred. We also have assumed that the sale, issuance and delivery of the Shares pursuant to the Merger Documents will not at the time of such sale, issuance and delivery violate or conflict with (1) the Articles, as then amended, restated and supplemented, and the Bylaws, as then amended, restated and supplemented, (2) any provision of any license, indenture, instrument, mortgage, contract, document or agreement to which the Company is then a party or by which the Company is then bound, or (3) any law or regulation or any decree, judgment or order then applicable to the Company. We further have assumed that the number of Shares to be issued and delivered pursuant to the Merger Documents will not at the time of such issuance and delivery exceed the amount of such class of capital stock authorized in the Articles, as then amended, restated or supplemented, and remaining unissued (and not otherwise reserved for issuance) at such time, and that prior to the time of the issuance and delivery of the Shares pursuant to the Merger Documents the Registration Statement shall have been declared effective and no stop order suspending the effectiveness of the Registration Statement shall have been issued, nor any proceedings with respect thereto commenced or threatened.</w:t>
      </w:r>
    </w:p>
    <w:p>
      <w:pPr>
        <w:spacing w:after="0" w:line="10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Based upon, subject to and limited by the foregoing, we are of the opinion that, following adoption by the Board of Trustees of the Company or an authorized committee thereof of a resolution in form and content as required by applicable law, when issued and delivered in the manner contemplated by, and in accordance with, the Merger Documents and such resolution, the Shares will be validly issued by the Company, fully paid and nonassessable.</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opinion is limited to the laws of the United States and, except as provided below, the laws of the State of Maryland. Our opinion is rendered only with respect to the laws and the rules, regulations and orders thereunder that are currently in effect. We assume no obligation to advise you of any changes in the foregoing subsequent to the delivery of this opinion. We express no opinion as to compliance with any state securities laws, including the securities laws of the State of Maryland. This opinion has been prepared for your use in connection with the filing of the Registration Statement.</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SHAW PITTMAN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 PITTMAN LLP</w:t>
      </w:r>
    </w:p>
    <w:p>
      <w:pPr>
        <w:sectPr>
          <w:pgSz w:w="11900" w:h="16838" w:orient="portrait"/>
          <w:cols w:equalWidth="0" w:num="1">
            <w:col w:w="11380"/>
          </w:cols>
          <w:pgMar w:left="240" w:top="280"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8.1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SHAW PITTMAN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20037</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September 29,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and all documents incorporated and deemed to be incorporated by reference therein) with the Securities and Exchange Commission (the “Commission”).</w:t>
      </w:r>
    </w:p>
    <w:p>
      <w:pPr>
        <w:spacing w:after="0" w:line="13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0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w:t>
      </w:r>
    </w:p>
    <w:p>
      <w:pPr>
        <w:sectPr>
          <w:pgSz w:w="11900" w:h="16838" w:orient="portrait"/>
          <w:cols w:equalWidth="0" w:num="1">
            <w:col w:w="11420"/>
          </w:cols>
          <w:pgMar w:left="240" w:top="131" w:right="23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29,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2004;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(2004) taxable year and for future taxable years, and (iii) the discussions in (y) the Registration Statement under the caption “Risk Factors,” specifically the discussion of the Company’s status as a REIT, and (z) the Registration Statement under the caption “Federal Income Tax Considerations,” which discussions are part of, or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Registration Statement under the caption “Federal Income Tax Considerations” are hereby confirmed.</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w:t>
      </w:r>
    </w:p>
    <w:p>
      <w:pPr>
        <w:sectPr>
          <w:pgSz w:w="11900" w:h="16838" w:orient="portrait"/>
          <w:cols w:equalWidth="0" w:num="1">
            <w:col w:w="11400"/>
          </w:cols>
          <w:pgMar w:left="240" w:top="280" w:right="259" w:bottom="1440" w:gutter="0" w:footer="0" w:header="0"/>
        </w:sectPr>
      </w:pPr>
    </w:p>
    <w:bookmarkStart w:id="54" w:name="page55"/>
    <w:bookmarkEnd w:id="5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29,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of the Company’s stock and its actual operating results and distributions satisfy the tests necessary to achieve and maintain its status as a REIT.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SHAW PITTMAN LLP</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Charles B. Temkin,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Charles B. Temkin, P.C.</w:t>
      </w:r>
    </w:p>
    <w:p>
      <w:pPr>
        <w:sectPr>
          <w:pgSz w:w="11900" w:h="16838" w:orient="portrait"/>
          <w:cols w:equalWidth="0" w:num="1">
            <w:col w:w="11400"/>
          </w:cols>
          <w:pgMar w:left="240" w:top="280"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23.1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issued our report dated February 5, 2004 accompanying the consolidated financial statements and schedules included in the Annual Report of Federal Realty Investment Trust on Form 10-K, as amended, for the year ended December 31, 2003. We hereby consent to the incorporation by reference of said report in the Registration Statement of Federal Realty Investment Trust on Form S-3.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lvl w:ilvl="1">
      <w:lvlJc w:val="left"/>
      <w:lvlText w:val="(%2)"/>
      <w:numFmt w:val="lowerRoman"/>
      <w:start w:val="1"/>
    </w:lvl>
  </w:abstractNum>
  <w:abstractNum w:abstractNumId="37">
    <w:nsid w:val="580BD78F"/>
    <w:multiLevelType w:val="hybridMultilevel"/>
    <w:lvl w:ilvl="0">
      <w:lvlJc w:val="left"/>
      <w:lvlText w:val="(%1)"/>
      <w:numFmt w:val="lowerRoman"/>
      <w:start w:val="3"/>
    </w:lvl>
  </w:abstractNum>
  <w:abstractNum w:abstractNumId="38">
    <w:nsid w:val="153EA438"/>
    <w:multiLevelType w:val="hybridMultilevel"/>
    <w:lvl w:ilvl="0">
      <w:lvlJc w:val="left"/>
      <w:lvlText w:val="(%1)"/>
      <w:numFmt w:val="decimal"/>
      <w:start w:val="2"/>
    </w:lvl>
  </w:abstractNum>
  <w:abstractNum w:abstractNumId="39">
    <w:nsid w:val="3855585C"/>
    <w:multiLevelType w:val="hybridMultilevel"/>
    <w:lvl w:ilvl="0">
      <w:lvlJc w:val="left"/>
      <w:lvlText w:val="(%1)"/>
      <w:numFmt w:val="lowerLetter"/>
      <w:start w:val="2"/>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4"/>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2019-12-12T09:11:01Z</dcterms:created>
  <dcterms:modified xsi:type="dcterms:W3CDTF">2019-12-12T09:11:01Z</dcterms:modified>
</cp:coreProperties>
</file>