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Schedule 13G</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Under the Securities Exchange Act of 1934</w:t>
      </w:r>
    </w:p>
    <w:p>
      <w:pPr>
        <w:jc w:val="center"/>
        <w:ind w:right="-59"/>
        <w:spacing w:after="0"/>
        <w:tabs>
          <w:tab w:leader="none" w:pos="220" w:val="left"/>
          <w:tab w:leader="none" w:pos="220" w:val="left"/>
        </w:tabs>
        <w:rPr>
          <w:sz w:val="20"/>
          <w:szCs w:val="20"/>
          <w:color w:val="auto"/>
        </w:rPr>
      </w:pPr>
      <w:r>
        <w:rPr>
          <w:rFonts w:ascii="Arial" w:cs="Arial" w:eastAsia="Arial" w:hAnsi="Arial"/>
          <w:sz w:val="19"/>
          <w:szCs w:val="19"/>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2944495</wp:posOffset>
            </wp:positionH>
            <wp:positionV relativeFrom="paragraph">
              <wp:posOffset>163195</wp:posOffset>
            </wp:positionV>
            <wp:extent cx="1367790" cy="415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7790" cy="41592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-5715</wp:posOffset>
            </wp:positionV>
            <wp:extent cx="4286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9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OMB Number</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3235-0145</w:t>
      </w:r>
    </w:p>
    <w:p>
      <w:pPr>
        <w:spacing w:after="0" w:line="31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3780"/>
        <w:spacing w:after="0"/>
        <w:rPr>
          <w:sz w:val="20"/>
          <w:szCs w:val="20"/>
          <w:color w:val="auto"/>
        </w:rPr>
      </w:pPr>
      <w:r>
        <w:rPr>
          <w:rFonts w:ascii="Arial" w:cs="Arial" w:eastAsia="Arial" w:hAnsi="Arial"/>
          <w:sz w:val="22"/>
          <w:szCs w:val="22"/>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220"/>
        <w:spacing w:after="0"/>
        <w:rPr>
          <w:sz w:val="20"/>
          <w:szCs w:val="20"/>
          <w:color w:val="auto"/>
        </w:rPr>
      </w:pPr>
      <w:r>
        <w:rPr>
          <w:rFonts w:ascii="Arial" w:cs="Arial" w:eastAsia="Arial" w:hAnsi="Arial"/>
          <w:sz w:val="22"/>
          <w:szCs w:val="22"/>
          <w:b w:val="1"/>
          <w:bCs w:val="1"/>
          <w:color w:val="auto"/>
        </w:rPr>
        <w:t>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Calendar Year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ind w:left="3300"/>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20" w:lineRule="exact"/>
        <w:rPr>
          <w:sz w:val="24"/>
          <w:szCs w:val="24"/>
          <w:color w:val="auto"/>
        </w:rPr>
      </w:pPr>
    </w:p>
    <w:p>
      <w:pPr>
        <w:ind w:left="660"/>
        <w:spacing w:after="0"/>
        <w:rPr>
          <w:sz w:val="20"/>
          <w:szCs w:val="20"/>
          <w:color w:val="auto"/>
        </w:rPr>
      </w:pPr>
      <w:r>
        <w:rPr>
          <w:rFonts w:ascii="Arial" w:cs="Arial" w:eastAsia="Arial" w:hAnsi="Arial"/>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295910" cy="5187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5910" cy="518795"/>
                    </a:xfrm>
                    <a:prstGeom prst="rect">
                      <a:avLst/>
                    </a:prstGeom>
                    <a:noFill/>
                  </pic:spPr>
                </pic:pic>
              </a:graphicData>
            </a:graphic>
          </wp:anchor>
        </w:drawing>
      </w:r>
    </w:p>
    <w:p>
      <w:pPr>
        <w:spacing w:after="0" w:line="2" w:lineRule="exact"/>
        <w:rPr>
          <w:sz w:val="24"/>
          <w:szCs w:val="24"/>
          <w:color w:val="auto"/>
        </w:rPr>
      </w:pPr>
    </w:p>
    <w:p>
      <w:pPr>
        <w:jc w:val="both"/>
        <w:ind w:left="660" w:right="9480" w:hanging="584"/>
        <w:spacing w:after="0" w:line="353" w:lineRule="auto"/>
        <w:tabs>
          <w:tab w:leader="none" w:pos="660"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13d-1(c) Rule 13d-1(d)</w:t>
      </w:r>
    </w:p>
    <w:p>
      <w:pPr>
        <w:spacing w:after="0" w:line="9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60"/>
          </w:cols>
          <w:pgMar w:left="240" w:top="598"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540" w:hanging="208"/>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8"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I.R.S. Identification Nos. of above persons (entities only).</w:t>
      </w:r>
    </w:p>
    <w:p>
      <w:pPr>
        <w:spacing w:after="0" w:line="74" w:lineRule="exact"/>
        <w:rPr>
          <w:rFonts w:ascii="Arial" w:cs="Arial" w:eastAsia="Arial" w:hAnsi="Arial"/>
          <w:sz w:val="22"/>
          <w:szCs w:val="22"/>
          <w:color w:val="auto"/>
        </w:rPr>
      </w:pPr>
    </w:p>
    <w:p>
      <w:pPr>
        <w:ind w:left="540" w:right="7260"/>
        <w:spacing w:after="0" w:line="256" w:lineRule="auto"/>
        <w:rPr>
          <w:rFonts w:ascii="Arial" w:cs="Arial" w:eastAsia="Arial" w:hAnsi="Arial"/>
          <w:sz w:val="22"/>
          <w:szCs w:val="22"/>
          <w:color w:val="auto"/>
        </w:rPr>
      </w:pPr>
      <w:r>
        <w:rPr>
          <w:rFonts w:ascii="Arial" w:cs="Arial" w:eastAsia="Arial" w:hAnsi="Arial"/>
          <w:sz w:val="22"/>
          <w:szCs w:val="22"/>
          <w:b w:val="1"/>
          <w:bCs w:val="1"/>
          <w:color w:val="auto"/>
        </w:rPr>
        <w:t xml:space="preserve">STICHTING PENSIOENFONDS ABP </w:t>
      </w:r>
      <w:r>
        <w:rPr>
          <w:rFonts w:ascii="Arial" w:cs="Arial" w:eastAsia="Arial" w:hAnsi="Arial"/>
          <w:sz w:val="22"/>
          <w:szCs w:val="22"/>
          <w:b w:val="1"/>
          <w:bCs w:val="1"/>
          <w:i w:val="1"/>
          <w:iCs w:val="1"/>
          <w:color w:val="auto"/>
        </w:rPr>
        <w:t>98-0140331</w:t>
      </w:r>
    </w:p>
    <w:p>
      <w:pPr>
        <w:spacing w:after="0" w:line="182" w:lineRule="exact"/>
        <w:rPr>
          <w:rFonts w:ascii="Arial" w:cs="Arial" w:eastAsia="Arial" w:hAnsi="Arial"/>
          <w:sz w:val="22"/>
          <w:szCs w:val="22"/>
          <w:color w:val="auto"/>
        </w:rPr>
      </w:pPr>
    </w:p>
    <w:p>
      <w:pPr>
        <w:ind w:left="540" w:hanging="208"/>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 w:lineRule="exact"/>
        <w:rPr>
          <w:rFonts w:ascii="Arial" w:cs="Arial" w:eastAsia="Arial" w:hAnsi="Arial"/>
          <w:sz w:val="22"/>
          <w:szCs w:val="22"/>
          <w:color w:val="auto"/>
        </w:rPr>
      </w:pPr>
    </w:p>
    <w:p>
      <w:pPr>
        <w:ind w:left="1080" w:hanging="194"/>
        <w:spacing w:after="0"/>
        <w:tabs>
          <w:tab w:leader="none" w:pos="1080" w:val="left"/>
        </w:tabs>
        <w:numPr>
          <w:ilvl w:val="1"/>
          <w:numId w:val="2"/>
        </w:numPr>
        <w:rPr>
          <w:rFonts w:ascii="Arial" w:cs="Arial" w:eastAsia="Arial" w:hAnsi="Arial"/>
          <w:sz w:val="22"/>
          <w:szCs w:val="22"/>
          <w:color w:val="auto"/>
        </w:rPr>
      </w:pPr>
      <w:r>
        <w:rPr>
          <w:rFonts w:ascii="Arial" w:cs="Arial" w:eastAsia="Arial" w:hAnsi="Arial"/>
          <w:sz w:val="1"/>
          <w:szCs w:val="1"/>
          <w:color w:val="auto"/>
        </w:rPr>
        <w:drawing>
          <wp:inline distT="0" distB="0" distL="0" distR="0">
            <wp:extent cx="12700" cy="161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61925"/>
                    </a:xfrm>
                    <a:prstGeom prst="rect">
                      <a:avLst/>
                    </a:prstGeom>
                    <a:noFill/>
                    <a:ln>
                      <a:noFill/>
                    </a:ln>
                  </pic:spPr>
                </pic:pic>
              </a:graphicData>
            </a:graphic>
          </wp:inline>
        </w:drawing>
        <w:drawing>
          <wp:inline distT="0" distB="0" distL="0" distR="0">
            <wp:extent cx="12700" cy="1619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161925"/>
                    </a:xfrm>
                    <a:prstGeom prst="rect">
                      <a:avLst/>
                    </a:prstGeom>
                    <a:noFill/>
                    <a:ln>
                      <a:noFill/>
                    </a:ln>
                  </pic:spPr>
                </pic:pic>
              </a:graphicData>
            </a:graphic>
          </wp:inline>
        </w:drawing>
      </w:r>
    </w:p>
    <w:p>
      <w:pPr>
        <w:spacing w:after="0" w:line="16" w:lineRule="exact"/>
        <w:rPr>
          <w:rFonts w:ascii="Arial" w:cs="Arial" w:eastAsia="Arial" w:hAnsi="Arial"/>
          <w:sz w:val="22"/>
          <w:szCs w:val="22"/>
          <w:color w:val="auto"/>
        </w:rPr>
      </w:pPr>
    </w:p>
    <w:p>
      <w:pPr>
        <w:ind w:left="1080" w:hanging="208"/>
        <w:spacing w:after="0"/>
        <w:tabs>
          <w:tab w:leader="none" w:pos="1080" w:val="left"/>
        </w:tabs>
        <w:numPr>
          <w:ilvl w:val="1"/>
          <w:numId w:val="2"/>
        </w:numPr>
        <w:rPr>
          <w:rFonts w:ascii="Arial" w:cs="Arial" w:eastAsia="Arial" w:hAnsi="Arial"/>
          <w:sz w:val="22"/>
          <w:szCs w:val="22"/>
          <w:color w:val="auto"/>
        </w:rPr>
      </w:pPr>
      <w:r>
        <w:rPr>
          <w:rFonts w:ascii="Arial" w:cs="Arial" w:eastAsia="Arial" w:hAnsi="Arial"/>
          <w:sz w:val="1"/>
          <w:szCs w:val="1"/>
          <w:color w:val="auto"/>
        </w:rPr>
        <w:drawing>
          <wp:inline distT="0" distB="0" distL="0" distR="0">
            <wp:extent cx="12700" cy="1758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p>
    <w:p>
      <w:pPr>
        <w:spacing w:after="0" w:line="191" w:lineRule="exact"/>
        <w:rPr>
          <w:rFonts w:ascii="Arial" w:cs="Arial" w:eastAsia="Arial" w:hAnsi="Arial"/>
          <w:sz w:val="22"/>
          <w:szCs w:val="22"/>
          <w:color w:val="auto"/>
        </w:rPr>
      </w:pPr>
    </w:p>
    <w:p>
      <w:pPr>
        <w:ind w:left="540" w:hanging="208"/>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6" w:lineRule="exact"/>
        <w:rPr>
          <w:rFonts w:ascii="Arial" w:cs="Arial" w:eastAsia="Arial" w:hAnsi="Arial"/>
          <w:sz w:val="22"/>
          <w:szCs w:val="22"/>
          <w:color w:val="auto"/>
        </w:rPr>
      </w:pPr>
    </w:p>
    <w:p>
      <w:pPr>
        <w:ind w:left="540" w:right="7720" w:hanging="208"/>
        <w:spacing w:after="0" w:line="447" w:lineRule="auto"/>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Citizenship or Place of Organization The Kingdom of the Netherlands</w:t>
      </w:r>
    </w:p>
    <w:p>
      <w:pPr>
        <w:spacing w:after="0" w:line="226" w:lineRule="exact"/>
        <w:rPr>
          <w:rFonts w:ascii="Arial" w:cs="Arial" w:eastAsia="Arial" w:hAnsi="Arial"/>
          <w:sz w:val="19"/>
          <w:szCs w:val="19"/>
          <w:color w:val="auto"/>
        </w:rPr>
      </w:pPr>
    </w:p>
    <w:p>
      <w:pPr>
        <w:ind w:left="1800" w:hanging="212"/>
        <w:spacing w:after="0"/>
        <w:tabs>
          <w:tab w:leader="none" w:pos="1800" w:val="left"/>
        </w:tabs>
        <w:numPr>
          <w:ilvl w:val="2"/>
          <w:numId w:val="2"/>
        </w:numPr>
        <w:rPr>
          <w:rFonts w:ascii="Arial" w:cs="Arial" w:eastAsia="Arial" w:hAnsi="Arial"/>
          <w:sz w:val="22"/>
          <w:szCs w:val="22"/>
          <w:color w:val="auto"/>
        </w:rPr>
      </w:pPr>
      <w:r>
        <w:rPr>
          <w:rFonts w:ascii="Arial" w:cs="Arial" w:eastAsia="Arial" w:hAnsi="Arial"/>
          <w:sz w:val="22"/>
          <w:szCs w:val="22"/>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-1947545</wp:posOffset>
            </wp:positionV>
            <wp:extent cx="6903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-1614805</wp:posOffset>
            </wp:positionV>
            <wp:extent cx="193040" cy="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3040" cy="1270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-1452245</wp:posOffset>
            </wp:positionV>
            <wp:extent cx="193040"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3040" cy="1270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-1409065</wp:posOffset>
            </wp:positionV>
            <wp:extent cx="193040"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3040" cy="1270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-1245870</wp:posOffset>
            </wp:positionV>
            <wp:extent cx="193040" cy="12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3040" cy="1270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-429260</wp:posOffset>
            </wp:positionV>
            <wp:extent cx="6903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78" w:lineRule="exact"/>
        <w:rPr>
          <w:sz w:val="20"/>
          <w:szCs w:val="20"/>
          <w:color w:val="auto"/>
        </w:rPr>
      </w:pPr>
    </w:p>
    <w:tbl>
      <w:tblPr>
        <w:tblLayout w:type="fixed"/>
        <w:tblInd w:w="240" w:type="dxa"/>
        <w:tblCellMar>
          <w:top w:w="0" w:type="dxa"/>
          <w:left w:w="0" w:type="dxa"/>
          <w:bottom w:w="0" w:type="dxa"/>
          <w:right w:w="0" w:type="dxa"/>
        </w:tblCellMar>
      </w:tblPr>
      <w:tr>
        <w:trPr>
          <w:trHeight w:val="265"/>
        </w:trPr>
        <w:tc>
          <w:tcPr>
            <w:tcW w:w="120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9980" w:type="dxa"/>
            <w:vAlign w:val="bottom"/>
            <w:gridSpan w:val="2"/>
          </w:tcPr>
          <w:p>
            <w:pPr>
              <w:ind w:left="360"/>
              <w:spacing w:after="0"/>
              <w:rPr>
                <w:sz w:val="20"/>
                <w:szCs w:val="20"/>
                <w:color w:val="auto"/>
              </w:rPr>
            </w:pPr>
            <w:r>
              <w:rPr>
                <w:rFonts w:ascii="Arial" w:cs="Arial" w:eastAsia="Arial" w:hAnsi="Arial"/>
                <w:sz w:val="22"/>
                <w:szCs w:val="22"/>
                <w:color w:val="auto"/>
              </w:rPr>
              <w:t>3,518,421</w:t>
            </w:r>
          </w:p>
        </w:tc>
        <w:tc>
          <w:tcPr>
            <w:tcW w:w="0" w:type="dxa"/>
            <w:vAlign w:val="bottom"/>
          </w:tcPr>
          <w:p>
            <w:pPr>
              <w:spacing w:after="0"/>
              <w:rPr>
                <w:sz w:val="1"/>
                <w:szCs w:val="1"/>
                <w:color w:val="auto"/>
              </w:rPr>
            </w:pPr>
          </w:p>
        </w:tc>
      </w:tr>
      <w:tr>
        <w:trPr>
          <w:trHeight w:val="148"/>
        </w:trPr>
        <w:tc>
          <w:tcPr>
            <w:tcW w:w="12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200" w:type="dxa"/>
            <w:vAlign w:val="bottom"/>
          </w:tcPr>
          <w:p>
            <w:pPr>
              <w:spacing w:after="0" w:line="251" w:lineRule="exact"/>
              <w:rPr>
                <w:sz w:val="20"/>
                <w:szCs w:val="20"/>
                <w:color w:val="auto"/>
              </w:rPr>
            </w:pPr>
            <w:r>
              <w:rPr>
                <w:rFonts w:ascii="Arial" w:cs="Arial" w:eastAsia="Arial" w:hAnsi="Arial"/>
                <w:sz w:val="22"/>
                <w:szCs w:val="22"/>
                <w:color w:val="auto"/>
              </w:rPr>
              <w:t>of Shares</w:t>
            </w:r>
          </w:p>
        </w:tc>
        <w:tc>
          <w:tcPr>
            <w:tcW w:w="9980" w:type="dxa"/>
            <w:vAlign w:val="bottom"/>
            <w:gridSpan w:val="2"/>
          </w:tcPr>
          <w:p>
            <w:pPr>
              <w:ind w:left="140"/>
              <w:spacing w:after="0" w:line="251" w:lineRule="exact"/>
              <w:rPr>
                <w:sz w:val="20"/>
                <w:szCs w:val="20"/>
                <w:color w:val="auto"/>
              </w:rPr>
            </w:pPr>
            <w:r>
              <w:rPr>
                <w:rFonts w:ascii="Arial" w:cs="Arial" w:eastAsia="Arial" w:hAnsi="Arial"/>
                <w:sz w:val="22"/>
                <w:szCs w:val="22"/>
                <w:color w:val="auto"/>
              </w:rPr>
              <w:t>6. Shared Voting Power</w:t>
            </w:r>
          </w:p>
        </w:tc>
        <w:tc>
          <w:tcPr>
            <w:tcW w:w="0" w:type="dxa"/>
            <w:vAlign w:val="bottom"/>
          </w:tcPr>
          <w:p>
            <w:pPr>
              <w:spacing w:after="0"/>
              <w:rPr>
                <w:sz w:val="1"/>
                <w:szCs w:val="1"/>
                <w:color w:val="auto"/>
              </w:rPr>
            </w:pPr>
          </w:p>
        </w:tc>
      </w:tr>
      <w:tr>
        <w:trPr>
          <w:trHeight w:val="235"/>
        </w:trPr>
        <w:tc>
          <w:tcPr>
            <w:tcW w:w="1200" w:type="dxa"/>
            <w:vAlign w:val="bottom"/>
          </w:tcPr>
          <w:p>
            <w:pPr>
              <w:spacing w:after="0" w:line="236" w:lineRule="exact"/>
              <w:rPr>
                <w:sz w:val="20"/>
                <w:szCs w:val="20"/>
                <w:color w:val="auto"/>
              </w:rPr>
            </w:pPr>
            <w:r>
              <w:rPr>
                <w:rFonts w:ascii="Arial" w:cs="Arial" w:eastAsia="Arial" w:hAnsi="Arial"/>
                <w:sz w:val="22"/>
                <w:szCs w:val="22"/>
                <w:color w:val="auto"/>
              </w:rPr>
              <w:t>Beneficially</w:t>
            </w:r>
          </w:p>
        </w:tc>
        <w:tc>
          <w:tcPr>
            <w:tcW w:w="9980" w:type="dxa"/>
            <w:vAlign w:val="bottom"/>
            <w:gridSpan w:val="2"/>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70"/>
        </w:trPr>
        <w:tc>
          <w:tcPr>
            <w:tcW w:w="120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9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2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6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9980" w:type="dxa"/>
            <w:vAlign w:val="bottom"/>
            <w:gridSpan w:val="2"/>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0" w:type="dxa"/>
            <w:vAlign w:val="bottom"/>
          </w:tcPr>
          <w:p>
            <w:pPr>
              <w:spacing w:after="0"/>
              <w:rPr>
                <w:sz w:val="1"/>
                <w:szCs w:val="1"/>
                <w:color w:val="auto"/>
              </w:rPr>
            </w:pPr>
          </w:p>
        </w:tc>
      </w:tr>
      <w:tr>
        <w:trPr>
          <w:trHeight w:val="166"/>
        </w:trPr>
        <w:tc>
          <w:tcPr>
            <w:tcW w:w="120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9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2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9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Arial" w:cs="Arial" w:eastAsia="Arial" w:hAnsi="Arial"/>
                <w:sz w:val="22"/>
                <w:szCs w:val="22"/>
                <w:color w:val="auto"/>
              </w:rPr>
              <w:t>Person</w:t>
            </w:r>
          </w:p>
        </w:tc>
        <w:tc>
          <w:tcPr>
            <w:tcW w:w="998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3,518,421</w:t>
            </w:r>
          </w:p>
        </w:tc>
        <w:tc>
          <w:tcPr>
            <w:tcW w:w="0" w:type="dxa"/>
            <w:vAlign w:val="bottom"/>
          </w:tcPr>
          <w:p>
            <w:pPr>
              <w:spacing w:after="0"/>
              <w:rPr>
                <w:sz w:val="1"/>
                <w:szCs w:val="1"/>
                <w:color w:val="auto"/>
              </w:rPr>
            </w:pPr>
          </w:p>
        </w:tc>
      </w:tr>
      <w:tr>
        <w:trPr>
          <w:trHeight w:val="21"/>
        </w:trPr>
        <w:tc>
          <w:tcPr>
            <w:tcW w:w="1200" w:type="dxa"/>
            <w:vAlign w:val="bottom"/>
            <w:vMerge w:val="restart"/>
          </w:tcPr>
          <w:p>
            <w:pPr>
              <w:spacing w:after="0" w:line="247" w:lineRule="exact"/>
              <w:rPr>
                <w:sz w:val="20"/>
                <w:szCs w:val="20"/>
                <w:color w:val="auto"/>
              </w:rPr>
            </w:pPr>
            <w:r>
              <w:rPr>
                <w:rFonts w:ascii="Arial" w:cs="Arial" w:eastAsia="Arial" w:hAnsi="Arial"/>
                <w:sz w:val="22"/>
                <w:szCs w:val="22"/>
                <w:color w:val="auto"/>
              </w:rPr>
              <w:t>With:</w:t>
            </w:r>
          </w:p>
        </w:tc>
        <w:tc>
          <w:tcPr>
            <w:tcW w:w="360" w:type="dxa"/>
            <w:vAlign w:val="bottom"/>
          </w:tcPr>
          <w:p>
            <w:pPr>
              <w:spacing w:after="0" w:line="20" w:lineRule="exact"/>
              <w:rPr>
                <w:sz w:val="1"/>
                <w:szCs w:val="1"/>
                <w:color w:val="auto"/>
              </w:rPr>
            </w:pPr>
          </w:p>
        </w:tc>
        <w:tc>
          <w:tcPr>
            <w:tcW w:w="9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1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00" w:right="7380" w:hanging="212"/>
        <w:spacing w:after="0" w:line="336" w:lineRule="auto"/>
        <w:tabs>
          <w:tab w:leader="none" w:pos="1800" w:val="left"/>
        </w:tabs>
        <w:numPr>
          <w:ilvl w:val="1"/>
          <w:numId w:val="3"/>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97" w:lineRule="exact"/>
        <w:rPr>
          <w:rFonts w:ascii="Arial" w:cs="Arial" w:eastAsia="Arial" w:hAnsi="Arial"/>
          <w:sz w:val="22"/>
          <w:szCs w:val="22"/>
          <w:color w:val="auto"/>
        </w:rPr>
      </w:pPr>
    </w:p>
    <w:p>
      <w:pPr>
        <w:ind w:left="540" w:right="5100" w:hanging="208"/>
        <w:spacing w:after="0" w:line="353" w:lineRule="auto"/>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3,518,421</w:t>
      </w:r>
    </w:p>
    <w:p>
      <w:pPr>
        <w:spacing w:after="0" w:line="187" w:lineRule="exact"/>
        <w:rPr>
          <w:rFonts w:ascii="Arial" w:cs="Arial" w:eastAsia="Arial" w:hAnsi="Arial"/>
          <w:sz w:val="22"/>
          <w:szCs w:val="22"/>
          <w:color w:val="auto"/>
        </w:rPr>
      </w:pPr>
    </w:p>
    <w:p>
      <w:pPr>
        <w:ind w:left="540" w:hanging="316"/>
        <w:spacing w:after="0"/>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Check if the Aggregate Amount in </w:t>
      </w:r>
      <w:r>
        <w:rPr>
          <w:rFonts w:ascii="Arial" w:cs="Arial" w:eastAsia="Arial" w:hAnsi="Arial"/>
          <w:sz w:val="22"/>
          <w:szCs w:val="22"/>
          <w:i w:val="1"/>
          <w:iCs w:val="1"/>
          <w:color w:val="auto"/>
        </w:rPr>
        <w:t>Row 9</w:t>
      </w:r>
      <w:r>
        <w:rPr>
          <w:rFonts w:ascii="Arial" w:cs="Arial" w:eastAsia="Arial" w:hAnsi="Arial"/>
          <w:sz w:val="22"/>
          <w:szCs w:val="22"/>
          <w:color w:val="auto"/>
        </w:rPr>
        <w:t xml:space="preserve"> Excludes Certain Shares (See Instructions)</w:t>
      </w:r>
    </w:p>
    <w:p>
      <w:pPr>
        <w:spacing w:after="0" w:line="206" w:lineRule="exact"/>
        <w:rPr>
          <w:rFonts w:ascii="Arial" w:cs="Arial" w:eastAsia="Arial" w:hAnsi="Arial"/>
          <w:sz w:val="22"/>
          <w:szCs w:val="22"/>
          <w:color w:val="auto"/>
        </w:rPr>
      </w:pPr>
    </w:p>
    <w:p>
      <w:pPr>
        <w:ind w:left="540" w:right="6500" w:hanging="302"/>
        <w:spacing w:after="0" w:line="381" w:lineRule="auto"/>
        <w:tabs>
          <w:tab w:leader="none" w:pos="540" w:val="left"/>
        </w:tabs>
        <w:numPr>
          <w:ilvl w:val="0"/>
          <w:numId w:val="4"/>
        </w:numPr>
        <w:rPr>
          <w:rFonts w:ascii="Arial" w:cs="Arial" w:eastAsia="Arial" w:hAnsi="Arial"/>
          <w:sz w:val="21"/>
          <w:szCs w:val="21"/>
          <w:color w:val="auto"/>
        </w:rPr>
      </w:pPr>
      <w:r>
        <w:rPr>
          <w:rFonts w:ascii="Arial" w:cs="Arial" w:eastAsia="Arial" w:hAnsi="Arial"/>
          <w:sz w:val="21"/>
          <w:szCs w:val="21"/>
          <w:color w:val="auto"/>
        </w:rPr>
        <w:t xml:space="preserve">Percent of Class Represented by Amount in </w:t>
      </w:r>
      <w:r>
        <w:rPr>
          <w:rFonts w:ascii="Arial" w:cs="Arial" w:eastAsia="Arial" w:hAnsi="Arial"/>
          <w:sz w:val="21"/>
          <w:szCs w:val="21"/>
          <w:i w:val="1"/>
          <w:iCs w:val="1"/>
          <w:color w:val="auto"/>
        </w:rPr>
        <w:t>Row 9</w:t>
      </w:r>
      <w:r>
        <w:rPr>
          <w:rFonts w:ascii="Arial" w:cs="Arial" w:eastAsia="Arial" w:hAnsi="Arial"/>
          <w:sz w:val="21"/>
          <w:szCs w:val="21"/>
          <w:color w:val="auto"/>
        </w:rPr>
        <w:t xml:space="preserve"> 5.97%</w:t>
      </w:r>
    </w:p>
    <w:p>
      <w:pPr>
        <w:spacing w:after="0" w:line="57" w:lineRule="exact"/>
        <w:rPr>
          <w:rFonts w:ascii="Arial" w:cs="Arial" w:eastAsia="Arial" w:hAnsi="Arial"/>
          <w:sz w:val="21"/>
          <w:szCs w:val="21"/>
          <w:color w:val="auto"/>
        </w:rPr>
      </w:pPr>
    </w:p>
    <w:p>
      <w:pPr>
        <w:ind w:left="540" w:right="7060" w:hanging="316"/>
        <w:spacing w:after="0" w:line="353" w:lineRule="auto"/>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-1418590</wp:posOffset>
            </wp:positionV>
            <wp:extent cx="6903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-603885</wp:posOffset>
            </wp:positionV>
            <wp:extent cx="6903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-80645</wp:posOffset>
            </wp:positionV>
            <wp:extent cx="6903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-2010410</wp:posOffset>
            </wp:positionV>
            <wp:extent cx="6106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-1240790</wp:posOffset>
            </wp:positionV>
            <wp:extent cx="132715" cy="115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715" cy="11557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Item 1.</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Name of Issuer</w:t>
      </w:r>
    </w:p>
    <w:p>
      <w:pPr>
        <w:spacing w:after="0" w:line="9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76200</wp:posOffset>
            </wp:positionV>
            <wp:extent cx="69037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 Address of Issuer's Principal Executive Offices</w:t>
      </w:r>
    </w:p>
    <w:p>
      <w:pPr>
        <w:spacing w:after="0" w:line="9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1626 East Jefferson Street</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Rockville, MD 20852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64770</wp:posOffset>
            </wp:positionV>
            <wp:extent cx="69037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Name of Person Filing</w:t>
      </w:r>
    </w:p>
    <w:p>
      <w:pPr>
        <w:spacing w:after="0" w:line="9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Stichting Pensioenfonds ABP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76200</wp:posOffset>
            </wp:positionV>
            <wp:extent cx="69037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 Address of Principal Business Office or, if None, Residence</w:t>
      </w:r>
    </w:p>
    <w:p>
      <w:pPr>
        <w:spacing w:after="0" w:line="9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Oude Lindestraat 70, Postbus 2889, 6401 DL Heerlen, The Kingdom of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76200</wp:posOffset>
            </wp:positionV>
            <wp:extent cx="69037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08" w:lineRule="exact"/>
        <w:rPr>
          <w:sz w:val="20"/>
          <w:szCs w:val="20"/>
          <w:color w:val="auto"/>
        </w:rPr>
      </w:pPr>
    </w:p>
    <w:p>
      <w:pPr>
        <w:ind w:left="540" w:hanging="194"/>
        <w:spacing w:after="0"/>
        <w:tabs>
          <w:tab w:leader="none" w:pos="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98"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The Kingdom of the Netherlands</w:t>
      </w:r>
    </w:p>
    <w:p>
      <w:pPr>
        <w:spacing w:after="0" w:line="327" w:lineRule="exact"/>
        <w:rPr>
          <w:rFonts w:ascii="Arial" w:cs="Arial" w:eastAsia="Arial" w:hAnsi="Arial"/>
          <w:sz w:val="22"/>
          <w:szCs w:val="22"/>
          <w:color w:val="auto"/>
        </w:rPr>
      </w:pPr>
    </w:p>
    <w:p>
      <w:pPr>
        <w:ind w:left="540" w:hanging="208"/>
        <w:spacing w:after="0"/>
        <w:tabs>
          <w:tab w:leader="none" w:pos="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98"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Common Stock, par value $0.01 per share</w:t>
      </w:r>
    </w:p>
    <w:p>
      <w:pPr>
        <w:spacing w:after="0" w:line="327" w:lineRule="exact"/>
        <w:rPr>
          <w:rFonts w:ascii="Arial" w:cs="Arial" w:eastAsia="Arial" w:hAnsi="Arial"/>
          <w:sz w:val="22"/>
          <w:szCs w:val="22"/>
          <w:color w:val="auto"/>
        </w:rPr>
      </w:pPr>
    </w:p>
    <w:p>
      <w:pPr>
        <w:ind w:left="540" w:right="9340" w:hanging="194"/>
        <w:spacing w:after="0" w:line="447" w:lineRule="auto"/>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CUSIP Number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-1240155</wp:posOffset>
            </wp:positionV>
            <wp:extent cx="69037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-648335</wp:posOffset>
            </wp:positionV>
            <wp:extent cx="69037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-56515</wp:posOffset>
            </wp:positionV>
            <wp:extent cx="69037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60"/>
        <w:spacing w:after="0" w:line="305" w:lineRule="auto"/>
        <w:rPr>
          <w:sz w:val="20"/>
          <w:szCs w:val="20"/>
          <w:color w:val="auto"/>
        </w:rPr>
      </w:pPr>
      <w:r>
        <w:rPr>
          <w:rFonts w:ascii="Arial" w:cs="Arial" w:eastAsia="Arial" w:hAnsi="Arial"/>
          <w:sz w:val="25"/>
          <w:szCs w:val="25"/>
          <w:b w:val="1"/>
          <w:bCs w:val="1"/>
          <w:color w:val="auto"/>
        </w:rPr>
        <w:t>Item 3. If this statement is filed pursuant to §§240.13d-1(b) or 240.13d-2(b) or (c), check whether the person filing is a:</w:t>
      </w:r>
    </w:p>
    <w:p>
      <w:pPr>
        <w:spacing w:after="0" w:line="242"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76"/>
              </w:rPr>
              <w:t>a.</w:t>
            </w:r>
          </w:p>
        </w:tc>
        <w:tc>
          <w:tcPr>
            <w:tcW w:w="3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340" w:type="dxa"/>
            <w:vAlign w:val="bottom"/>
          </w:tcPr>
          <w:p>
            <w:pPr>
              <w:ind w:left="140"/>
              <w:spacing w:after="0" w:line="243" w:lineRule="exact"/>
              <w:rPr>
                <w:sz w:val="20"/>
                <w:szCs w:val="20"/>
                <w:color w:val="auto"/>
              </w:rPr>
            </w:pPr>
            <w:r>
              <w:rPr>
                <w:rFonts w:ascii="Arial" w:cs="Arial" w:eastAsia="Arial" w:hAnsi="Arial"/>
                <w:sz w:val="22"/>
                <w:szCs w:val="22"/>
                <w:color w:val="auto"/>
              </w:rPr>
              <w:t>Broker or dealer registered under section 15 of the Act (15 U.S.C. 78o).</w:t>
            </w:r>
          </w:p>
        </w:tc>
        <w:tc>
          <w:tcPr>
            <w:tcW w:w="0" w:type="dxa"/>
            <w:vAlign w:val="bottom"/>
          </w:tcPr>
          <w:p>
            <w:pPr>
              <w:spacing w:after="0"/>
              <w:rPr>
                <w:sz w:val="1"/>
                <w:szCs w:val="1"/>
                <w:color w:val="auto"/>
              </w:rPr>
            </w:pPr>
          </w:p>
        </w:tc>
      </w:tr>
      <w:tr>
        <w:trPr>
          <w:trHeight w:val="169"/>
        </w:trPr>
        <w:tc>
          <w:tcPr>
            <w:tcW w:w="200" w:type="dxa"/>
            <w:vAlign w:val="bottom"/>
            <w:vMerge w:val="restart"/>
          </w:tcPr>
          <w:p>
            <w:pPr>
              <w:jc w:val="right"/>
              <w:spacing w:after="0"/>
              <w:rPr>
                <w:sz w:val="20"/>
                <w:szCs w:val="20"/>
                <w:color w:val="auto"/>
              </w:rPr>
            </w:pPr>
            <w:r>
              <w:rPr>
                <w:rFonts w:ascii="Arial" w:cs="Arial" w:eastAsia="Arial" w:hAnsi="Arial"/>
                <w:sz w:val="22"/>
                <w:szCs w:val="22"/>
                <w:color w:val="auto"/>
                <w:w w:val="76"/>
              </w:rPr>
              <w:t>b.</w:t>
            </w:r>
          </w:p>
        </w:tc>
        <w:tc>
          <w:tcPr>
            <w:tcW w:w="300" w:type="dxa"/>
            <w:vAlign w:val="bottom"/>
            <w:tcBorders>
              <w:bottom w:val="single" w:sz="8" w:color="auto"/>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10340" w:type="dxa"/>
            <w:vAlign w:val="bottom"/>
            <w:vMerge w:val="restart"/>
          </w:tcPr>
          <w:p>
            <w:pPr>
              <w:ind w:left="140"/>
              <w:spacing w:after="0"/>
              <w:rPr>
                <w:sz w:val="20"/>
                <w:szCs w:val="20"/>
                <w:color w:val="auto"/>
              </w:rPr>
            </w:pPr>
            <w:r>
              <w:rPr>
                <w:rFonts w:ascii="Arial" w:cs="Arial" w:eastAsia="Arial" w:hAnsi="Arial"/>
                <w:sz w:val="22"/>
                <w:szCs w:val="22"/>
                <w:color w:val="auto"/>
              </w:rPr>
              <w:t>Bank as defined in section 3(a)(6) of the Act (15 U.S.C. 78c).</w:t>
            </w:r>
          </w:p>
        </w:tc>
        <w:tc>
          <w:tcPr>
            <w:tcW w:w="0" w:type="dxa"/>
            <w:vAlign w:val="bottom"/>
          </w:tcPr>
          <w:p>
            <w:pPr>
              <w:spacing w:after="0"/>
              <w:rPr>
                <w:sz w:val="1"/>
                <w:szCs w:val="1"/>
                <w:color w:val="auto"/>
              </w:rPr>
            </w:pPr>
          </w:p>
        </w:tc>
      </w:tr>
      <w:tr>
        <w:trPr>
          <w:trHeight w:val="223"/>
        </w:trPr>
        <w:tc>
          <w:tcPr>
            <w:tcW w:w="200" w:type="dxa"/>
            <w:vAlign w:val="bottom"/>
            <w:vMerge w:val="continue"/>
          </w:tcPr>
          <w:p>
            <w:pPr>
              <w:spacing w:after="0"/>
              <w:rPr>
                <w:sz w:val="19"/>
                <w:szCs w:val="19"/>
                <w:color w:val="auto"/>
              </w:rPr>
            </w:pPr>
          </w:p>
        </w:tc>
        <w:tc>
          <w:tcPr>
            <w:tcW w:w="300" w:type="dxa"/>
            <w:vAlign w:val="bottom"/>
            <w:tcBorders>
              <w:left w:val="single" w:sz="8" w:color="auto"/>
              <w:bottom w:val="single" w:sz="8" w:color="auto"/>
              <w:right w:val="single" w:sz="8" w:color="auto"/>
            </w:tcBorders>
          </w:tcPr>
          <w:p>
            <w:pPr>
              <w:spacing w:after="0"/>
              <w:rPr>
                <w:sz w:val="19"/>
                <w:szCs w:val="19"/>
                <w:color w:val="auto"/>
              </w:rPr>
            </w:pPr>
          </w:p>
        </w:tc>
        <w:tc>
          <w:tcPr>
            <w:tcW w:w="80" w:type="dxa"/>
            <w:vAlign w:val="bottom"/>
            <w:vMerge w:val="continue"/>
          </w:tcPr>
          <w:p>
            <w:pPr>
              <w:spacing w:after="0"/>
              <w:rPr>
                <w:sz w:val="19"/>
                <w:szCs w:val="19"/>
                <w:color w:val="auto"/>
              </w:rPr>
            </w:pPr>
          </w:p>
        </w:tc>
        <w:tc>
          <w:tcPr>
            <w:tcW w:w="10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0" w:type="dxa"/>
            <w:vAlign w:val="bottom"/>
            <w:vMerge w:val="restart"/>
          </w:tcPr>
          <w:p>
            <w:pPr>
              <w:jc w:val="right"/>
              <w:spacing w:after="0"/>
              <w:rPr>
                <w:sz w:val="20"/>
                <w:szCs w:val="20"/>
                <w:color w:val="auto"/>
              </w:rPr>
            </w:pPr>
            <w:r>
              <w:rPr>
                <w:rFonts w:ascii="Arial" w:cs="Arial" w:eastAsia="Arial" w:hAnsi="Arial"/>
                <w:sz w:val="22"/>
                <w:szCs w:val="22"/>
                <w:color w:val="auto"/>
                <w:w w:val="81"/>
              </w:rPr>
              <w:t>c.</w:t>
            </w:r>
          </w:p>
        </w:tc>
        <w:tc>
          <w:tcPr>
            <w:tcW w:w="300" w:type="dxa"/>
            <w:vAlign w:val="bottom"/>
            <w:tcBorders>
              <w:bottom w:val="single" w:sz="8" w:color="auto"/>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10340" w:type="dxa"/>
            <w:vAlign w:val="bottom"/>
            <w:vMerge w:val="restart"/>
          </w:tcPr>
          <w:p>
            <w:pPr>
              <w:ind w:left="140"/>
              <w:spacing w:after="0"/>
              <w:rPr>
                <w:sz w:val="20"/>
                <w:szCs w:val="20"/>
                <w:color w:val="auto"/>
              </w:rPr>
            </w:pPr>
            <w:r>
              <w:rPr>
                <w:rFonts w:ascii="Arial" w:cs="Arial" w:eastAsia="Arial" w:hAnsi="Arial"/>
                <w:sz w:val="22"/>
                <w:szCs w:val="22"/>
                <w:color w:val="auto"/>
              </w:rPr>
              <w:t>Insurance company as defined in section 3(a)(19) of the Act (15 U.S.C. 78c).</w:t>
            </w:r>
          </w:p>
        </w:tc>
        <w:tc>
          <w:tcPr>
            <w:tcW w:w="0" w:type="dxa"/>
            <w:vAlign w:val="bottom"/>
          </w:tcPr>
          <w:p>
            <w:pPr>
              <w:spacing w:after="0"/>
              <w:rPr>
                <w:sz w:val="1"/>
                <w:szCs w:val="1"/>
                <w:color w:val="auto"/>
              </w:rPr>
            </w:pPr>
          </w:p>
        </w:tc>
      </w:tr>
      <w:tr>
        <w:trPr>
          <w:trHeight w:val="223"/>
        </w:trPr>
        <w:tc>
          <w:tcPr>
            <w:tcW w:w="200" w:type="dxa"/>
            <w:vAlign w:val="bottom"/>
            <w:vMerge w:val="continue"/>
          </w:tcPr>
          <w:p>
            <w:pPr>
              <w:spacing w:after="0"/>
              <w:rPr>
                <w:sz w:val="19"/>
                <w:szCs w:val="19"/>
                <w:color w:val="auto"/>
              </w:rPr>
            </w:pPr>
          </w:p>
        </w:tc>
        <w:tc>
          <w:tcPr>
            <w:tcW w:w="300" w:type="dxa"/>
            <w:vAlign w:val="bottom"/>
            <w:tcBorders>
              <w:left w:val="single" w:sz="8" w:color="auto"/>
              <w:bottom w:val="single" w:sz="8" w:color="auto"/>
              <w:right w:val="single" w:sz="8" w:color="auto"/>
            </w:tcBorders>
          </w:tcPr>
          <w:p>
            <w:pPr>
              <w:spacing w:after="0"/>
              <w:rPr>
                <w:sz w:val="19"/>
                <w:szCs w:val="19"/>
                <w:color w:val="auto"/>
              </w:rPr>
            </w:pPr>
          </w:p>
        </w:tc>
        <w:tc>
          <w:tcPr>
            <w:tcW w:w="80" w:type="dxa"/>
            <w:vAlign w:val="bottom"/>
            <w:vMerge w:val="continue"/>
          </w:tcPr>
          <w:p>
            <w:pPr>
              <w:spacing w:after="0"/>
              <w:rPr>
                <w:sz w:val="19"/>
                <w:szCs w:val="19"/>
                <w:color w:val="auto"/>
              </w:rPr>
            </w:pPr>
          </w:p>
        </w:tc>
        <w:tc>
          <w:tcPr>
            <w:tcW w:w="10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0" w:type="dxa"/>
            <w:vAlign w:val="bottom"/>
            <w:vMerge w:val="restart"/>
          </w:tcPr>
          <w:p>
            <w:pPr>
              <w:jc w:val="right"/>
              <w:spacing w:after="0"/>
              <w:rPr>
                <w:sz w:val="20"/>
                <w:szCs w:val="20"/>
                <w:color w:val="auto"/>
              </w:rPr>
            </w:pPr>
            <w:r>
              <w:rPr>
                <w:rFonts w:ascii="Arial" w:cs="Arial" w:eastAsia="Arial" w:hAnsi="Arial"/>
                <w:sz w:val="22"/>
                <w:szCs w:val="22"/>
                <w:color w:val="auto"/>
                <w:w w:val="76"/>
              </w:rPr>
              <w:t>d.</w:t>
            </w:r>
          </w:p>
        </w:tc>
        <w:tc>
          <w:tcPr>
            <w:tcW w:w="300" w:type="dxa"/>
            <w:vAlign w:val="bottom"/>
            <w:tcBorders>
              <w:bottom w:val="single" w:sz="8" w:color="auto"/>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10340" w:type="dxa"/>
            <w:vAlign w:val="bottom"/>
            <w:vMerge w:val="restart"/>
          </w:tcPr>
          <w:p>
            <w:pPr>
              <w:ind w:left="140"/>
              <w:spacing w:after="0"/>
              <w:rPr>
                <w:sz w:val="20"/>
                <w:szCs w:val="20"/>
                <w:color w:val="auto"/>
              </w:rPr>
            </w:pPr>
            <w:r>
              <w:rPr>
                <w:rFonts w:ascii="Arial" w:cs="Arial" w:eastAsia="Arial" w:hAnsi="Arial"/>
                <w:sz w:val="22"/>
                <w:szCs w:val="22"/>
                <w:color w:val="auto"/>
                <w:w w:val="98"/>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223"/>
        </w:trPr>
        <w:tc>
          <w:tcPr>
            <w:tcW w:w="200" w:type="dxa"/>
            <w:vAlign w:val="bottom"/>
            <w:vMerge w:val="continue"/>
          </w:tcPr>
          <w:p>
            <w:pPr>
              <w:spacing w:after="0"/>
              <w:rPr>
                <w:sz w:val="19"/>
                <w:szCs w:val="19"/>
                <w:color w:val="auto"/>
              </w:rPr>
            </w:pPr>
          </w:p>
        </w:tc>
        <w:tc>
          <w:tcPr>
            <w:tcW w:w="300" w:type="dxa"/>
            <w:vAlign w:val="bottom"/>
            <w:tcBorders>
              <w:left w:val="single" w:sz="8" w:color="auto"/>
              <w:bottom w:val="single" w:sz="8" w:color="auto"/>
              <w:right w:val="single" w:sz="8" w:color="auto"/>
            </w:tcBorders>
          </w:tcPr>
          <w:p>
            <w:pPr>
              <w:spacing w:after="0"/>
              <w:rPr>
                <w:sz w:val="19"/>
                <w:szCs w:val="19"/>
                <w:color w:val="auto"/>
              </w:rPr>
            </w:pPr>
          </w:p>
        </w:tc>
        <w:tc>
          <w:tcPr>
            <w:tcW w:w="80" w:type="dxa"/>
            <w:vAlign w:val="bottom"/>
            <w:vMerge w:val="continue"/>
          </w:tcPr>
          <w:p>
            <w:pPr>
              <w:spacing w:after="0"/>
              <w:rPr>
                <w:sz w:val="19"/>
                <w:szCs w:val="19"/>
                <w:color w:val="auto"/>
              </w:rPr>
            </w:pPr>
          </w:p>
        </w:tc>
        <w:tc>
          <w:tcPr>
            <w:tcW w:w="10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0" w:type="dxa"/>
            <w:vAlign w:val="bottom"/>
            <w:vMerge w:val="restart"/>
          </w:tcPr>
          <w:p>
            <w:pPr>
              <w:jc w:val="right"/>
              <w:spacing w:after="0"/>
              <w:rPr>
                <w:sz w:val="20"/>
                <w:szCs w:val="20"/>
                <w:color w:val="auto"/>
              </w:rPr>
            </w:pPr>
            <w:r>
              <w:rPr>
                <w:rFonts w:ascii="Arial" w:cs="Arial" w:eastAsia="Arial" w:hAnsi="Arial"/>
                <w:sz w:val="22"/>
                <w:szCs w:val="22"/>
                <w:color w:val="auto"/>
                <w:w w:val="76"/>
              </w:rPr>
              <w:t>e.</w:t>
            </w:r>
          </w:p>
        </w:tc>
        <w:tc>
          <w:tcPr>
            <w:tcW w:w="300" w:type="dxa"/>
            <w:vAlign w:val="bottom"/>
            <w:tcBorders>
              <w:bottom w:val="single" w:sz="8" w:color="auto"/>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10340" w:type="dxa"/>
            <w:vAlign w:val="bottom"/>
            <w:vMerge w:val="restart"/>
          </w:tcPr>
          <w:p>
            <w:pPr>
              <w:ind w:left="120"/>
              <w:spacing w:after="0"/>
              <w:rPr>
                <w:sz w:val="20"/>
                <w:szCs w:val="20"/>
                <w:color w:val="auto"/>
              </w:rPr>
            </w:pPr>
            <w:r>
              <w:rPr>
                <w:rFonts w:ascii="Arial" w:cs="Arial" w:eastAsia="Arial" w:hAnsi="Arial"/>
                <w:sz w:val="22"/>
                <w:szCs w:val="22"/>
                <w:color w:val="auto"/>
              </w:rPr>
              <w:t>An investment adviser in accordance with §240.13d-1(b)(1)(ii)(E);</w:t>
            </w:r>
          </w:p>
        </w:tc>
        <w:tc>
          <w:tcPr>
            <w:tcW w:w="0" w:type="dxa"/>
            <w:vAlign w:val="bottom"/>
          </w:tcPr>
          <w:p>
            <w:pPr>
              <w:spacing w:after="0"/>
              <w:rPr>
                <w:sz w:val="1"/>
                <w:szCs w:val="1"/>
                <w:color w:val="auto"/>
              </w:rPr>
            </w:pPr>
          </w:p>
        </w:tc>
      </w:tr>
      <w:tr>
        <w:trPr>
          <w:trHeight w:val="223"/>
        </w:trPr>
        <w:tc>
          <w:tcPr>
            <w:tcW w:w="200" w:type="dxa"/>
            <w:vAlign w:val="bottom"/>
            <w:vMerge w:val="continue"/>
          </w:tcPr>
          <w:p>
            <w:pPr>
              <w:spacing w:after="0"/>
              <w:rPr>
                <w:sz w:val="19"/>
                <w:szCs w:val="19"/>
                <w:color w:val="auto"/>
              </w:rPr>
            </w:pPr>
          </w:p>
        </w:tc>
        <w:tc>
          <w:tcPr>
            <w:tcW w:w="300" w:type="dxa"/>
            <w:vAlign w:val="bottom"/>
            <w:tcBorders>
              <w:left w:val="single" w:sz="8" w:color="auto"/>
              <w:bottom w:val="single" w:sz="8" w:color="auto"/>
              <w:right w:val="single" w:sz="8" w:color="auto"/>
            </w:tcBorders>
          </w:tcPr>
          <w:p>
            <w:pPr>
              <w:spacing w:after="0"/>
              <w:rPr>
                <w:sz w:val="19"/>
                <w:szCs w:val="19"/>
                <w:color w:val="auto"/>
              </w:rPr>
            </w:pPr>
          </w:p>
        </w:tc>
        <w:tc>
          <w:tcPr>
            <w:tcW w:w="80" w:type="dxa"/>
            <w:vAlign w:val="bottom"/>
            <w:vMerge w:val="continue"/>
          </w:tcPr>
          <w:p>
            <w:pPr>
              <w:spacing w:after="0"/>
              <w:rPr>
                <w:sz w:val="19"/>
                <w:szCs w:val="19"/>
                <w:color w:val="auto"/>
              </w:rPr>
            </w:pPr>
          </w:p>
        </w:tc>
        <w:tc>
          <w:tcPr>
            <w:tcW w:w="10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0" w:type="dxa"/>
            <w:vAlign w:val="bottom"/>
            <w:vMerge w:val="restart"/>
          </w:tcPr>
          <w:p>
            <w:pPr>
              <w:jc w:val="right"/>
              <w:spacing w:after="0"/>
              <w:rPr>
                <w:sz w:val="20"/>
                <w:szCs w:val="20"/>
                <w:color w:val="auto"/>
              </w:rPr>
            </w:pPr>
            <w:r>
              <w:rPr>
                <w:rFonts w:ascii="Arial" w:cs="Arial" w:eastAsia="Arial" w:hAnsi="Arial"/>
                <w:sz w:val="22"/>
                <w:szCs w:val="22"/>
                <w:color w:val="auto"/>
              </w:rPr>
              <w:t>f.</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340" w:type="dxa"/>
            <w:vAlign w:val="bottom"/>
            <w:vMerge w:val="restart"/>
          </w:tcPr>
          <w:p>
            <w:pPr>
              <w:ind w:left="200"/>
              <w:spacing w:after="0"/>
              <w:rPr>
                <w:sz w:val="20"/>
                <w:szCs w:val="20"/>
                <w:color w:val="auto"/>
              </w:rPr>
            </w:pPr>
            <w:r>
              <w:rPr>
                <w:rFonts w:ascii="Arial" w:cs="Arial" w:eastAsia="Arial" w:hAnsi="Arial"/>
                <w:sz w:val="22"/>
                <w:szCs w:val="22"/>
                <w:color w:val="auto"/>
              </w:rPr>
              <w:t>An employee benefit plan or endowment fund in accordance with §240.13d-1(b)(1)(ii)(F);</w:t>
            </w:r>
          </w:p>
        </w:tc>
        <w:tc>
          <w:tcPr>
            <w:tcW w:w="0" w:type="dxa"/>
            <w:vAlign w:val="bottom"/>
          </w:tcPr>
          <w:p>
            <w:pPr>
              <w:spacing w:after="0"/>
              <w:rPr>
                <w:sz w:val="1"/>
                <w:szCs w:val="1"/>
                <w:color w:val="auto"/>
              </w:rPr>
            </w:pPr>
          </w:p>
        </w:tc>
      </w:tr>
      <w:tr>
        <w:trPr>
          <w:trHeight w:val="223"/>
        </w:trPr>
        <w:tc>
          <w:tcPr>
            <w:tcW w:w="200" w:type="dxa"/>
            <w:vAlign w:val="bottom"/>
            <w:vMerge w:val="continue"/>
          </w:tcPr>
          <w:p>
            <w:pPr>
              <w:spacing w:after="0"/>
              <w:rPr>
                <w:sz w:val="19"/>
                <w:szCs w:val="19"/>
                <w:color w:val="auto"/>
              </w:rPr>
            </w:pPr>
          </w:p>
        </w:tc>
        <w:tc>
          <w:tcPr>
            <w:tcW w:w="300" w:type="dxa"/>
            <w:vAlign w:val="bottom"/>
            <w:tcBorders>
              <w:left w:val="single" w:sz="8" w:color="auto"/>
              <w:bottom w:val="single" w:sz="8" w:color="auto"/>
            </w:tcBorders>
          </w:tcPr>
          <w:p>
            <w:pPr>
              <w:ind w:left="80"/>
              <w:spacing w:after="0" w:line="223" w:lineRule="exact"/>
              <w:rPr>
                <w:sz w:val="20"/>
                <w:szCs w:val="20"/>
                <w:color w:val="auto"/>
              </w:rPr>
            </w:pPr>
            <w:r>
              <w:rPr>
                <w:rFonts w:ascii="Arial" w:cs="Arial" w:eastAsia="Arial" w:hAnsi="Arial"/>
                <w:sz w:val="22"/>
                <w:szCs w:val="22"/>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10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0" w:type="dxa"/>
            <w:vAlign w:val="bottom"/>
            <w:vMerge w:val="restart"/>
          </w:tcPr>
          <w:p>
            <w:pPr>
              <w:jc w:val="right"/>
              <w:spacing w:after="0"/>
              <w:rPr>
                <w:sz w:val="20"/>
                <w:szCs w:val="20"/>
                <w:color w:val="auto"/>
              </w:rPr>
            </w:pPr>
            <w:r>
              <w:rPr>
                <w:rFonts w:ascii="Arial" w:cs="Arial" w:eastAsia="Arial" w:hAnsi="Arial"/>
                <w:sz w:val="22"/>
                <w:szCs w:val="22"/>
                <w:color w:val="auto"/>
                <w:w w:val="76"/>
              </w:rPr>
              <w:t>g.</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340" w:type="dxa"/>
            <w:vAlign w:val="bottom"/>
            <w:vMerge w:val="restart"/>
          </w:tcPr>
          <w:p>
            <w:pPr>
              <w:ind w:left="120"/>
              <w:spacing w:after="0"/>
              <w:rPr>
                <w:sz w:val="20"/>
                <w:szCs w:val="20"/>
                <w:color w:val="auto"/>
              </w:rPr>
            </w:pPr>
            <w:r>
              <w:rPr>
                <w:rFonts w:ascii="Arial" w:cs="Arial" w:eastAsia="Arial" w:hAnsi="Arial"/>
                <w:sz w:val="22"/>
                <w:szCs w:val="22"/>
                <w:color w:val="auto"/>
              </w:rPr>
              <w:t>A parent holding company or control person in accordance with §240.13d-1(b)(1)(ii)(G);</w:t>
            </w:r>
          </w:p>
        </w:tc>
        <w:tc>
          <w:tcPr>
            <w:tcW w:w="0" w:type="dxa"/>
            <w:vAlign w:val="bottom"/>
          </w:tcPr>
          <w:p>
            <w:pPr>
              <w:spacing w:after="0"/>
              <w:rPr>
                <w:sz w:val="1"/>
                <w:szCs w:val="1"/>
                <w:color w:val="auto"/>
              </w:rPr>
            </w:pPr>
          </w:p>
        </w:tc>
      </w:tr>
      <w:tr>
        <w:trPr>
          <w:trHeight w:val="223"/>
        </w:trPr>
        <w:tc>
          <w:tcPr>
            <w:tcW w:w="200" w:type="dxa"/>
            <w:vAlign w:val="bottom"/>
            <w:vMerge w:val="continue"/>
          </w:tcPr>
          <w:p>
            <w:pPr>
              <w:spacing w:after="0"/>
              <w:rPr>
                <w:sz w:val="19"/>
                <w:szCs w:val="19"/>
                <w:color w:val="auto"/>
              </w:rPr>
            </w:pPr>
          </w:p>
        </w:tc>
        <w:tc>
          <w:tcPr>
            <w:tcW w:w="300" w:type="dxa"/>
            <w:vAlign w:val="bottom"/>
            <w:tcBorders>
              <w:left w:val="single" w:sz="8" w:color="auto"/>
              <w:bottom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0" w:type="dxa"/>
            <w:vAlign w:val="bottom"/>
            <w:vMerge w:val="restart"/>
          </w:tcPr>
          <w:p>
            <w:pPr>
              <w:jc w:val="right"/>
              <w:spacing w:after="0"/>
              <w:rPr>
                <w:sz w:val="20"/>
                <w:szCs w:val="20"/>
                <w:color w:val="auto"/>
              </w:rPr>
            </w:pPr>
            <w:r>
              <w:rPr>
                <w:rFonts w:ascii="Arial" w:cs="Arial" w:eastAsia="Arial" w:hAnsi="Arial"/>
                <w:sz w:val="22"/>
                <w:szCs w:val="22"/>
                <w:color w:val="auto"/>
                <w:w w:val="76"/>
              </w:rPr>
              <w:t>h.</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340" w:type="dxa"/>
            <w:vAlign w:val="bottom"/>
            <w:vMerge w:val="restart"/>
          </w:tcPr>
          <w:p>
            <w:pPr>
              <w:ind w:left="120"/>
              <w:spacing w:after="0"/>
              <w:rPr>
                <w:sz w:val="20"/>
                <w:szCs w:val="20"/>
                <w:color w:val="auto"/>
              </w:rPr>
            </w:pPr>
            <w:r>
              <w:rPr>
                <w:rFonts w:ascii="Arial" w:cs="Arial" w:eastAsia="Arial" w:hAnsi="Arial"/>
                <w:sz w:val="22"/>
                <w:szCs w:val="22"/>
                <w:color w:val="auto"/>
              </w:rPr>
              <w:t>A savings associations as defined in Section 3(b) of the Federal Deposit Insurance Act (12 U.S.C. 1813);</w:t>
            </w:r>
          </w:p>
        </w:tc>
        <w:tc>
          <w:tcPr>
            <w:tcW w:w="0" w:type="dxa"/>
            <w:vAlign w:val="bottom"/>
          </w:tcPr>
          <w:p>
            <w:pPr>
              <w:spacing w:after="0"/>
              <w:rPr>
                <w:sz w:val="1"/>
                <w:szCs w:val="1"/>
                <w:color w:val="auto"/>
              </w:rPr>
            </w:pPr>
          </w:p>
        </w:tc>
      </w:tr>
      <w:tr>
        <w:trPr>
          <w:trHeight w:val="223"/>
        </w:trPr>
        <w:tc>
          <w:tcPr>
            <w:tcW w:w="200" w:type="dxa"/>
            <w:vAlign w:val="bottom"/>
            <w:vMerge w:val="continue"/>
          </w:tcPr>
          <w:p>
            <w:pPr>
              <w:spacing w:after="0"/>
              <w:rPr>
                <w:sz w:val="19"/>
                <w:szCs w:val="19"/>
                <w:color w:val="auto"/>
              </w:rPr>
            </w:pPr>
          </w:p>
        </w:tc>
        <w:tc>
          <w:tcPr>
            <w:tcW w:w="300" w:type="dxa"/>
            <w:vAlign w:val="bottom"/>
            <w:tcBorders>
              <w:left w:val="single" w:sz="8" w:color="auto"/>
              <w:bottom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0" w:type="dxa"/>
            <w:vAlign w:val="bottom"/>
            <w:vMerge w:val="restart"/>
          </w:tcPr>
          <w:p>
            <w:pPr>
              <w:jc w:val="right"/>
              <w:spacing w:after="0"/>
              <w:rPr>
                <w:sz w:val="20"/>
                <w:szCs w:val="20"/>
                <w:color w:val="auto"/>
              </w:rPr>
            </w:pPr>
            <w:r>
              <w:rPr>
                <w:rFonts w:ascii="Arial" w:cs="Arial" w:eastAsia="Arial" w:hAnsi="Arial"/>
                <w:sz w:val="22"/>
                <w:szCs w:val="22"/>
                <w:color w:val="auto"/>
              </w:rPr>
              <w:t>i.</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340" w:type="dxa"/>
            <w:vAlign w:val="bottom"/>
            <w:vMerge w:val="restart"/>
          </w:tcPr>
          <w:p>
            <w:pPr>
              <w:ind w:left="120"/>
              <w:spacing w:after="0"/>
              <w:rPr>
                <w:sz w:val="20"/>
                <w:szCs w:val="20"/>
                <w:color w:val="auto"/>
              </w:rPr>
            </w:pPr>
            <w:r>
              <w:rPr>
                <w:rFonts w:ascii="Arial" w:cs="Arial" w:eastAsia="Arial" w:hAnsi="Arial"/>
                <w:sz w:val="22"/>
                <w:szCs w:val="22"/>
                <w:color w:val="auto"/>
                <w:w w:val="89"/>
              </w:rPr>
              <w:t>A church plan that is excluded from the definition of an investment company under section 3(c)(14) of the Investment</w:t>
            </w:r>
          </w:p>
        </w:tc>
        <w:tc>
          <w:tcPr>
            <w:tcW w:w="0" w:type="dxa"/>
            <w:vAlign w:val="bottom"/>
          </w:tcPr>
          <w:p>
            <w:pPr>
              <w:spacing w:after="0"/>
              <w:rPr>
                <w:sz w:val="1"/>
                <w:szCs w:val="1"/>
                <w:color w:val="auto"/>
              </w:rPr>
            </w:pPr>
          </w:p>
        </w:tc>
      </w:tr>
      <w:tr>
        <w:trPr>
          <w:trHeight w:val="223"/>
        </w:trPr>
        <w:tc>
          <w:tcPr>
            <w:tcW w:w="200" w:type="dxa"/>
            <w:vAlign w:val="bottom"/>
            <w:vMerge w:val="continue"/>
          </w:tcPr>
          <w:p>
            <w:pPr>
              <w:spacing w:after="0"/>
              <w:rPr>
                <w:sz w:val="19"/>
                <w:szCs w:val="19"/>
                <w:color w:val="auto"/>
              </w:rPr>
            </w:pPr>
          </w:p>
        </w:tc>
        <w:tc>
          <w:tcPr>
            <w:tcW w:w="300" w:type="dxa"/>
            <w:vAlign w:val="bottom"/>
            <w:tcBorders>
              <w:left w:val="single" w:sz="8" w:color="auto"/>
              <w:bottom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0" w:type="dxa"/>
            <w:vAlign w:val="bottom"/>
          </w:tcPr>
          <w:p>
            <w:pPr>
              <w:spacing w:after="0"/>
              <w:rPr>
                <w:sz w:val="24"/>
                <w:szCs w:val="24"/>
                <w:color w:val="auto"/>
              </w:rPr>
            </w:pPr>
          </w:p>
        </w:tc>
        <w:tc>
          <w:tcPr>
            <w:tcW w:w="10720" w:type="dxa"/>
            <w:vAlign w:val="bottom"/>
            <w:gridSpan w:val="3"/>
          </w:tcPr>
          <w:p>
            <w:pPr>
              <w:spacing w:after="0"/>
              <w:rPr>
                <w:sz w:val="20"/>
                <w:szCs w:val="20"/>
                <w:color w:val="auto"/>
              </w:rPr>
            </w:pPr>
            <w:r>
              <w:rPr>
                <w:rFonts w:ascii="Arial" w:cs="Arial" w:eastAsia="Arial" w:hAnsi="Arial"/>
                <w:sz w:val="22"/>
                <w:szCs w:val="22"/>
                <w:color w:val="auto"/>
              </w:rPr>
              <w:t>Company Act of 1940 (15 U.S.C. 80a-3);</w:t>
            </w:r>
          </w:p>
        </w:tc>
        <w:tc>
          <w:tcPr>
            <w:tcW w:w="0" w:type="dxa"/>
            <w:vAlign w:val="bottom"/>
          </w:tcPr>
          <w:p>
            <w:pPr>
              <w:spacing w:after="0"/>
              <w:rPr>
                <w:sz w:val="1"/>
                <w:szCs w:val="1"/>
                <w:color w:val="auto"/>
              </w:rPr>
            </w:pPr>
          </w:p>
        </w:tc>
      </w:tr>
      <w:tr>
        <w:trPr>
          <w:trHeight w:val="162"/>
        </w:trPr>
        <w:tc>
          <w:tcPr>
            <w:tcW w:w="200" w:type="dxa"/>
            <w:vAlign w:val="bottom"/>
            <w:vMerge w:val="restart"/>
          </w:tcPr>
          <w:p>
            <w:pPr>
              <w:jc w:val="right"/>
              <w:spacing w:after="0"/>
              <w:rPr>
                <w:sz w:val="20"/>
                <w:szCs w:val="20"/>
                <w:color w:val="auto"/>
              </w:rPr>
            </w:pPr>
            <w:r>
              <w:rPr>
                <w:rFonts w:ascii="Arial" w:cs="Arial" w:eastAsia="Arial" w:hAnsi="Arial"/>
                <w:sz w:val="22"/>
                <w:szCs w:val="22"/>
                <w:color w:val="auto"/>
              </w:rPr>
              <w:t>j.</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340" w:type="dxa"/>
            <w:vAlign w:val="bottom"/>
            <w:vMerge w:val="restart"/>
          </w:tcPr>
          <w:p>
            <w:pPr>
              <w:ind w:left="140"/>
              <w:spacing w:after="0"/>
              <w:rPr>
                <w:sz w:val="20"/>
                <w:szCs w:val="20"/>
                <w:color w:val="auto"/>
              </w:rPr>
            </w:pPr>
            <w:r>
              <w:rPr>
                <w:rFonts w:ascii="Arial" w:cs="Arial" w:eastAsia="Arial" w:hAnsi="Arial"/>
                <w:sz w:val="22"/>
                <w:szCs w:val="22"/>
                <w:color w:val="auto"/>
              </w:rPr>
              <w:t>Group, in accordance with §240.13d-1(b)(1)(ii)(J).</w:t>
            </w:r>
          </w:p>
        </w:tc>
        <w:tc>
          <w:tcPr>
            <w:tcW w:w="0" w:type="dxa"/>
            <w:vAlign w:val="bottom"/>
          </w:tcPr>
          <w:p>
            <w:pPr>
              <w:spacing w:after="0"/>
              <w:rPr>
                <w:sz w:val="1"/>
                <w:szCs w:val="1"/>
                <w:color w:val="auto"/>
              </w:rPr>
            </w:pPr>
          </w:p>
        </w:tc>
      </w:tr>
      <w:tr>
        <w:trPr>
          <w:trHeight w:val="223"/>
        </w:trPr>
        <w:tc>
          <w:tcPr>
            <w:tcW w:w="200" w:type="dxa"/>
            <w:vAlign w:val="bottom"/>
            <w:vMerge w:val="continue"/>
          </w:tcPr>
          <w:p>
            <w:pPr>
              <w:spacing w:after="0"/>
              <w:rPr>
                <w:sz w:val="19"/>
                <w:szCs w:val="19"/>
                <w:color w:val="auto"/>
              </w:rPr>
            </w:pPr>
          </w:p>
        </w:tc>
        <w:tc>
          <w:tcPr>
            <w:tcW w:w="300" w:type="dxa"/>
            <w:vAlign w:val="bottom"/>
            <w:tcBorders>
              <w:left w:val="single" w:sz="8" w:color="auto"/>
              <w:bottom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940" w:right="399" w:bottom="640" w:gutter="0" w:footer="0" w:header="0"/>
        </w:sectPr>
      </w:pPr>
    </w:p>
    <w:bookmarkStart w:id="3" w:name="page4"/>
    <w:bookmarkEnd w:id="3"/>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Item 4. Ownership</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Amount beneficially owned:</w:t>
      </w:r>
    </w:p>
    <w:p>
      <w:pPr>
        <w:spacing w:after="0" w:line="9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3,518,421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7620</wp:posOffset>
            </wp:positionV>
            <wp:extent cx="69037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 Percent of class:</w:t>
      </w:r>
    </w:p>
    <w:p>
      <w:pPr>
        <w:spacing w:after="0" w:line="9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7620</wp:posOffset>
            </wp:positionV>
            <wp:extent cx="69037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 Number of shares as to which the person has:</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 Sole power to vote or to direct the vote:</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3,518,421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7620</wp:posOffset>
            </wp:positionV>
            <wp:extent cx="65601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200" w:lineRule="exact"/>
        <w:rPr>
          <w:sz w:val="20"/>
          <w:szCs w:val="20"/>
          <w:color w:val="auto"/>
        </w:rPr>
      </w:pPr>
    </w:p>
    <w:p>
      <w:pPr>
        <w:ind w:left="1080" w:right="6580" w:hanging="221"/>
        <w:spacing w:after="0" w:line="353" w:lineRule="auto"/>
        <w:tabs>
          <w:tab w:leader="none" w:pos="1080"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-80645</wp:posOffset>
            </wp:positionV>
            <wp:extent cx="65601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60" w:lineRule="exact"/>
        <w:rPr>
          <w:sz w:val="20"/>
          <w:szCs w:val="20"/>
          <w:color w:val="auto"/>
        </w:rPr>
      </w:pPr>
    </w:p>
    <w:p>
      <w:pPr>
        <w:ind w:left="1080" w:right="5720" w:hanging="275"/>
        <w:spacing w:after="0" w:line="353" w:lineRule="auto"/>
        <w:tabs>
          <w:tab w:leader="none" w:pos="1080" w:val="left"/>
        </w:tabs>
        <w:numPr>
          <w:ilvl w:val="0"/>
          <w:numId w:val="7"/>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3,518,421</w:t>
      </w:r>
    </w:p>
    <w:p>
      <w:pPr>
        <w:spacing w:after="0" w:line="79" w:lineRule="exact"/>
        <w:rPr>
          <w:rFonts w:ascii="Arial" w:cs="Arial" w:eastAsia="Arial" w:hAnsi="Arial"/>
          <w:sz w:val="22"/>
          <w:szCs w:val="22"/>
          <w:color w:val="auto"/>
        </w:rPr>
      </w:pPr>
    </w:p>
    <w:p>
      <w:pPr>
        <w:ind w:left="1080" w:right="5500" w:hanging="262"/>
        <w:spacing w:after="0" w:line="353" w:lineRule="auto"/>
        <w:tabs>
          <w:tab w:leader="none" w:pos="1080" w:val="left"/>
        </w:tabs>
        <w:numPr>
          <w:ilvl w:val="0"/>
          <w:numId w:val="7"/>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-603885</wp:posOffset>
            </wp:positionV>
            <wp:extent cx="65601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-80645</wp:posOffset>
            </wp:positionV>
            <wp:extent cx="65601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5. Ownership of Five Percent or Less of a Class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tcBorders>
              <w:right w:val="single" w:sz="8" w:color="auto"/>
            </w:tcBorders>
          </w:tcPr>
          <w:p>
            <w:pPr>
              <w:spacing w:after="0" w:line="223" w:lineRule="exact"/>
              <w:rPr>
                <w:sz w:val="20"/>
                <w:szCs w:val="20"/>
                <w:color w:val="auto"/>
              </w:rPr>
            </w:pPr>
            <w:r>
              <w:rPr>
                <w:rFonts w:ascii="Arial" w:cs="Arial" w:eastAsia="Arial" w:hAnsi="Arial"/>
                <w:sz w:val="22"/>
                <w:szCs w:val="22"/>
                <w:color w:val="auto"/>
                <w:w w:val="91"/>
              </w:rPr>
              <w:t>of more than five percent of the class of securities, check the following</w:t>
            </w:r>
          </w:p>
        </w:tc>
        <w:tc>
          <w:tcPr>
            <w:tcW w:w="280" w:type="dxa"/>
            <w:vAlign w:val="bottom"/>
            <w:tcBorders>
              <w:top w:val="single" w:sz="8" w:color="auto"/>
              <w:bottom w:val="single" w:sz="8" w:color="auto"/>
              <w:right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Ownership of More than Five Percent on Behalf of Another Person.</w:t>
      </w:r>
    </w:p>
    <w:p>
      <w:pPr>
        <w:sectPr>
          <w:pgSz w:w="11900" w:h="16838" w:orient="portrait"/>
          <w:cols w:equalWidth="0" w:num="1">
            <w:col w:w="11320"/>
          </w:cols>
          <w:pgMar w:left="240" w:top="940" w:right="339" w:bottom="1440" w:gutter="0" w:footer="0" w:header="0"/>
        </w:sectPr>
      </w:pPr>
    </w:p>
    <w:bookmarkStart w:id="4" w:name="page5"/>
    <w:bookmarkEnd w:id="4"/>
    <w:p>
      <w:pPr>
        <w:spacing w:after="0" w:line="305" w:lineRule="auto"/>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Item 7. Identification and Classification of the Subsidiary Which Acquired the Security Being Reported on By the Parent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674370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8. Identification and Classification of Members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749935</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749935</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10. Certification</w:t>
      </w:r>
    </w:p>
    <w:p>
      <w:pPr>
        <w:spacing w:after="0" w:line="29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140"/>
          </w:cols>
          <w:pgMar w:left="240" w:top="940" w:right="519" w:bottom="1440" w:gutter="0" w:footer="0" w:header="0"/>
        </w:sectPr>
      </w:pPr>
    </w:p>
    <w:bookmarkStart w:id="5" w:name="page6"/>
    <w:bookmarkEnd w:id="5"/>
    <w:p>
      <w:pPr>
        <w:spacing w:after="0"/>
        <w:rPr>
          <w:sz w:val="20"/>
          <w:szCs w:val="20"/>
          <w:color w:val="auto"/>
        </w:rPr>
      </w:pPr>
      <w:r>
        <w:rPr>
          <w:rFonts w:ascii="Arial" w:cs="Arial" w:eastAsia="Arial" w:hAnsi="Arial"/>
          <w:sz w:val="25"/>
          <w:szCs w:val="25"/>
          <w:i w:val="1"/>
          <w:i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Signature</w:t>
      </w:r>
    </w:p>
    <w:p>
      <w:pPr>
        <w:spacing w:after="0" w:line="27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February 12,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Stichting Pensioenfonds ABP</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 Kim Killion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Signature</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Kim Killion</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Acting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 Title</w:t>
      </w:r>
    </w:p>
    <w:p>
      <w:pPr>
        <w:spacing w:after="0" w:line="196"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i w:val="1"/>
          <w:iCs w:val="1"/>
          <w:color w:val="auto"/>
        </w:rPr>
        <w:t>NOTE</w:t>
      </w:r>
      <w:r>
        <w:rPr>
          <w:rFonts w:ascii="Arial" w:cs="Arial" w:eastAsia="Arial" w:hAnsi="Arial"/>
          <w:sz w:val="22"/>
          <w:szCs w:val="22"/>
          <w:color w:val="auto"/>
        </w:rPr>
        <w:t>: Schedules filed in paper format shall include a signed original and five copies of the schedule, including all exhibits.</w:t>
      </w:r>
      <w:r>
        <w:rPr>
          <w:rFonts w:ascii="Arial" w:cs="Arial" w:eastAsia="Arial" w:hAnsi="Arial"/>
          <w:sz w:val="22"/>
          <w:szCs w:val="22"/>
          <w:i w:val="1"/>
          <w:iCs w:val="1"/>
          <w:color w:val="auto"/>
        </w:rPr>
        <w:t xml:space="preserve"> See </w:t>
      </w:r>
      <w:r>
        <w:rPr>
          <w:rFonts w:ascii="Arial" w:cs="Arial" w:eastAsia="Arial" w:hAnsi="Arial"/>
          <w:sz w:val="22"/>
          <w:szCs w:val="22"/>
          <w:color w:val="auto"/>
        </w:rPr>
        <w:t>§240.13d-7 for other parties for whom copies are to be sent.</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51435"/>
                    </a:xfrm>
                    <a:prstGeom prst="rect">
                      <a:avLst/>
                    </a:prstGeom>
                    <a:noFill/>
                  </pic:spPr>
                </pic:pic>
              </a:graphicData>
            </a:graphic>
          </wp:anchor>
        </w:drawing>
      </w:r>
    </w:p>
    <w:sectPr>
      <w:pgSz w:w="11900" w:h="16838" w:orient="portrait"/>
      <w:cols w:equalWidth="0" w:num="1">
        <w:col w:w="11360"/>
      </w:cols>
      <w:pgMar w:left="240" w:top="94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
    <w:nsid w:val="46E87CCD"/>
    <w:multiLevelType w:val="hybridMultilevel"/>
    <w:lvl w:ilvl="0">
      <w:lvlJc w:val="left"/>
      <w:lvlText w:val="%1"/>
      <w:numFmt w:val="decimal"/>
      <w:start w:val="1"/>
    </w:lvl>
    <w:lvl w:ilvl="1">
      <w:lvlJc w:val="left"/>
      <w:lvlText w:val="%2."/>
      <w:numFmt w:val="decimal"/>
      <w:start w:val="8"/>
    </w:lvl>
  </w:abstractNum>
  <w:abstractNum w:abstractNumId="3">
    <w:nsid w:val="3D1B58BA"/>
    <w:multiLevelType w:val="hybridMultilevel"/>
    <w:lvl w:ilvl="0">
      <w:lvlJc w:val="left"/>
      <w:lvlText w:val="%1."/>
      <w:numFmt w:val="decimal"/>
      <w:start w:val="9"/>
    </w:lvl>
    <w:lvl w:ilvl="1">
      <w:lvlJc w:val="left"/>
      <w:lvlText w:val="%2"/>
      <w:numFmt w:val="decimal"/>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2019-12-10T00:01:12Z</dcterms:created>
  <dcterms:modified xsi:type="dcterms:W3CDTF">2019-12-10T00:01:12Z</dcterms:modified>
</cp:coreProperties>
</file>