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1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212090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FEDERAL REALTY INVESTMENT TRUST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6520" w:type="dxa"/>
            <w:vAlign w:val="bottom"/>
          </w:tcPr>
          <w:p>
            <w:pPr>
              <w:jc w:val="center"/>
              <w:ind w:right="2862"/>
              <w:spacing w:after="0"/>
              <w:rPr>
                <w:sz w:val="20"/>
                <w:szCs w:val="20"/>
                <w:color w:val="auto"/>
              </w:rPr>
            </w:pPr>
            <w:r>
              <w:rPr>
                <w:rFonts w:ascii="Arial" w:cs="Arial" w:eastAsia="Arial" w:hAnsi="Arial"/>
                <w:sz w:val="18"/>
                <w:szCs w:val="18"/>
                <w:b w:val="1"/>
                <w:bCs w:val="1"/>
                <w:color w:val="auto"/>
                <w:w w:val="93"/>
              </w:rPr>
              <w:t>Maryland</w:t>
            </w:r>
          </w:p>
        </w:tc>
        <w:tc>
          <w:tcPr>
            <w:tcW w:w="218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520" w:type="dxa"/>
            <w:vAlign w:val="bottom"/>
          </w:tcPr>
          <w:p>
            <w:pPr>
              <w:jc w:val="center"/>
              <w:ind w:right="2862"/>
              <w:spacing w:after="0"/>
              <w:rPr>
                <w:sz w:val="20"/>
                <w:szCs w:val="20"/>
                <w:color w:val="auto"/>
              </w:rPr>
            </w:pPr>
            <w:r>
              <w:rPr>
                <w:rFonts w:ascii="Arial" w:cs="Arial" w:eastAsia="Arial" w:hAnsi="Arial"/>
                <w:sz w:val="14"/>
                <w:szCs w:val="14"/>
                <w:b w:val="1"/>
                <w:bCs w:val="1"/>
                <w:color w:val="auto"/>
                <w:w w:val="89"/>
              </w:rPr>
              <w:t>(State of Organization)</w:t>
            </w:r>
          </w:p>
        </w:tc>
        <w:tc>
          <w:tcPr>
            <w:tcW w:w="218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6520" w:type="dxa"/>
            <w:vAlign w:val="bottom"/>
          </w:tcPr>
          <w:p>
            <w:pPr>
              <w:jc w:val="center"/>
              <w:ind w:right="28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8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520" w:type="dxa"/>
            <w:vAlign w:val="bottom"/>
          </w:tcPr>
          <w:p>
            <w:pPr>
              <w:jc w:val="center"/>
              <w:ind w:right="28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80" w:type="dxa"/>
            <w:vAlign w:val="bottom"/>
          </w:tcPr>
          <w:p>
            <w:pPr>
              <w:jc w:val="center"/>
              <w:ind w:left="142"/>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6520" w:type="dxa"/>
            <w:vAlign w:val="bottom"/>
          </w:tcPr>
          <w:p>
            <w:pPr>
              <w:jc w:val="right"/>
              <w:ind w:right="1202"/>
              <w:spacing w:after="0"/>
              <w:rPr>
                <w:sz w:val="20"/>
                <w:szCs w:val="20"/>
                <w:color w:val="auto"/>
              </w:rPr>
            </w:pPr>
            <w:r>
              <w:rPr>
                <w:rFonts w:ascii="Arial" w:cs="Arial" w:eastAsia="Arial" w:hAnsi="Arial"/>
                <w:sz w:val="18"/>
                <w:szCs w:val="18"/>
                <w:b w:val="1"/>
                <w:bCs w:val="1"/>
                <w:color w:val="auto"/>
              </w:rPr>
              <w:t>(301) 998-8100</w:t>
            </w:r>
          </w:p>
        </w:tc>
        <w:tc>
          <w:tcPr>
            <w:tcW w:w="2180" w:type="dxa"/>
            <w:vAlign w:val="bottom"/>
          </w:tcPr>
          <w:p>
            <w:pPr>
              <w:spacing w:after="0"/>
              <w:rPr>
                <w:sz w:val="24"/>
                <w:szCs w:val="24"/>
                <w:color w:val="auto"/>
              </w:rPr>
            </w:pPr>
          </w:p>
        </w:tc>
      </w:tr>
      <w:tr>
        <w:trPr>
          <w:trHeight w:val="174"/>
        </w:trPr>
        <w:tc>
          <w:tcPr>
            <w:tcW w:w="6520" w:type="dxa"/>
            <w:vAlign w:val="bottom"/>
          </w:tcPr>
          <w:p>
            <w:pPr>
              <w:jc w:val="center"/>
              <w:ind w:left="278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4000" w:type="dxa"/>
            <w:vAlign w:val="bottom"/>
          </w:tcPr>
          <w:p>
            <w:pPr>
              <w:ind w:left="10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060" w:type="dxa"/>
            <w:vAlign w:val="bottom"/>
          </w:tcPr>
          <w:p>
            <w:pPr>
              <w:ind w:left="11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36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r>
      <w:tr>
        <w:trPr>
          <w:trHeight w:val="378"/>
        </w:trPr>
        <w:tc>
          <w:tcPr>
            <w:tcW w:w="806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Act).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Yes</w:t>
            </w:r>
          </w:p>
        </w:tc>
        <w:tc>
          <w:tcPr>
            <w:tcW w:w="33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358"/>
        </w:trPr>
        <w:tc>
          <w:tcPr>
            <w:tcW w:w="806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May 1, 2006 was 53,047,258.</w:t>
            </w:r>
          </w:p>
        </w:tc>
        <w:tc>
          <w:tcPr>
            <w:tcW w:w="3360" w:type="dxa"/>
            <w:vAlign w:val="bottom"/>
          </w:tcPr>
          <w:p>
            <w:pPr>
              <w:spacing w:after="0"/>
              <w:rPr>
                <w:sz w:val="24"/>
                <w:szCs w:val="24"/>
                <w:color w:val="auto"/>
              </w:rPr>
            </w:pPr>
          </w:p>
        </w:tc>
      </w:tr>
      <w:tr>
        <w:trPr>
          <w:trHeight w:val="215"/>
        </w:trPr>
        <w:tc>
          <w:tcPr>
            <w:tcW w:w="400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QUARTERLY REPORT ON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2006</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92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14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2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60" w:type="dxa"/>
            <w:vAlign w:val="bottom"/>
            <w:gridSpan w:val="11"/>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7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Balance Sheets March 31, 2006 (unaudited) and December 31, 2005</w:t>
              </w:r>
            </w:hyperlink>
          </w:p>
        </w:tc>
        <w:tc>
          <w:tcPr>
            <w:tcW w:w="348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20" w:type="dxa"/>
            <w:vAlign w:val="bottom"/>
          </w:tcPr>
          <w:p>
            <w:pPr>
              <w:spacing w:after="0"/>
              <w:rPr>
                <w:sz w:val="17"/>
                <w:szCs w:val="17"/>
                <w:color w:val="auto"/>
              </w:rPr>
            </w:pPr>
          </w:p>
        </w:tc>
        <w:tc>
          <w:tcPr>
            <w:tcW w:w="68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(unaudited) three months ended March 31, 2006 and 2005</w:t>
              </w:r>
            </w:hyperlink>
          </w:p>
        </w:tc>
        <w:tc>
          <w:tcPr>
            <w:tcW w:w="238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20" w:type="dxa"/>
            <w:vAlign w:val="bottom"/>
          </w:tcPr>
          <w:p>
            <w:pPr>
              <w:spacing w:after="0"/>
              <w:rPr>
                <w:sz w:val="17"/>
                <w:szCs w:val="17"/>
                <w:color w:val="auto"/>
              </w:rPr>
            </w:pPr>
          </w:p>
        </w:tc>
        <w:tc>
          <w:tcPr>
            <w:tcW w:w="9260" w:type="dxa"/>
            <w:vAlign w:val="bottom"/>
            <w:gridSpan w:val="19"/>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Statements of Common Shareholders’ Equity (unaudited) three months ended March 31, 2006 and 2005</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20" w:type="dxa"/>
            <w:vAlign w:val="bottom"/>
          </w:tcPr>
          <w:p>
            <w:pPr>
              <w:spacing w:after="0"/>
              <w:rPr>
                <w:sz w:val="17"/>
                <w:szCs w:val="17"/>
                <w:color w:val="auto"/>
              </w:rPr>
            </w:pPr>
          </w:p>
        </w:tc>
        <w:tc>
          <w:tcPr>
            <w:tcW w:w="8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three months ended March 31, 2006 and 2005</w:t>
              </w:r>
            </w:hyperlink>
          </w:p>
        </w:tc>
        <w:tc>
          <w:tcPr>
            <w:tcW w:w="9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2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Consolidated Financial Statements</w:t>
              </w:r>
            </w:hyperlink>
          </w:p>
        </w:tc>
        <w:tc>
          <w:tcPr>
            <w:tcW w:w="3840" w:type="dxa"/>
            <w:vAlign w:val="bottom"/>
            <w:tcBorders>
              <w:top w:val="single" w:sz="8" w:color="0000EE"/>
            </w:tcBorders>
            <w:gridSpan w:val="7"/>
          </w:tcPr>
          <w:p>
            <w:pPr>
              <w:spacing w:after="0"/>
              <w:rPr>
                <w:sz w:val="17"/>
                <w:szCs w:val="17"/>
                <w:color w:val="auto"/>
              </w:rPr>
            </w:pPr>
          </w:p>
        </w:tc>
        <w:tc>
          <w:tcPr>
            <w:tcW w:w="234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296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06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OTHER INFORMATION</w:t>
              </w:r>
            </w:hyperlink>
          </w:p>
        </w:tc>
        <w:tc>
          <w:tcPr>
            <w:tcW w:w="742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26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960" w:type="dxa"/>
            <w:vAlign w:val="bottom"/>
            <w:gridSpan w:val="1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502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Submission of Matters to a Vote of Security Holders</w:t>
              </w:r>
            </w:hyperlink>
          </w:p>
        </w:tc>
        <w:tc>
          <w:tcPr>
            <w:tcW w:w="5580" w:type="dxa"/>
            <w:vAlign w:val="bottom"/>
            <w:gridSpan w:val="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26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7980" w:type="dxa"/>
            <w:vAlign w:val="bottom"/>
            <w:gridSpan w:val="1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balance sheet as of December 31, 2005,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months ended March 31, 2006 are not necessarily indicative of the results that may be expected for the full year.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60" w:type="dxa"/>
            <w:vAlign w:val="bottom"/>
            <w:gridSpan w:val="5"/>
          </w:tcPr>
          <w:p>
            <w:pPr>
              <w:jc w:val="right"/>
              <w:ind w:right="460"/>
              <w:spacing w:after="0" w:line="130" w:lineRule="exact"/>
              <w:rPr>
                <w:sz w:val="20"/>
                <w:szCs w:val="20"/>
                <w:color w:val="auto"/>
              </w:rPr>
            </w:pPr>
            <w:r>
              <w:rPr>
                <w:rFonts w:ascii="Arial" w:cs="Arial" w:eastAsia="Arial" w:hAnsi="Arial"/>
                <w:sz w:val="14"/>
                <w:szCs w:val="14"/>
                <w:b w:val="1"/>
                <w:bCs w:val="1"/>
                <w:color w:val="auto"/>
                <w:w w:val="95"/>
              </w:rPr>
              <w:t>(In thousands, except per share data)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2,774,603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55,579</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2,845,436</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2,829,321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(682,049)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(663,750)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Net real estate</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2,163,387</w:t>
            </w: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2,165,571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Accounts and notes receivable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39,413</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notes receivable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40,368</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9,376</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85,590</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Debt issuance costs, net of accumulated amortization of $8,116 and $7,592, respectively</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2,347,869</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Mortgages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269,951</w:t>
            </w:r>
          </w:p>
        </w:tc>
        <w:tc>
          <w:tcPr>
            <w:tcW w:w="8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270,898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Obligations under capital leases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148,516</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360,210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notes and debentures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613,316</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86,910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payable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31,344</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Security deposits payable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8,952</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1,558,676</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1,556,812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Commitments and contingencies (Note 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Preferred stock, authorized 15,000,000 shares, $.01 par: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8.5% Series B Cumulative Redeemable Preferred Shares, (stated at liquidation preference $25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per share), 5,400,000 shares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w w:val="99"/>
              </w:rPr>
              <w:t>Common shares, $.01 par, 100,000,000 shares authorized, 54,515,403 and 54,371,057 issued,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10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1,112,337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12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(449,692)</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shares at cost, 1,480,798 and 1,480,360, respectively</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(28,806)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Deferred compensation on unvested shares</w:t>
            </w:r>
          </w:p>
        </w:tc>
        <w:tc>
          <w:tcPr>
            <w:tcW w:w="12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from issuance of common shares</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769,713</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2,347,869</w:t>
            </w:r>
          </w:p>
        </w:tc>
        <w:tc>
          <w:tcPr>
            <w:tcW w:w="8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4"/>
              <w:spacing w:after="0" w:line="143"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105,488</w:t>
            </w:r>
          </w:p>
        </w:tc>
        <w:tc>
          <w:tcPr>
            <w:tcW w:w="4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98,307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108,905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10,611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24,036</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59,225</w:t>
            </w:r>
          </w:p>
        </w:tc>
        <w:tc>
          <w:tcPr>
            <w:tcW w:w="60" w:type="dxa"/>
            <w:vAlign w:val="bottom"/>
            <w:shd w:val="clear" w:color="auto" w:fill="CCEEFF"/>
          </w:tcPr>
          <w:p>
            <w:pPr>
              <w:spacing w:after="0"/>
              <w:rPr>
                <w:sz w:val="18"/>
                <w:szCs w:val="18"/>
                <w:color w:val="auto"/>
              </w:rPr>
            </w:pPr>
          </w:p>
        </w:tc>
      </w:tr>
      <w:tr>
        <w:trPr>
          <w:trHeight w:val="221"/>
        </w:trPr>
        <w:tc>
          <w:tcPr>
            <w:tcW w:w="8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47,567</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42,293</w:t>
            </w:r>
          </w:p>
        </w:tc>
        <w:tc>
          <w:tcPr>
            <w:tcW w:w="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(24,280)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(22,063)</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2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(1,073)</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(1,516)</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19,176</w:t>
            </w:r>
          </w:p>
        </w:tc>
        <w:tc>
          <w:tcPr>
            <w:tcW w:w="60" w:type="dxa"/>
            <w:vAlign w:val="bottom"/>
            <w:shd w:val="clear" w:color="auto" w:fill="CCEEFF"/>
          </w:tcPr>
          <w:p>
            <w:pPr>
              <w:spacing w:after="0"/>
              <w:rPr>
                <w:sz w:val="18"/>
                <w:szCs w:val="18"/>
                <w:color w:val="auto"/>
              </w:rPr>
            </w:pPr>
          </w:p>
        </w:tc>
      </w:tr>
      <w:tr>
        <w:trPr>
          <w:trHeight w:val="323"/>
        </w:trPr>
        <w:tc>
          <w:tcPr>
            <w:tcW w:w="844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60" w:type="dxa"/>
            <w:vAlign w:val="bottom"/>
            <w:shd w:val="clear" w:color="auto" w:fill="CCEEFF"/>
          </w:tcPr>
          <w:p>
            <w:pPr>
              <w:spacing w:after="0"/>
              <w:rPr>
                <w:sz w:val="18"/>
                <w:szCs w:val="18"/>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31,031</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23,997</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preferred stock</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28,162</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0.37</w:t>
            </w:r>
          </w:p>
        </w:tc>
        <w:tc>
          <w:tcPr>
            <w:tcW w:w="4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0"/>
              </w:rPr>
              <w:t>Three Months Ended March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178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1"/>
                <w:szCs w:val="11"/>
                <w:color w:val="auto"/>
              </w:rPr>
            </w:pPr>
          </w:p>
        </w:tc>
        <w:tc>
          <w:tcPr>
            <w:tcW w:w="8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1"/>
                <w:szCs w:val="11"/>
                <w:color w:val="auto"/>
              </w:rPr>
            </w:pPr>
          </w:p>
        </w:tc>
        <w:tc>
          <w:tcPr>
            <w:tcW w:w="188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rPr>
              <w:t>Common Shares</w:t>
            </w:r>
          </w:p>
        </w:tc>
        <w:tc>
          <w:tcPr>
            <w:tcW w:w="80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900" w:type="dxa"/>
            <w:vAlign w:val="bottom"/>
          </w:tcPr>
          <w:p>
            <w:pPr>
              <w:spacing w:after="0"/>
              <w:rPr>
                <w:sz w:val="6"/>
                <w:szCs w:val="6"/>
                <w:color w:val="auto"/>
              </w:rPr>
            </w:pPr>
          </w:p>
        </w:tc>
        <w:tc>
          <w:tcPr>
            <w:tcW w:w="178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restart"/>
          </w:tcPr>
          <w:p>
            <w:pPr>
              <w:jc w:val="right"/>
              <w:ind w:right="292"/>
              <w:spacing w:after="0" w:line="149" w:lineRule="exact"/>
              <w:rPr>
                <w:sz w:val="20"/>
                <w:szCs w:val="20"/>
                <w:color w:val="auto"/>
              </w:rPr>
            </w:pPr>
            <w:r>
              <w:rPr>
                <w:rFonts w:ascii="Arial" w:cs="Arial" w:eastAsia="Arial" w:hAnsi="Arial"/>
                <w:sz w:val="14"/>
                <w:szCs w:val="14"/>
                <w:b w:val="1"/>
                <w:bCs w:val="1"/>
                <w:color w:val="auto"/>
              </w:rPr>
              <w:t>Paid-in</w:t>
            </w:r>
          </w:p>
        </w:tc>
        <w:tc>
          <w:tcPr>
            <w:tcW w:w="1880" w:type="dxa"/>
            <w:vAlign w:val="bottom"/>
            <w:gridSpan w:val="6"/>
            <w:vMerge w:val="continue"/>
          </w:tcPr>
          <w:p>
            <w:pPr>
              <w:spacing w:after="0"/>
              <w:rPr>
                <w:sz w:val="6"/>
                <w:szCs w:val="6"/>
                <w:color w:val="auto"/>
              </w:rPr>
            </w:pPr>
          </w:p>
        </w:tc>
        <w:tc>
          <w:tcPr>
            <w:tcW w:w="82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0" w:type="dxa"/>
            <w:vAlign w:val="bottom"/>
          </w:tcPr>
          <w:p>
            <w:pPr>
              <w:spacing w:after="0"/>
              <w:rPr>
                <w:sz w:val="1"/>
                <w:szCs w:val="1"/>
                <w:color w:val="auto"/>
              </w:rPr>
            </w:pPr>
          </w:p>
        </w:tc>
      </w:tr>
      <w:tr>
        <w:trPr>
          <w:trHeight w:val="48"/>
        </w:trPr>
        <w:tc>
          <w:tcPr>
            <w:tcW w:w="59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Par Value</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8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2"/>
              </w:rPr>
              <w:t>except share data)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54,371,057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544</w:t>
            </w:r>
          </w:p>
        </w:tc>
        <w:tc>
          <w:tcPr>
            <w:tcW w:w="1060" w:type="dxa"/>
            <w:vAlign w:val="bottom"/>
            <w:gridSpan w:val="3"/>
          </w:tcPr>
          <w:p>
            <w:pPr>
              <w:jc w:val="right"/>
              <w:ind w:right="92"/>
              <w:spacing w:after="0"/>
              <w:rPr>
                <w:sz w:val="20"/>
                <w:szCs w:val="20"/>
                <w:color w:val="auto"/>
              </w:rPr>
            </w:pPr>
            <w:r>
              <w:rPr>
                <w:rFonts w:ascii="Arial" w:cs="Arial" w:eastAsia="Arial" w:hAnsi="Arial"/>
                <w:sz w:val="18"/>
                <w:szCs w:val="18"/>
                <w:color w:val="auto"/>
                <w:w w:val="97"/>
              </w:rPr>
              <w:t>$1,114,732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53,616,827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536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$1,108,213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change in accounting principle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(6,416)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51,764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92"/>
              <w:spacing w:after="0"/>
              <w:rPr>
                <w:sz w:val="20"/>
                <w:szCs w:val="20"/>
                <w:color w:val="auto"/>
              </w:rPr>
            </w:pPr>
            <w:r>
              <w:rPr>
                <w:rFonts w:ascii="Arial" w:cs="Arial" w:eastAsia="Arial" w:hAnsi="Arial"/>
                <w:sz w:val="18"/>
                <w:szCs w:val="18"/>
                <w:color w:val="auto"/>
              </w:rPr>
              <w:t>1,601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73,513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1,870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under dividend reinvestment plan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969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Conversion and redemption of OP units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8,860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common shares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Share-based compensation expense (SFAS No. 123 (R))</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92"/>
              <w:spacing w:after="0"/>
              <w:rPr>
                <w:sz w:val="20"/>
                <w:szCs w:val="20"/>
                <w:color w:val="auto"/>
              </w:rPr>
            </w:pPr>
            <w:r>
              <w:rPr>
                <w:rFonts w:ascii="Arial" w:cs="Arial" w:eastAsia="Arial" w:hAnsi="Arial"/>
                <w:sz w:val="18"/>
                <w:szCs w:val="18"/>
                <w:color w:val="auto"/>
              </w:rPr>
              <w:t>1,451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Deferred stock compensation associated with variable accounting (APB No.</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25)</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00" w:type="dxa"/>
            <w:vAlign w:val="bottom"/>
          </w:tcPr>
          <w:p>
            <w:pPr>
              <w:ind w:left="440"/>
              <w:spacing w:after="0"/>
              <w:rPr>
                <w:sz w:val="20"/>
                <w:szCs w:val="20"/>
                <w:color w:val="auto"/>
              </w:rPr>
            </w:pPr>
            <w:r>
              <w:rPr>
                <w:rFonts w:ascii="Arial" w:cs="Arial" w:eastAsia="Arial" w:hAnsi="Arial"/>
                <w:sz w:val="18"/>
                <w:szCs w:val="18"/>
                <w:color w:val="auto"/>
              </w:rPr>
              <w:t>Balance, end of period</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54,515,403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545</w:t>
            </w:r>
          </w:p>
        </w:tc>
        <w:tc>
          <w:tcPr>
            <w:tcW w:w="1060" w:type="dxa"/>
            <w:vAlign w:val="bottom"/>
            <w:gridSpan w:val="3"/>
          </w:tcPr>
          <w:p>
            <w:pPr>
              <w:jc w:val="right"/>
              <w:ind w:right="92"/>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1,112,337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53,972,962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540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1,125,054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dividends in excess of net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(437,817)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(416,026)</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23,997</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Dividends declared to common shareholders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(40,037)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(26,506)</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declared to preferred shareholders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(449,692)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(421,404)</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at cost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(1,480,360)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(28,794)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(1,480,202)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(28,786)</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Unvested shares forfeited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(1,480,798)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(28,806)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(1,480,202)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(28,786)</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on unvested shares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(8,641)</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change in accounting principle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Shares issued, net of forfeitures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(3,324)</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Vesting of shares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1,038</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(10,927)</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issuance of common shares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(2,083)</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Subscription loans issued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440"/>
              <w:spacing w:after="0"/>
              <w:rPr>
                <w:sz w:val="20"/>
                <w:szCs w:val="20"/>
                <w:color w:val="auto"/>
              </w:rPr>
            </w:pPr>
            <w:r>
              <w:rPr>
                <w:rFonts w:ascii="Arial" w:cs="Arial" w:eastAsia="Arial" w:hAnsi="Arial"/>
                <w:sz w:val="18"/>
                <w:szCs w:val="18"/>
                <w:color w:val="auto"/>
              </w:rPr>
              <w:t>Loans paid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Accumulated other comprehensive income (loss)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beginning of year</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2,321</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Change due to recognizing gain on securities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valuation on interest rate swaps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3,437</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31,031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23,997</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due to recognizing gain on securities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Change in valuation on interest rate swaps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1,159</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25,113</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3"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jc w:val="right"/>
              <w:ind w:right="413"/>
              <w:spacing w:after="0" w:line="142" w:lineRule="exact"/>
              <w:rPr>
                <w:sz w:val="20"/>
                <w:szCs w:val="20"/>
                <w:color w:val="auto"/>
              </w:rPr>
            </w:pPr>
            <w:r>
              <w:rPr>
                <w:rFonts w:ascii="Arial" w:cs="Arial" w:eastAsia="Arial" w:hAnsi="Arial"/>
                <w:sz w:val="14"/>
                <w:szCs w:val="14"/>
                <w:b w:val="1"/>
                <w:bCs w:val="1"/>
                <w:color w:val="auto"/>
                <w:w w:val="84"/>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w w:val="98"/>
              </w:rPr>
              <w:t>31,031</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$ 23,997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w w:val="98"/>
              </w:rPr>
              <w:t>24,037</w:t>
            </w:r>
          </w:p>
        </w:tc>
        <w:tc>
          <w:tcPr>
            <w:tcW w:w="660" w:type="dxa"/>
            <w:vAlign w:val="bottom"/>
          </w:tcPr>
          <w:p>
            <w:pPr>
              <w:jc w:val="right"/>
              <w:spacing w:after="0"/>
              <w:rPr>
                <w:sz w:val="20"/>
                <w:szCs w:val="20"/>
                <w:color w:val="auto"/>
              </w:rPr>
            </w:pPr>
            <w:r>
              <w:rPr>
                <w:rFonts w:ascii="Arial" w:cs="Arial" w:eastAsia="Arial" w:hAnsi="Arial"/>
                <w:sz w:val="18"/>
                <w:szCs w:val="18"/>
                <w:color w:val="auto"/>
              </w:rPr>
              <w:t>22,595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(8,737)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Equity in income from real estate partnership</w:t>
            </w:r>
          </w:p>
        </w:tc>
        <w:tc>
          <w:tcPr>
            <w:tcW w:w="100" w:type="dxa"/>
            <w:vAlign w:val="bottom"/>
          </w:tcPr>
          <w:p>
            <w:pPr>
              <w:spacing w:after="0"/>
              <w:rPr>
                <w:sz w:val="18"/>
                <w:szCs w:val="18"/>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rPr>
              <w:t>(148)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1,073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rPr>
              <w:t>357</w:t>
            </w:r>
          </w:p>
        </w:tc>
        <w:tc>
          <w:tcPr>
            <w:tcW w:w="660" w:type="dxa"/>
            <w:vAlign w:val="bottom"/>
          </w:tcPr>
          <w:p>
            <w:pPr>
              <w:jc w:val="right"/>
              <w:spacing w:after="0"/>
              <w:rPr>
                <w:sz w:val="20"/>
                <w:szCs w:val="20"/>
                <w:color w:val="auto"/>
              </w:rPr>
            </w:pPr>
            <w:r>
              <w:rPr>
                <w:rFonts w:ascii="Arial" w:cs="Arial" w:eastAsia="Arial" w:hAnsi="Arial"/>
                <w:sz w:val="18"/>
                <w:szCs w:val="18"/>
                <w:color w:val="auto"/>
              </w:rPr>
              <w:t>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Decrease (increase) in accounts receivable</w:t>
            </w:r>
          </w:p>
        </w:tc>
        <w:tc>
          <w:tcPr>
            <w:tcW w:w="100" w:type="dxa"/>
            <w:vAlign w:val="bottom"/>
          </w:tcPr>
          <w:p>
            <w:pPr>
              <w:spacing w:after="0"/>
              <w:rPr>
                <w:sz w:val="18"/>
                <w:szCs w:val="18"/>
                <w:color w:val="auto"/>
              </w:rPr>
            </w:pP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rPr>
              <w:t>157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1,044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Increase (decrease) in accounts payable, security deposits and prepaid rent</w:t>
            </w:r>
          </w:p>
        </w:tc>
        <w:tc>
          <w:tcPr>
            <w:tcW w:w="100" w:type="dxa"/>
            <w:vAlign w:val="bottom"/>
          </w:tcPr>
          <w:p>
            <w:pPr>
              <w:spacing w:after="0"/>
              <w:rPr>
                <w:sz w:val="18"/>
                <w:szCs w:val="18"/>
                <w:color w:val="auto"/>
              </w:rPr>
            </w:pP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rPr>
              <w:t>3,309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(4,722)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47,401</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Acquisition of real estate</w:t>
            </w:r>
          </w:p>
        </w:tc>
        <w:tc>
          <w:tcPr>
            <w:tcW w:w="100" w:type="dxa"/>
            <w:vAlign w:val="bottom"/>
          </w:tcPr>
          <w:p>
            <w:pPr>
              <w:spacing w:after="0"/>
              <w:rPr>
                <w:sz w:val="18"/>
                <w:szCs w:val="18"/>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(20,847)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(12,593)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Capital expenditures—other</w:t>
            </w:r>
          </w:p>
        </w:tc>
        <w:tc>
          <w:tcPr>
            <w:tcW w:w="100" w:type="dxa"/>
            <w:vAlign w:val="bottom"/>
          </w:tcPr>
          <w:p>
            <w:pPr>
              <w:spacing w:after="0"/>
              <w:rPr>
                <w:sz w:val="18"/>
                <w:szCs w:val="18"/>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(10,584)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(1,709)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tcPr>
          <w:p>
            <w:pPr>
              <w:spacing w:after="0"/>
              <w:rPr>
                <w:sz w:val="18"/>
                <w:szCs w:val="18"/>
                <w:color w:val="auto"/>
              </w:rPr>
            </w:pP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w w:val="98"/>
              </w:rPr>
              <w:t>33,925</w:t>
            </w:r>
          </w:p>
        </w:tc>
        <w:tc>
          <w:tcPr>
            <w:tcW w:w="660" w:type="dxa"/>
            <w:vAlign w:val="bottom"/>
          </w:tcPr>
          <w:p>
            <w:pPr>
              <w:jc w:val="right"/>
              <w:spacing w:after="0"/>
              <w:rPr>
                <w:sz w:val="20"/>
                <w:szCs w:val="20"/>
                <w:color w:val="auto"/>
              </w:rPr>
            </w:pPr>
            <w:r>
              <w:rPr>
                <w:rFonts w:ascii="Arial" w:cs="Arial" w:eastAsia="Arial" w:hAnsi="Arial"/>
                <w:sz w:val="18"/>
                <w:szCs w:val="18"/>
                <w:color w:val="auto"/>
              </w:rPr>
              <w:t>13,499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mortgage and other notes receivable,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(91)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(11,899)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Net borrowings under revolving credit facility</w:t>
            </w:r>
          </w:p>
        </w:tc>
        <w:tc>
          <w:tcPr>
            <w:tcW w:w="100" w:type="dxa"/>
            <w:vAlign w:val="bottom"/>
          </w:tcPr>
          <w:p>
            <w:pPr>
              <w:spacing w:after="0"/>
              <w:rPr>
                <w:sz w:val="18"/>
                <w:szCs w:val="18"/>
                <w:color w:val="auto"/>
              </w:rPr>
            </w:pP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w w:val="98"/>
              </w:rPr>
              <w:t>43,500</w:t>
            </w:r>
          </w:p>
        </w:tc>
        <w:tc>
          <w:tcPr>
            <w:tcW w:w="660" w:type="dxa"/>
            <w:vAlign w:val="bottom"/>
          </w:tcPr>
          <w:p>
            <w:pPr>
              <w:jc w:val="right"/>
              <w:spacing w:after="0"/>
              <w:rPr>
                <w:sz w:val="20"/>
                <w:szCs w:val="20"/>
                <w:color w:val="auto"/>
              </w:rPr>
            </w:pPr>
            <w:r>
              <w:rPr>
                <w:rFonts w:ascii="Arial" w:cs="Arial" w:eastAsia="Arial" w:hAnsi="Arial"/>
                <w:sz w:val="18"/>
                <w:szCs w:val="18"/>
                <w:color w:val="auto"/>
              </w:rPr>
              <w:t>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senior note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(40,500)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tcPr>
          <w:p>
            <w:pPr>
              <w:spacing w:after="0"/>
              <w:rPr>
                <w:sz w:val="18"/>
                <w:szCs w:val="18"/>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rPr>
              <w:t>(1,291)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1,589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tcPr>
          <w:p>
            <w:pPr>
              <w:spacing w:after="0"/>
              <w:rPr>
                <w:sz w:val="18"/>
                <w:szCs w:val="18"/>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(41,861)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minority interests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(786)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vMerge w:val="restart"/>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(39,349)</w:t>
            </w:r>
          </w:p>
        </w:tc>
        <w:tc>
          <w:tcPr>
            <w:tcW w:w="660" w:type="dxa"/>
            <w:vAlign w:val="bottom"/>
          </w:tcPr>
          <w:p>
            <w:pPr>
              <w:jc w:val="right"/>
              <w:spacing w:after="0"/>
              <w:rPr>
                <w:sz w:val="20"/>
                <w:szCs w:val="20"/>
                <w:color w:val="auto"/>
              </w:rPr>
            </w:pPr>
            <w:r>
              <w:rPr>
                <w:rFonts w:ascii="Arial" w:cs="Arial" w:eastAsia="Arial" w:hAnsi="Arial"/>
                <w:sz w:val="18"/>
                <w:szCs w:val="18"/>
                <w:color w:val="auto"/>
              </w:rPr>
              <w:t>39,291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(3,847)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4,792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$ 27,645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 metropolitan markets in the Mid-Atlantic and Northeast regions of the United States, as well as in California.</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elected to treat certain of our subsidiaries as taxable REIT subsidiaries, each of which we refer to as a TRS. In general, a TRS may engage in any real estate business and certain non-real estate businesses, subject to certain limitations under the Code. A TRS is subject to federal and state income taxes. The sales of condominiums at Santana Row beginning in August 2005 are being conducted through a TRS. Other than the sales of these condominiums, our TRS activities have been limited.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consolidated financial statements include the accounts of the Trust, its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using the equity method of accounting.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Effect of Change in Accounting Principle</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Prior to January 1, 2006, we accounted for stock based compensation under the recognition and measurement provisions of Accounting Principle Board Opinion (“APB”) No. 25, “Accounting for Stock Issued to Employees,” and related interpretations, as permitted by Financial Accounting Standard (“SFAS”) No. 123, “Accounting for Stock-Based Compensation.” Under APB No. 25, no stock based compensation costs were recognized in the Statement of Operations for stock options as our options granted had an exercise price equal to the market value of our common shares on the date of grant. Effective January 1, 2006, we adopted the fair value recognition provisions of SFAS No. 123(R), “Share-Based Payment,” using the modified-prospective-transition method. Under this transition method, compensation cost recognized beginning January 1, 2006 includes: (a) compensation costs for all share-based payments granted prior to, but not vested as of January 1, 2006, based on the grant date fair value estimated in accordance with the original provisions of SFAS No. 123, and (b) compensation cost for all share-based payments granted subsequent to January 1, 2006, based on the grant date fair value estimated in accordance with the provisions of SFAS 123(R). Prior to January 1, 2006, we used the Black-Scholes model to value stock options and we intend to continue to use this model to value stock options issued subsequent to January 1, 2006.</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January 1, 2006, we recorded the cumulative effect of adopting SFAS 123(R). This cumulative effect resulted in decreasing accrued liabilities by $3.3 million and increasing shareholder equity by $3.3 million. These balance sheet changes related to deferred compensation on unvested shares. Under SFAS No. 123(R), deferred compensation is no longer recorded at the time unvested shares are issued. Share-based compensation is now recorded over the requisite service period with an offsetting credit to equity (generally additional paid-in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Subsequent to the Adoption of SFAS 123(R)</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Share-based compensation expense included in net income for the three months ended March 31, 2006 was $1.3 million of which $1.1 million related to grants of common shares and $0.2 million related to grants of options. Gross share-based compensation for the three months ended March 31, 2006 was $1.5 million of which $0.2 million was capitalized. If we had not adopted SFAS No. 123(R), our net income for the period ended March 31, 2006 would have excluded $0.2 million of share-based compensation related to options and included $0.2 million of variable stock compensation related to our performance shares. Under SFAS No. 123(R), the compensation associated with our unvested performance shares is now fixed at their grant-date fair value.</w:t>
      </w:r>
    </w:p>
    <w:p>
      <w:pPr>
        <w:spacing w:after="0" w:line="116"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Accordingly, if we had not adopted 123(R), our income from continuing operations, net income, basic earnings per share and dilutive earnings per share for the three months ended March 31, 2006 would not have been significantly different. While there are certain differences between SFAS No. 123 and 123(R), we believe the pro forma disclosures under SFAS No. 123 presented below approximate the effect of SFAS No. 123(R) for the three months ended March 31, 2005.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 for Period Prior to Adoption of SFAS No. 123(R)</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SFAS No. 123 to our stock based compensation for the three months ended March 31, 2005.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8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March 31, 2005</w:t>
            </w:r>
          </w:p>
        </w:tc>
      </w:tr>
      <w:tr>
        <w:trPr>
          <w:trHeight w:val="129"/>
        </w:trPr>
        <w:tc>
          <w:tcPr>
            <w:tcW w:w="8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60" w:type="dxa"/>
            <w:vAlign w:val="bottom"/>
          </w:tcPr>
          <w:p>
            <w:pPr>
              <w:spacing w:after="0"/>
              <w:rPr>
                <w:sz w:val="11"/>
                <w:szCs w:val="11"/>
                <w:color w:val="auto"/>
              </w:rPr>
            </w:pPr>
          </w:p>
        </w:tc>
      </w:tr>
      <w:tr>
        <w:trPr>
          <w:trHeight w:val="174"/>
        </w:trPr>
        <w:tc>
          <w:tcPr>
            <w:tcW w:w="8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per share data)</w:t>
            </w:r>
          </w:p>
        </w:tc>
      </w:tr>
      <w:tr>
        <w:trPr>
          <w:trHeight w:val="217"/>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9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Add: stock-based employee compensation cost included in net income</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Deduct: stock-based employee compensation cost under the fair value method for all rewards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Pro forma net income</w:t>
            </w:r>
          </w:p>
        </w:tc>
        <w:tc>
          <w:tcPr>
            <w:tcW w:w="1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23,988</w:t>
            </w:r>
          </w:p>
        </w:tc>
        <w:tc>
          <w:tcPr>
            <w:tcW w:w="6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Basic, as reported</w:t>
            </w:r>
          </w:p>
        </w:tc>
        <w:tc>
          <w:tcPr>
            <w:tcW w:w="19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pro forma</w:t>
            </w:r>
          </w:p>
        </w:tc>
        <w:tc>
          <w:tcPr>
            <w:tcW w:w="19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r>
      <w:tr>
        <w:trPr>
          <w:trHeight w:val="323"/>
        </w:trPr>
        <w:tc>
          <w:tcPr>
            <w:tcW w:w="8340" w:type="dxa"/>
            <w:vAlign w:val="bottom"/>
          </w:tcPr>
          <w:p>
            <w:pPr>
              <w:ind w:left="440"/>
              <w:spacing w:after="0"/>
              <w:rPr>
                <w:sz w:val="20"/>
                <w:szCs w:val="20"/>
                <w:color w:val="auto"/>
              </w:rPr>
            </w:pPr>
            <w:r>
              <w:rPr>
                <w:rFonts w:ascii="Arial" w:cs="Arial" w:eastAsia="Arial" w:hAnsi="Arial"/>
                <w:sz w:val="18"/>
                <w:szCs w:val="18"/>
                <w:color w:val="auto"/>
              </w:rPr>
              <w:t>Diluted, as reported</w:t>
            </w:r>
          </w:p>
        </w:tc>
        <w:tc>
          <w:tcPr>
            <w:tcW w:w="19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24"/>
                <w:szCs w:val="24"/>
                <w:color w:val="auto"/>
              </w:rPr>
            </w:pPr>
          </w:p>
        </w:tc>
      </w:tr>
      <w:tr>
        <w:trPr>
          <w:trHeight w:val="217"/>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pro forma</w:t>
            </w:r>
          </w:p>
        </w:tc>
        <w:tc>
          <w:tcPr>
            <w:tcW w:w="19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r>
      <w:tr>
        <w:trPr>
          <w:trHeight w:val="363"/>
        </w:trPr>
        <w:tc>
          <w:tcPr>
            <w:tcW w:w="8340" w:type="dxa"/>
            <w:vAlign w:val="bottom"/>
          </w:tcPr>
          <w:p>
            <w:pPr>
              <w:ind w:left="5680"/>
              <w:spacing w:after="0"/>
              <w:rPr>
                <w:sz w:val="20"/>
                <w:szCs w:val="20"/>
                <w:color w:val="auto"/>
              </w:rPr>
            </w:pPr>
            <w:r>
              <w:rPr>
                <w:rFonts w:ascii="Arial" w:cs="Arial" w:eastAsia="Arial" w:hAnsi="Arial"/>
                <w:sz w:val="18"/>
                <w:szCs w:val="18"/>
                <w:color w:val="auto"/>
              </w:rPr>
              <w:t>9</w:t>
            </w: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11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2006</w:t>
            </w: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w w:val="94"/>
              </w:rPr>
              <w:t>(In thousands, except per share data)</w:t>
            </w: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22,625</w:t>
            </w:r>
          </w:p>
        </w:tc>
        <w:tc>
          <w:tcPr>
            <w:tcW w:w="10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19,176</w:t>
            </w:r>
          </w:p>
        </w:tc>
        <w:tc>
          <w:tcPr>
            <w:tcW w:w="6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(2,869)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r>
      <w:tr>
        <w:trPr>
          <w:trHeight w:val="221"/>
        </w:trPr>
        <w:tc>
          <w:tcPr>
            <w:tcW w:w="834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19,756</w:t>
            </w: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16,307</w:t>
            </w:r>
          </w:p>
        </w:tc>
        <w:tc>
          <w:tcPr>
            <w:tcW w:w="60" w:type="dxa"/>
            <w:vAlign w:val="bottom"/>
          </w:tcPr>
          <w:p>
            <w:pPr>
              <w:spacing w:after="0"/>
              <w:rPr>
                <w:sz w:val="19"/>
                <w:szCs w:val="19"/>
                <w:color w:val="auto"/>
              </w:rPr>
            </w:pPr>
          </w:p>
        </w:tc>
      </w:tr>
      <w:tr>
        <w:trPr>
          <w:trHeight w:val="218"/>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60" w:type="dxa"/>
            <w:vAlign w:val="bottom"/>
            <w:shd w:val="clear" w:color="auto" w:fill="CCEEFF"/>
          </w:tcPr>
          <w:p>
            <w:pPr>
              <w:spacing w:after="0"/>
              <w:rPr>
                <w:sz w:val="18"/>
                <w:szCs w:val="18"/>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 basic and dilutive</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28,162</w:t>
            </w:r>
          </w:p>
        </w:tc>
        <w:tc>
          <w:tcPr>
            <w:tcW w:w="100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w:t>
            </w:r>
          </w:p>
        </w:tc>
        <w:tc>
          <w:tcPr>
            <w:tcW w:w="6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52,731</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52,190</w:t>
            </w:r>
          </w:p>
        </w:tc>
        <w:tc>
          <w:tcPr>
            <w:tcW w:w="6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Unvested stock</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outstanding—dilutive (1)</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53,254</w:t>
            </w:r>
          </w:p>
        </w:tc>
        <w:tc>
          <w:tcPr>
            <w:tcW w:w="10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52,742</w:t>
            </w:r>
          </w:p>
        </w:tc>
        <w:tc>
          <w:tcPr>
            <w:tcW w:w="6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0.37</w:t>
            </w:r>
          </w:p>
        </w:tc>
        <w:tc>
          <w:tcPr>
            <w:tcW w:w="10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r>
      <w:tr>
        <w:trPr>
          <w:trHeight w:val="222"/>
        </w:trPr>
        <w:tc>
          <w:tcPr>
            <w:tcW w:w="118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0.37</w:t>
            </w:r>
          </w:p>
        </w:tc>
        <w:tc>
          <w:tcPr>
            <w:tcW w:w="10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r>
      <w:tr>
        <w:trPr>
          <w:trHeight w:val="222"/>
        </w:trPr>
        <w:tc>
          <w:tcPr>
            <w:tcW w:w="118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ind w:left="460" w:right="1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of operating partnership units is anti-dilutive for the periods presented. Accordingly, operating partnership units have been excluded from the weighted average common shares used to compute diluted EPS.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2006</w:t>
            </w:r>
          </w:p>
        </w:tc>
        <w:tc>
          <w:tcPr>
            <w:tcW w:w="1040" w:type="dxa"/>
            <w:vAlign w:val="bottom"/>
            <w:tcBorders>
              <w:top w:val="single" w:sz="8" w:color="auto"/>
              <w:bottom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costs incurred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24,984</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Interest capitalized</w:t>
            </w:r>
          </w:p>
        </w:tc>
        <w:tc>
          <w:tcPr>
            <w:tcW w:w="180" w:type="dxa"/>
            <w:vAlign w:val="bottom"/>
          </w:tcPr>
          <w:p>
            <w:pPr>
              <w:spacing w:after="0"/>
              <w:rPr>
                <w:sz w:val="19"/>
                <w:szCs w:val="19"/>
                <w:color w:val="auto"/>
              </w:rPr>
            </w:pPr>
          </w:p>
        </w:tc>
        <w:tc>
          <w:tcPr>
            <w:tcW w:w="1660" w:type="dxa"/>
            <w:vAlign w:val="bottom"/>
            <w:gridSpan w:val="2"/>
          </w:tcPr>
          <w:p>
            <w:pPr>
              <w:jc w:val="right"/>
              <w:ind w:right="912"/>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24,280</w:t>
            </w:r>
          </w:p>
        </w:tc>
        <w:tc>
          <w:tcPr>
            <w:tcW w:w="10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3"/>
            <w:vMerge w:val="continue"/>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19,313</w:t>
            </w:r>
          </w:p>
        </w:tc>
        <w:tc>
          <w:tcPr>
            <w:tcW w:w="10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1,912(1)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paid for income taxes for the three months ended March 31, 2006 includes $1,600 related to the sales of condominiums at Santana Row which are being conducted through a TRS.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significant acquisitions during the three months ended March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2900" w:type="dxa"/>
            <w:vAlign w:val="bottom"/>
          </w:tcPr>
          <w:p>
            <w:pPr>
              <w:ind w:left="1320"/>
              <w:spacing w:after="0"/>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0"/>
              </w:rPr>
              <w:t>Property</w:t>
            </w:r>
          </w:p>
        </w:tc>
        <w:tc>
          <w:tcPr>
            <w:tcW w:w="400" w:type="dxa"/>
            <w:vAlign w:val="bottom"/>
          </w:tcPr>
          <w:p>
            <w:pPr>
              <w:spacing w:after="0"/>
              <w:rPr>
                <w:sz w:val="15"/>
                <w:szCs w:val="15"/>
                <w:color w:val="auto"/>
              </w:rPr>
            </w:pPr>
          </w:p>
        </w:tc>
        <w:tc>
          <w:tcPr>
            <w:tcW w:w="2520" w:type="dxa"/>
            <w:vAlign w:val="bottom"/>
          </w:tcPr>
          <w:p>
            <w:pPr>
              <w:ind w:left="960"/>
              <w:spacing w:after="0"/>
              <w:rPr>
                <w:sz w:val="20"/>
                <w:szCs w:val="20"/>
                <w:color w:val="auto"/>
              </w:rPr>
            </w:pPr>
            <w:r>
              <w:rPr>
                <w:rFonts w:ascii="Arial" w:cs="Arial" w:eastAsia="Arial" w:hAnsi="Arial"/>
                <w:sz w:val="14"/>
                <w:szCs w:val="14"/>
                <w:b w:val="1"/>
                <w:bCs w:val="1"/>
                <w:color w:val="auto"/>
              </w:rPr>
              <w:t>City, State</w:t>
            </w:r>
          </w:p>
        </w:tc>
        <w:tc>
          <w:tcPr>
            <w:tcW w:w="38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Leasable Area</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r>
      <w:tr>
        <w:trPr>
          <w:trHeight w:val="142"/>
        </w:trPr>
        <w:tc>
          <w:tcPr>
            <w:tcW w:w="29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40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January 20, 2006</w:t>
            </w:r>
          </w:p>
        </w:tc>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4900 Hampden Lane</w:t>
            </w:r>
          </w:p>
        </w:tc>
        <w:tc>
          <w:tcPr>
            <w:tcW w:w="2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Bethesda, MD</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35,000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January 27, 2006</w:t>
            </w:r>
          </w:p>
        </w:tc>
        <w:tc>
          <w:tcPr>
            <w:tcW w:w="3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7770 Richmond Hwy</w:t>
            </w:r>
          </w:p>
        </w:tc>
        <w:tc>
          <w:tcPr>
            <w:tcW w:w="2920" w:type="dxa"/>
            <w:vAlign w:val="bottom"/>
            <w:gridSpan w:val="2"/>
          </w:tcPr>
          <w:p>
            <w:pPr>
              <w:ind w:left="400"/>
              <w:spacing w:after="0"/>
              <w:rPr>
                <w:sz w:val="20"/>
                <w:szCs w:val="20"/>
                <w:color w:val="auto"/>
              </w:rPr>
            </w:pPr>
            <w:r>
              <w:rPr>
                <w:rFonts w:ascii="Arial" w:cs="Arial" w:eastAsia="Arial" w:hAnsi="Arial"/>
                <w:sz w:val="18"/>
                <w:szCs w:val="18"/>
                <w:color w:val="auto"/>
              </w:rPr>
              <w:t>Alexandria, VA</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60,000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24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$0.1 million and $0.3 million of the net assets acquired were allocated to other assets for “above market leases” and liabilities for “below market leases”, respectively.</w:t>
      </w:r>
    </w:p>
    <w:p>
      <w:pPr>
        <w:ind w:left="460" w:right="24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$0.2 million and $0.2 million of the net assets acquired were allocated to other assets for “above market leases” and liabilities for “below market leases”,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significant dispositions during the three months ended March 31, 2006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2380" w:type="dxa"/>
            <w:vAlign w:val="bottom"/>
          </w:tcPr>
          <w:p>
            <w:pPr>
              <w:ind w:left="1060"/>
              <w:spacing w:after="0"/>
              <w:rPr>
                <w:sz w:val="20"/>
                <w:szCs w:val="20"/>
                <w:color w:val="auto"/>
              </w:rPr>
            </w:pPr>
            <w:r>
              <w:rPr>
                <w:rFonts w:ascii="Arial" w:cs="Arial" w:eastAsia="Arial" w:hAnsi="Arial"/>
                <w:sz w:val="14"/>
                <w:szCs w:val="14"/>
                <w:b w:val="1"/>
                <w:bCs w:val="1"/>
                <w:color w:val="auto"/>
              </w:rPr>
              <w:t>Date</w:t>
            </w:r>
          </w:p>
        </w:tc>
        <w:tc>
          <w:tcPr>
            <w:tcW w:w="46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0"/>
              </w:rPr>
              <w:t>Property</w:t>
            </w:r>
          </w:p>
        </w:tc>
        <w:tc>
          <w:tcPr>
            <w:tcW w:w="460" w:type="dxa"/>
            <w:vAlign w:val="bottom"/>
          </w:tcPr>
          <w:p>
            <w:pPr>
              <w:spacing w:after="0"/>
              <w:rPr>
                <w:sz w:val="15"/>
                <w:szCs w:val="15"/>
                <w:color w:val="auto"/>
              </w:rPr>
            </w:pPr>
          </w:p>
        </w:tc>
        <w:tc>
          <w:tcPr>
            <w:tcW w:w="2080" w:type="dxa"/>
            <w:vAlign w:val="bottom"/>
          </w:tcPr>
          <w:p>
            <w:pPr>
              <w:ind w:left="740"/>
              <w:spacing w:after="0"/>
              <w:rPr>
                <w:sz w:val="20"/>
                <w:szCs w:val="20"/>
                <w:color w:val="auto"/>
              </w:rPr>
            </w:pPr>
            <w:r>
              <w:rPr>
                <w:rFonts w:ascii="Arial" w:cs="Arial" w:eastAsia="Arial" w:hAnsi="Arial"/>
                <w:sz w:val="14"/>
                <w:szCs w:val="14"/>
                <w:b w:val="1"/>
                <w:bCs w:val="1"/>
                <w:color w:val="auto"/>
              </w:rPr>
              <w:t>City, State</w:t>
            </w: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460" w:type="dxa"/>
            <w:vAlign w:val="bottom"/>
          </w:tcPr>
          <w:p>
            <w:pPr>
              <w:spacing w:after="0"/>
              <w:rPr>
                <w:sz w:val="15"/>
                <w:szCs w:val="15"/>
                <w:color w:val="auto"/>
              </w:rPr>
            </w:pPr>
          </w:p>
        </w:tc>
        <w:tc>
          <w:tcPr>
            <w:tcW w:w="88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w w:val="82"/>
              </w:rPr>
              <w:t>Sales Price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Gain</w:t>
            </w:r>
          </w:p>
        </w:tc>
      </w:tr>
      <w:tr>
        <w:trPr>
          <w:trHeight w:val="134"/>
        </w:trPr>
        <w:tc>
          <w:tcPr>
            <w:tcW w:w="23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4"/>
                <w:szCs w:val="14"/>
                <w:b w:val="1"/>
                <w:bCs w:val="1"/>
                <w:color w:val="auto"/>
                <w:w w:val="89"/>
              </w:rPr>
              <w:t>(In square feet)</w:t>
            </w:r>
          </w:p>
        </w:tc>
        <w:tc>
          <w:tcPr>
            <w:tcW w:w="4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rPr>
              <w:t>(In</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80"/>
              </w:rPr>
              <w:t>millions)</w:t>
            </w: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Various</w:t>
            </w:r>
          </w:p>
        </w:tc>
        <w:tc>
          <w:tcPr>
            <w:tcW w:w="46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Condominiums at Santana Row</w:t>
            </w:r>
          </w:p>
        </w:tc>
        <w:tc>
          <w:tcPr>
            <w:tcW w:w="2540" w:type="dxa"/>
            <w:vAlign w:val="bottom"/>
            <w:gridSpan w:val="2"/>
          </w:tcPr>
          <w:p>
            <w:pPr>
              <w:ind w:left="460"/>
              <w:spacing w:after="0"/>
              <w:rPr>
                <w:sz w:val="20"/>
                <w:szCs w:val="20"/>
                <w:color w:val="auto"/>
              </w:rPr>
            </w:pPr>
            <w:r>
              <w:rPr>
                <w:rFonts w:ascii="Arial" w:cs="Arial" w:eastAsia="Arial" w:hAnsi="Arial"/>
                <w:sz w:val="18"/>
                <w:szCs w:val="18"/>
                <w:color w:val="auto"/>
              </w:rPr>
              <w:t>San Jose, CA</w:t>
            </w:r>
          </w:p>
        </w:tc>
        <w:tc>
          <w:tcPr>
            <w:tcW w:w="4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78"/>
              <w:spacing w:after="0"/>
              <w:rPr>
                <w:sz w:val="20"/>
                <w:szCs w:val="20"/>
                <w:color w:val="auto"/>
              </w:rPr>
            </w:pPr>
            <w:r>
              <w:rPr>
                <w:rFonts w:ascii="Arial" w:cs="Arial" w:eastAsia="Arial" w:hAnsi="Arial"/>
                <w:sz w:val="18"/>
                <w:szCs w:val="18"/>
                <w:color w:val="auto"/>
              </w:rPr>
              <w:t>35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8"/>
          <w:szCs w:val="18"/>
          <w:color w:val="auto"/>
        </w:rPr>
        <w:t>(49 units)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March 31, 2006, we had sold 179 of the 219 condominium units we intend to sell at Santana Row.</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of $8.7 million is net of $1.6 million in taxes.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REAL ESTATE PARTNERSHIP</w:t>
      </w:r>
    </w:p>
    <w:p>
      <w:pPr>
        <w:spacing w:after="0" w:line="9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$37 million and $86 million, respectively, of equity capital to acquire properties with a targeted investment date through June 2006. No assurances can be made that we will identify properties that meet the acquisition requirements of the Partnership. We are the manager of the Partnership and its properties, earning fees for acquisitions, management, leasing, and financing. We also have the opportunity to receive performance-based earnings through our Partnership interest. As of March 31, 2006, we have made total contributions of $9.4 million and received total distributions of $0.9 million. We account for our interest in the Partnership using the equity method.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Revenue</w:t>
            </w:r>
          </w:p>
        </w:tc>
        <w:tc>
          <w:tcPr>
            <w:tcW w:w="3000" w:type="dxa"/>
            <w:vAlign w:val="bottom"/>
            <w:gridSpan w:val="2"/>
          </w:tcPr>
          <w:p>
            <w:pPr>
              <w:ind w:left="29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2,008</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548</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5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0" w:type="dxa"/>
            <w:vAlign w:val="bottom"/>
            <w:gridSpan w:val="2"/>
          </w:tcPr>
          <w:p>
            <w:pPr>
              <w:ind w:left="29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March 31,</w:t>
            </w:r>
          </w:p>
        </w:tc>
        <w:tc>
          <w:tcPr>
            <w:tcW w:w="5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2006</w:t>
            </w:r>
          </w:p>
        </w:tc>
        <w:tc>
          <w:tcPr>
            <w:tcW w:w="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2"/>
              </w:rPr>
              <w:t>(In thousands)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Real estate, net</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$ 78,387</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79,050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assets</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$ 83,158</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Mortgages payable</w:t>
            </w:r>
          </w:p>
        </w:tc>
        <w:tc>
          <w:tcPr>
            <w:tcW w:w="2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80" w:type="dxa"/>
            <w:vAlign w:val="bottom"/>
            <w:gridSpan w:val="2"/>
            <w:vMerge w:val="continue"/>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$ 47,225</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47,225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Partners’ capital</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31,080</w:t>
            </w: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partners’ capital</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$ 83,158</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2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$ 14,168</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14,168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mortgage notes totaling $36.7 million at March 31, 2006 that are secured by three properties owned by subsidiaries of the Partnership, we are the guarantor for the obligations of the joint venture which are commonly referred to as “non-recourse carve-outs.” We are not guaranteeing repayment of the debt itself. The Partnership indemnifies us for any loss we incur under these guarantees.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a $550 million unsecured credit facility consisting of a $150 million five-year term loan, a $100 million three-year term loan, and a $300 million three-year revolving credit facility. Our revolving credit facility matures October 8, 2006, subject to a one-year extension at our option. The term loans currently bear interest at LIBOR plus 95 basis points, while the revolving facility currently bears interest at LIBOR plus 75 basis points. The spread over LIBOR is subject to adjustment based on our credit rating.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2004, to hedge our exposure to interest rate fluctuations on the $150 million five-year term loan, we entered into an interest rate swap, which fixed the LIBOR portion of the interest rate on the term loan at 2.401% through October 2006. The current interest rate, taking into account the swap, is 3.351% (2.401% plus 95 basis points) on a notional amount of $150 million. This swap qualifies as a cash flow hedge. At March 31, 2006, accumulated other comprehensive income includes $2.1 million related to this swap all of which will be reclassified into earnings prior to October 2006 to offset the variability of cash flows during this period.</w:t>
      </w:r>
    </w:p>
    <w:p>
      <w:pPr>
        <w:spacing w:after="0" w:line="14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At March 31, 2006, $99 million of borrowings were outstanding under our revolving credit facility. During the three months ended March 31, 2006, the maximum amount outstanding under our revolving credit facility was $102.0 million, the average amount of borrowings outstanding was $76.7 million and the weighted average interest rate was 5.0%. The facility requires us to comply with various financial covenants, including the maintenance of a minimum shareholders’ equity and a maximum ratio of debt to net worth. At March 31, 2006, we were in compliance with all loan covenants.</w:t>
      </w:r>
    </w:p>
    <w:p>
      <w:pPr>
        <w:spacing w:after="0" w:line="11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March 10, 2006, we repaid our 6.99% medium term notes with a principal amount of $40.5 million. These notes were repaid with funds borrowed on our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more detailed description of our derivative instruments is contained in “Item 3. Quantitative and Qualitative Disclosures about Market Risk.”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currently a party to various legal proceedings. We do not believe that the ultimate outcome of these matters, either individually or in the aggregate, will have a material adverse effect on our financial position or overall trends in results of operations; however, litigation is subject to inherent uncertainties. Currently, we have two matters expected to go to trial in 2006. Based on the facts of these matters and advice from our legal counsel, we believe that we will prevail in both matters. If, however, we are unsuccessful in our defense of either of these matters, there is a possibility that there will be a material adverse impact on our net income in the period in which we would pay the damages awarded in any adverse judgment.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Three Months Ended March 31,</w:t>
            </w: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22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Paid</w:t>
            </w:r>
          </w:p>
        </w:tc>
        <w:tc>
          <w:tcPr>
            <w:tcW w:w="72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52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2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w w:val="93"/>
              </w:rPr>
              <w:t>(In</w:t>
            </w:r>
          </w:p>
        </w:tc>
        <w:tc>
          <w:tcPr>
            <w:tcW w:w="72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87"/>
              </w:rPr>
              <w:t>thousands)</w:t>
            </w:r>
          </w:p>
        </w:tc>
        <w:tc>
          <w:tcPr>
            <w:tcW w:w="5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$ 0.755(1)</w:t>
            </w:r>
          </w:p>
        </w:tc>
        <w:tc>
          <w:tcPr>
            <w:tcW w:w="1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$0.755(1)</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$ 0.505</w:t>
            </w:r>
          </w:p>
        </w:tc>
        <w:tc>
          <w:tcPr>
            <w:tcW w:w="1020" w:type="dxa"/>
            <w:vAlign w:val="bottom"/>
            <w:gridSpan w:val="2"/>
            <w:shd w:val="clear" w:color="auto" w:fill="CCEEFF"/>
          </w:tcPr>
          <w:p>
            <w:pPr>
              <w:jc w:val="center"/>
              <w:ind w:left="439"/>
              <w:spacing w:after="0"/>
              <w:rPr>
                <w:sz w:val="20"/>
                <w:szCs w:val="20"/>
                <w:color w:val="auto"/>
              </w:rPr>
            </w:pPr>
            <w:r>
              <w:rPr>
                <w:rFonts w:ascii="Arial" w:cs="Arial" w:eastAsia="Arial" w:hAnsi="Arial"/>
                <w:sz w:val="18"/>
                <w:szCs w:val="18"/>
                <w:color w:val="auto"/>
                <w:w w:val="90"/>
              </w:rPr>
              <w:t>$0.505</w:t>
            </w:r>
          </w:p>
        </w:tc>
        <w:tc>
          <w:tcPr>
            <w:tcW w:w="20" w:type="dxa"/>
            <w:vAlign w:val="bottom"/>
          </w:tcPr>
          <w:p>
            <w:pPr>
              <w:spacing w:after="0"/>
              <w:rPr>
                <w:sz w:val="18"/>
                <w:szCs w:val="18"/>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8.5% Series B Cumulative Preferred</w:t>
            </w:r>
          </w:p>
        </w:tc>
        <w:tc>
          <w:tcPr>
            <w:tcW w:w="1040" w:type="dxa"/>
            <w:vAlign w:val="bottom"/>
            <w:gridSpan w:val="2"/>
          </w:tcPr>
          <w:p>
            <w:pPr>
              <w:spacing w:after="0"/>
              <w:rPr>
                <w:sz w:val="20"/>
                <w:szCs w:val="20"/>
                <w:color w:val="auto"/>
              </w:rPr>
            </w:pPr>
            <w:r>
              <w:rPr>
                <w:rFonts w:ascii="Arial" w:cs="Arial" w:eastAsia="Arial" w:hAnsi="Arial"/>
                <w:sz w:val="18"/>
                <w:szCs w:val="18"/>
                <w:color w:val="auto"/>
              </w:rPr>
              <w:t>$ 0.531</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w w:val="87"/>
              </w:rPr>
              <w:t>$0.531</w:t>
            </w:r>
          </w:p>
        </w:tc>
        <w:tc>
          <w:tcPr>
            <w:tcW w:w="7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83"/>
              </w:rPr>
              <w:t>$ 0.531</w:t>
            </w:r>
          </w:p>
        </w:tc>
        <w:tc>
          <w:tcPr>
            <w:tcW w:w="1020" w:type="dxa"/>
            <w:vAlign w:val="bottom"/>
            <w:gridSpan w:val="2"/>
          </w:tcPr>
          <w:p>
            <w:pPr>
              <w:jc w:val="center"/>
              <w:ind w:left="439"/>
              <w:spacing w:after="0"/>
              <w:rPr>
                <w:sz w:val="20"/>
                <w:szCs w:val="20"/>
                <w:color w:val="auto"/>
              </w:rPr>
            </w:pPr>
            <w:r>
              <w:rPr>
                <w:rFonts w:ascii="Arial" w:cs="Arial" w:eastAsia="Arial" w:hAnsi="Arial"/>
                <w:sz w:val="18"/>
                <w:szCs w:val="18"/>
                <w:color w:val="auto"/>
                <w:w w:val="90"/>
              </w:rPr>
              <w:t>$0.531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620" w:right="2140" w:hanging="5612"/>
        <w:spacing w:after="0" w:line="440" w:lineRule="auto"/>
        <w:tabs>
          <w:tab w:leader="none" w:pos="44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regular dividend of $0.555 and special dividend of $0.200 resulting from the sales of condominiums at Santana Row 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58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5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2"/>
          </w:tcPr>
          <w:p>
            <w:pPr>
              <w:jc w:val="right"/>
              <w:ind w:right="362"/>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Retail and commercial</w:t>
            </w:r>
          </w:p>
        </w:tc>
        <w:tc>
          <w:tcPr>
            <w:tcW w:w="3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79,348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$ 73,390</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Cost reimbursement</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19,984</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2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105,488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$ 98,307</w:t>
            </w:r>
          </w:p>
        </w:tc>
        <w:tc>
          <w:tcPr>
            <w:tcW w:w="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Minimum rents include $1.4 million and $1.6 million for the three months ended March 31, 2006 and 2005, respectively, to recognize minimum rents on a straight-line basis. In addition, minimum rents include $0.5 million and $0.4 million for the three months ended March 31, 2006 and 2005, respectively, to recognize income from the amortization of in-place leases in accordance with SFAS No. 141. Residential minimum rents consist of the entire rental amounts at Rollingwood Apartments, the Crest at Congressional Plaza Apartments and residential units at Santana Row not sold or held for sale at March 31,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H—SHARE-BASED COMPENSATION PLANS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March 31, 2006, we have grants outstanding under two share-based compensation plans. Our 1993 Long Term Incentive Plan (‘the 1993 Plan”) authorized the grant of share options, common shares and other share-based awards for up to 5.5 million shares of common stock. The 1993 Plan expired in May 2003. In May 2001, our shareholders approved our 2001 Long Term Incentive Plan (“the 2001 Plan”) which authorized the grant of an additional 1,750,000 shares for share options, common shares and other share-based awards.</w:t>
      </w:r>
    </w:p>
    <w:p>
      <w:pPr>
        <w:spacing w:after="0" w:line="143"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Option awards under the 2001 Plan and the 1993 Plan are required to have an exercise price at least equal to the closing trading price of our common shares on the date of grant. Options and share awards under these plans generally vest over 3 to 5 years and option awards typically have a 10-year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w:t>
      </w:r>
    </w:p>
    <w:p>
      <w:pPr>
        <w:spacing w:after="0" w:line="11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term, dividend yields, employee exercises and employee terminations are primarily based on historical data. The risk-free interest rate is based on the U.S. Treasury yield curve in effect at the time of grant. The fair value of each share award is determined based on the closing trading price of our common shares on the grant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weighted-average assumption used to value options: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Three Months Ended</w:t>
            </w:r>
          </w:p>
        </w:tc>
      </w:tr>
      <w:tr>
        <w:trPr>
          <w:trHeight w:val="175"/>
        </w:trPr>
        <w:tc>
          <w:tcPr>
            <w:tcW w:w="10040" w:type="dxa"/>
            <w:vAlign w:val="bottom"/>
          </w:tcPr>
          <w:p>
            <w:pPr>
              <w:spacing w:after="0"/>
              <w:rPr>
                <w:sz w:val="15"/>
                <w:szCs w:val="15"/>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March 31, 2006</w:t>
            </w:r>
          </w:p>
        </w:tc>
        <w:tc>
          <w:tcPr>
            <w:tcW w:w="140" w:type="dxa"/>
            <w:vAlign w:val="bottom"/>
          </w:tcPr>
          <w:p>
            <w:pPr>
              <w:spacing w:after="0"/>
              <w:rPr>
                <w:sz w:val="15"/>
                <w:szCs w:val="15"/>
                <w:color w:val="auto"/>
              </w:rPr>
            </w:pPr>
          </w:p>
        </w:tc>
      </w:tr>
      <w:tr>
        <w:trPr>
          <w:trHeight w:val="210"/>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r>
      <w:tr>
        <w:trPr>
          <w:trHeight w:val="222"/>
        </w:trPr>
        <w:tc>
          <w:tcPr>
            <w:tcW w:w="100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option activity: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3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Under</w:t>
            </w:r>
          </w:p>
        </w:tc>
        <w:tc>
          <w:tcPr>
            <w:tcW w:w="11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5"/>
                <w:szCs w:val="15"/>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9"/>
              </w:rPr>
              <w:t>(In years)</w:t>
            </w:r>
          </w:p>
        </w:tc>
        <w:tc>
          <w:tcPr>
            <w:tcW w:w="54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958,455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32.52</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315,314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67.72</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(51,764)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30.92</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or expired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(109,504)</w:t>
            </w:r>
          </w:p>
        </w:tc>
        <w:tc>
          <w:tcPr>
            <w:tcW w:w="12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29.62</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1,112,501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5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7.0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3"/>
              </w:rPr>
              <w:t>35,966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2006</w:t>
            </w: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547,859</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24.20</w:t>
            </w:r>
          </w:p>
        </w:tc>
        <w:tc>
          <w:tcPr>
            <w:tcW w:w="700" w:type="dxa"/>
            <w:vAlign w:val="bottom"/>
          </w:tcPr>
          <w:p>
            <w:pPr>
              <w:ind w:left="480"/>
              <w:spacing w:after="0"/>
              <w:rPr>
                <w:sz w:val="20"/>
                <w:szCs w:val="20"/>
                <w:color w:val="auto"/>
              </w:rPr>
            </w:pPr>
            <w:r>
              <w:rPr>
                <w:rFonts w:ascii="Arial" w:cs="Arial" w:eastAsia="Arial" w:hAnsi="Arial"/>
                <w:sz w:val="18"/>
                <w:szCs w:val="18"/>
                <w:color w:val="auto"/>
                <w:w w:val="79"/>
              </w:rPr>
              <w:t>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w w:val="87"/>
              </w:rPr>
              <w:t>27,940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weighted-average grant-date fair value of options granted during the three months ended March 31, 2006 was $7.87. The total intrinsic value of options exercised during the three months ended March 31, 2006 was $2.0 million. The total cash received from option exercised was $1.6 million for the three months ended March 31,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share activity:</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Grant-Date</w:t>
            </w:r>
          </w:p>
        </w:tc>
      </w:tr>
      <w:tr>
        <w:trPr>
          <w:trHeight w:val="175"/>
        </w:trPr>
        <w:tc>
          <w:tcPr>
            <w:tcW w:w="780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Shares</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2005</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227,407</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78,099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67.66</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(83,533)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2006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221,973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r>
      <w:tr>
        <w:trPr>
          <w:trHeight w:val="20"/>
        </w:trPr>
        <w:tc>
          <w:tcPr>
            <w:tcW w:w="7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total vesting-date fair value of shares vested during the three months ended March 31, 2006 was $6.4 million.</w:t>
      </w:r>
    </w:p>
    <w:p>
      <w:pPr>
        <w:spacing w:after="0" w:line="171"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As of March 31, 2006, there was $13.4 million of total unrecognized compensation cost related to unvested share-based compensation arrangements (i.e. options and unvested shares) granted under our plans. This cost is expected to be recognized over the next 4.9 years with a weighted-average period of 1.3 years.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I—SEGMENT INFORMATION</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89"/>
              </w:rPr>
              <w:t>Three Months Ended March 31, 2006</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7"/>
              </w:rPr>
              <w:t>81,407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105,488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713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(15,557)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(22,190)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(8,495)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center"/>
              <w:ind w:left="153"/>
              <w:spacing w:after="0"/>
              <w:rPr>
                <w:sz w:val="20"/>
                <w:szCs w:val="20"/>
                <w:color w:val="auto"/>
              </w:rPr>
            </w:pPr>
            <w:r>
              <w:rPr>
                <w:rFonts w:ascii="Arial" w:cs="Arial" w:eastAsia="Arial" w:hAnsi="Arial"/>
                <w:sz w:val="18"/>
                <w:szCs w:val="18"/>
                <w:color w:val="auto"/>
                <w:w w:val="83"/>
              </w:rPr>
              <w:t>59,311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(16,348)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(24,036)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(24,280)</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(24,280)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Income from continuing operations and minority interests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ind w:left="133"/>
              <w:spacing w:after="0"/>
              <w:rPr>
                <w:sz w:val="20"/>
                <w:szCs w:val="20"/>
                <w:color w:val="auto"/>
              </w:rPr>
            </w:pPr>
            <w:r>
              <w:rPr>
                <w:rFonts w:ascii="Arial" w:cs="Arial" w:eastAsia="Arial" w:hAnsi="Arial"/>
                <w:sz w:val="18"/>
                <w:szCs w:val="18"/>
                <w:color w:val="auto"/>
                <w:w w:val="87"/>
              </w:rPr>
              <w:t>43,201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(29,093)</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23,698</w:t>
            </w: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center"/>
              <w:ind w:left="133"/>
              <w:spacing w:after="0"/>
              <w:rPr>
                <w:sz w:val="20"/>
                <w:szCs w:val="20"/>
                <w:color w:val="auto"/>
              </w:rPr>
            </w:pPr>
            <w:r>
              <w:rPr>
                <w:rFonts w:ascii="Arial" w:cs="Arial" w:eastAsia="Arial" w:hAnsi="Arial"/>
                <w:sz w:val="18"/>
                <w:szCs w:val="18"/>
                <w:color w:val="auto"/>
                <w:w w:val="87"/>
              </w:rPr>
              <w:t>43,201</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9,590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1,393,356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888,261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66,252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2,347,869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89"/>
              </w:rPr>
              <w:t>Three Months Ended March 31, 2005</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7"/>
              </w:rPr>
              <w:t>77,907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98,307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972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(16,617)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(23,191)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center"/>
              <w:ind w:left="133"/>
              <w:spacing w:after="0"/>
              <w:rPr>
                <w:sz w:val="20"/>
                <w:szCs w:val="20"/>
                <w:color w:val="auto"/>
              </w:rPr>
            </w:pPr>
            <w:r>
              <w:rPr>
                <w:rFonts w:ascii="Arial" w:cs="Arial" w:eastAsia="Arial" w:hAnsi="Arial"/>
                <w:sz w:val="18"/>
                <w:szCs w:val="18"/>
                <w:color w:val="auto"/>
                <w:w w:val="87"/>
              </w:rPr>
              <w:t>54,908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(15,608)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(21,929)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(22,063)</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ind w:left="133"/>
              <w:spacing w:after="0"/>
              <w:rPr>
                <w:sz w:val="20"/>
                <w:szCs w:val="20"/>
                <w:color w:val="auto"/>
              </w:rPr>
            </w:pPr>
            <w:r>
              <w:rPr>
                <w:rFonts w:ascii="Arial" w:cs="Arial" w:eastAsia="Arial" w:hAnsi="Arial"/>
                <w:sz w:val="18"/>
                <w:szCs w:val="18"/>
                <w:color w:val="auto"/>
                <w:w w:val="87"/>
              </w:rPr>
              <w:t>39,670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(27,103)</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20,692</w:t>
            </w: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center"/>
              <w:ind w:left="133"/>
              <w:spacing w:after="0"/>
              <w:rPr>
                <w:sz w:val="20"/>
                <w:szCs w:val="20"/>
                <w:color w:val="auto"/>
              </w:rPr>
            </w:pPr>
            <w:r>
              <w:rPr>
                <w:rFonts w:ascii="Arial" w:cs="Arial" w:eastAsia="Arial" w:hAnsi="Arial"/>
                <w:sz w:val="18"/>
                <w:szCs w:val="18"/>
                <w:color w:val="auto"/>
                <w:w w:val="87"/>
              </w:rPr>
              <w:t>39,670</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8,125</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(23,798)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23,997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1,336,867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900,481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89,977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2,327,325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60" w:type="dxa"/>
            <w:vAlign w:val="bottom"/>
            <w:vMerge w:val="restart"/>
          </w:tcPr>
          <w:p>
            <w:pPr>
              <w:jc w:val="right"/>
              <w:ind w:right="163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80" w:firstLine="73"/>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following discussion should be read in conjunction with the consolidated interim financial statements and notes thereto appearing in Item 1 of this report and the more detailed information contained in our 2005 Annual report on Form 10-K filed with the Securities and Exchange Commission on February 27, 2006.</w:t>
      </w:r>
    </w:p>
    <w:p>
      <w:pPr>
        <w:spacing w:after="0" w:line="8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2005 Annual Report on Form 10-K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retail and mixed-use properties. As of March 31, 2006, we owned or had a majority interest in 104 community and neighborhood shopping centers and mixed-use properties comprising approximately 17.6 million square feet, located primarily in densely populated and affluent communities throughout the Northeast and Mid-Atlantic United States, as well as in California, and one apartment complex in Maryland. In total, the 104 commercial properties were 96.2% leased at March 31, 2006. A joint venture in which we own a 30% interest owned four neighborhood shopping centers totaling approximately 0.5 million square feet as of March 31, 2006. In total, the joint venture properties in which we own an interest were 97.8% leased at March 31, 2006. We have paid quarterly dividends to our shareholders continuously since our founding in 1962 and have increased our dividends per common share for 38 consecutive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Property Acquisitions and Dispositions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acquisitions during the three months ended March 31, 2006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Gross</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2680" w:type="dxa"/>
            <w:vAlign w:val="bottom"/>
          </w:tcPr>
          <w:p>
            <w:pPr>
              <w:ind w:left="1220"/>
              <w:spacing w:after="0"/>
              <w:rPr>
                <w:sz w:val="20"/>
                <w:szCs w:val="20"/>
                <w:color w:val="auto"/>
              </w:rPr>
            </w:pPr>
            <w:r>
              <w:rPr>
                <w:rFonts w:ascii="Arial" w:cs="Arial" w:eastAsia="Arial" w:hAnsi="Arial"/>
                <w:sz w:val="14"/>
                <w:szCs w:val="14"/>
                <w:b w:val="1"/>
                <w:bCs w:val="1"/>
                <w:color w:val="auto"/>
              </w:rPr>
              <w:t>Date</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tcPr>
          <w:p>
            <w:pPr>
              <w:ind w:left="540"/>
              <w:spacing w:after="0"/>
              <w:rPr>
                <w:sz w:val="20"/>
                <w:szCs w:val="20"/>
                <w:color w:val="auto"/>
              </w:rPr>
            </w:pPr>
            <w:r>
              <w:rPr>
                <w:rFonts w:ascii="Arial" w:cs="Arial" w:eastAsia="Arial" w:hAnsi="Arial"/>
                <w:sz w:val="14"/>
                <w:szCs w:val="14"/>
                <w:b w:val="1"/>
                <w:bCs w:val="1"/>
                <w:color w:val="auto"/>
              </w:rPr>
              <w:t>Property</w:t>
            </w:r>
          </w:p>
        </w:tc>
        <w:tc>
          <w:tcPr>
            <w:tcW w:w="500" w:type="dxa"/>
            <w:vAlign w:val="bottom"/>
          </w:tcPr>
          <w:p>
            <w:pPr>
              <w:spacing w:after="0"/>
              <w:rPr>
                <w:sz w:val="15"/>
                <w:szCs w:val="15"/>
                <w:color w:val="auto"/>
              </w:rPr>
            </w:pPr>
          </w:p>
        </w:tc>
        <w:tc>
          <w:tcPr>
            <w:tcW w:w="2400" w:type="dxa"/>
            <w:vAlign w:val="bottom"/>
          </w:tcPr>
          <w:p>
            <w:pPr>
              <w:ind w:left="900"/>
              <w:spacing w:after="0"/>
              <w:rPr>
                <w:sz w:val="20"/>
                <w:szCs w:val="20"/>
                <w:color w:val="auto"/>
              </w:rPr>
            </w:pPr>
            <w:r>
              <w:rPr>
                <w:rFonts w:ascii="Arial" w:cs="Arial" w:eastAsia="Arial" w:hAnsi="Arial"/>
                <w:sz w:val="14"/>
                <w:szCs w:val="14"/>
                <w:b w:val="1"/>
                <w:bCs w:val="1"/>
                <w:color w:val="auto"/>
              </w:rPr>
              <w:t>City, State</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Leasable Area</w:t>
            </w:r>
          </w:p>
        </w:tc>
        <w:tc>
          <w:tcPr>
            <w:tcW w:w="5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r>
      <w:tr>
        <w:trPr>
          <w:trHeight w:val="142"/>
        </w:trPr>
        <w:tc>
          <w:tcPr>
            <w:tcW w:w="2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50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2"/>
                <w:szCs w:val="12"/>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January 20, 2006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4900</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Hampden Lane</w:t>
            </w:r>
          </w:p>
        </w:tc>
        <w:tc>
          <w:tcPr>
            <w:tcW w:w="2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Bethesda, MD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January 27, 2006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7770</w:t>
            </w:r>
          </w:p>
        </w:tc>
        <w:tc>
          <w:tcPr>
            <w:tcW w:w="1980" w:type="dxa"/>
            <w:vAlign w:val="bottom"/>
          </w:tcPr>
          <w:p>
            <w:pPr>
              <w:ind w:left="20"/>
              <w:spacing w:after="0"/>
              <w:rPr>
                <w:sz w:val="20"/>
                <w:szCs w:val="20"/>
                <w:color w:val="auto"/>
              </w:rPr>
            </w:pPr>
            <w:r>
              <w:rPr>
                <w:rFonts w:ascii="Arial" w:cs="Arial" w:eastAsia="Arial" w:hAnsi="Arial"/>
                <w:sz w:val="18"/>
                <w:szCs w:val="18"/>
                <w:color w:val="auto"/>
              </w:rPr>
              <w:t>Richmond Hwy</w:t>
            </w:r>
          </w:p>
        </w:tc>
        <w:tc>
          <w:tcPr>
            <w:tcW w:w="2900" w:type="dxa"/>
            <w:vAlign w:val="bottom"/>
            <w:gridSpan w:val="2"/>
          </w:tcPr>
          <w:p>
            <w:pPr>
              <w:ind w:left="500"/>
              <w:spacing w:after="0"/>
              <w:rPr>
                <w:sz w:val="20"/>
                <w:szCs w:val="20"/>
                <w:color w:val="auto"/>
              </w:rPr>
            </w:pPr>
            <w:r>
              <w:rPr>
                <w:rFonts w:ascii="Arial" w:cs="Arial" w:eastAsia="Arial" w:hAnsi="Arial"/>
                <w:sz w:val="18"/>
                <w:szCs w:val="18"/>
                <w:color w:val="auto"/>
              </w:rPr>
              <w:t>Alexandria, VA</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24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$0.1 million and $0.3 million of the net assets acquired were allocated to other assets for “above market leases” and liabilities for “below market leases”, respectively.</w:t>
      </w:r>
    </w:p>
    <w:p>
      <w:pPr>
        <w:ind w:left="460" w:right="24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$0.2 million and $0.2 million of the net assets acquired were allocated to other assets for “above market leases” and liabilities for “below market leases”,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significant dispositions during the three months ended March 31, 2006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22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c>
          <w:tcPr>
            <w:tcW w:w="560" w:type="dxa"/>
            <w:vAlign w:val="bottom"/>
          </w:tcPr>
          <w:p>
            <w:pPr>
              <w:spacing w:after="0"/>
              <w:rPr>
                <w:sz w:val="15"/>
                <w:szCs w:val="15"/>
                <w:color w:val="auto"/>
              </w:rPr>
            </w:pPr>
          </w:p>
        </w:tc>
        <w:tc>
          <w:tcPr>
            <w:tcW w:w="21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Property</w:t>
            </w:r>
          </w:p>
        </w:tc>
        <w:tc>
          <w:tcPr>
            <w:tcW w:w="540" w:type="dxa"/>
            <w:vAlign w:val="bottom"/>
          </w:tcPr>
          <w:p>
            <w:pPr>
              <w:spacing w:after="0"/>
              <w:rPr>
                <w:sz w:val="15"/>
                <w:szCs w:val="15"/>
                <w:color w:val="auto"/>
              </w:rPr>
            </w:pPr>
          </w:p>
        </w:tc>
        <w:tc>
          <w:tcPr>
            <w:tcW w:w="19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City, State</w:t>
            </w:r>
          </w:p>
        </w:tc>
        <w:tc>
          <w:tcPr>
            <w:tcW w:w="5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540" w:type="dxa"/>
            <w:vAlign w:val="bottom"/>
          </w:tcPr>
          <w:p>
            <w:pPr>
              <w:spacing w:after="0"/>
              <w:rPr>
                <w:sz w:val="15"/>
                <w:szCs w:val="15"/>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Sales Price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5"/>
                <w:szCs w:val="15"/>
                <w:color w:val="auto"/>
              </w:rPr>
            </w:pPr>
          </w:p>
        </w:tc>
      </w:tr>
      <w:tr>
        <w:trPr>
          <w:trHeight w:val="134"/>
        </w:trPr>
        <w:tc>
          <w:tcPr>
            <w:tcW w:w="2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(In square feet)</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4"/>
          </w:tcPr>
          <w:p>
            <w:pPr>
              <w:jc w:val="right"/>
              <w:ind w:right="80"/>
              <w:spacing w:after="0" w:line="134"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Various</w:t>
            </w:r>
          </w:p>
        </w:tc>
        <w:tc>
          <w:tcPr>
            <w:tcW w:w="2720" w:type="dxa"/>
            <w:vAlign w:val="bottom"/>
            <w:gridSpan w:val="2"/>
          </w:tcPr>
          <w:p>
            <w:pPr>
              <w:ind w:left="560"/>
              <w:spacing w:after="0"/>
              <w:rPr>
                <w:sz w:val="20"/>
                <w:szCs w:val="20"/>
                <w:color w:val="auto"/>
              </w:rPr>
            </w:pPr>
            <w:r>
              <w:rPr>
                <w:rFonts w:ascii="Arial" w:cs="Arial" w:eastAsia="Arial" w:hAnsi="Arial"/>
                <w:sz w:val="18"/>
                <w:szCs w:val="18"/>
                <w:color w:val="auto"/>
              </w:rPr>
              <w:t>Condominiums at Santana</w:t>
            </w:r>
          </w:p>
        </w:tc>
        <w:tc>
          <w:tcPr>
            <w:tcW w:w="54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San Jose, CA</w:t>
            </w:r>
          </w:p>
        </w:tc>
        <w:tc>
          <w:tcPr>
            <w:tcW w:w="5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8"/>
          <w:szCs w:val="18"/>
          <w:color w:val="auto"/>
        </w:rPr>
        <w:t>Row</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(49 units)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March 31, 2006, we had sold 179 of the 219 condominium units we intend to sell at Santana Row.</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 of $8.7 million is net of $1.6 million in taxes.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our 2006 income from continuing operations to grow in comparison to our 2005 income from continuing operations. We expect this income growth primarily to be generated by a combination of the following:</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earnings in our same-center portfolio and from properties under redevelopment;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continue to see a positive impact on our income as a result of the redevelopment of our shopping centers and higher rental rates on existing spaces as leases on these spaces expire. In 2006 and 2007, we anticipate that over 700,000 square feet of retail space that has been under redevelopment will begin paying rent. As redevelopment properties are completed, spaces that were out of service begin generating revenue; in addition, spaces that were not out of service and that have expiring leases may generate higher revenue because we generally receive higher rent on new leases. For example, many of the leases with rents commencing in 2006 were signed in 2005 or earlier, and leases signed in 2004 and 2005 on spaces for which there was a previous tenant have on average been renewed at double digit base rent increases. On spaces where the tenant leases are expiring in 2006, our analysis of current market rents as compared to rents on the existing leases leads us to expect that the base rents in new leases will have double-digit average increases over the base rents currently in place.</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March 31, 2006 the leasable square feet in our shopping centers was 94.8% occupied and 96.2% leased. The leased rate is higher than the occupied rate due to spaces that are being redeveloped or improved or that are awaiting permits and, therefore, are not yet ready to be occupied. We believe that our occupancy rate will improve slightly in 2006 over 2005 as tenants take possession of leased spaces, particularly in centers being redeveloped, but that our occupancy rate will always be below our leased rate as leased spaces are prepared for occupancy. Our occupancy and leased rates are subject to variability over time due to acquisitions and the timing of the start and stabilization of our redevelopment projects.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Santana Row</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Santana Row, located in San Jose, California, includes approximately 563,000 square feet of retail space, 295 residential rental units, and a ground lease to a 213-room hotel. The 295 residential units include 259 residential units delivered in 2005 and 2006 plus 36 pre-existing residential units. The 295 residential rental units do not include 219 units that have been sold as condominiums or are currently classified as held for sale. Our total investment in Santana Row, excluding future phases, is anticipated to be $432 million (which includes the 563,000 square feet of retail space, the 295 residential rental units, the related common areas and infrastructure and $11 million invested in restaurant ventures) net of insurance proceeds received related to the 2002 fire and proceeds from the sale of the 219 residential units.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We are developing a master plan for the remaining parcels at Santana Row which comprise approximately 13.4 acres of land. Our remaining entitlements consist of approximately 120,000 square feet of retail space, 687 residential units and a 191-room hotel. We are evaluating the feasibility of utilizing these entitlements in future development at Santana Row but there is no guaranty that we will ultimately pursue or complete any part of the development of the remaining parcels.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We anticipate growth in earnings in 2006 from acquisitions of neighborhood and community shopping centers in our primary markets in the East and West regions, as well as a reduction in earnings from selective dispositions. Any growth in earnings from acquisitions is contingent, however, on our ability to find properties that meet our qualitative standards at prices that meet our financial hurdles. Changes in interest rates also may affect our success in achieving growth through acquisitions by affecting both the price that must be paid to acquire a property, as well as our ability to economically finance the property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MARCH 31, 2006 AND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8"/>
              </w:rPr>
              <w:t>Increase/</w:t>
            </w:r>
          </w:p>
        </w:tc>
        <w:tc>
          <w:tcPr>
            <w:tcW w:w="46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71"/>
              </w:rPr>
              <w:t>thousands)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4"/>
          </w:tcPr>
          <w:p>
            <w:pPr>
              <w:jc w:val="right"/>
              <w:ind w:right="73"/>
              <w:spacing w:after="0" w:line="142" w:lineRule="exact"/>
              <w:rPr>
                <w:sz w:val="20"/>
                <w:szCs w:val="20"/>
                <w:color w:val="auto"/>
              </w:rPr>
            </w:pPr>
            <w:r>
              <w:rPr>
                <w:rFonts w:ascii="Arial" w:cs="Arial" w:eastAsia="Arial" w:hAnsi="Arial"/>
                <w:sz w:val="14"/>
                <w:szCs w:val="14"/>
                <w:b w:val="1"/>
                <w:bCs w:val="1"/>
                <w:color w:val="auto"/>
                <w:w w:val="79"/>
              </w:rPr>
              <w:t>(Dollar amounts in</w:t>
            </w: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105,488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98,307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1,930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1"/>
        </w:trPr>
        <w:tc>
          <w:tcPr>
            <w:tcW w:w="7400" w:type="dxa"/>
            <w:vAlign w:val="bottom"/>
          </w:tcPr>
          <w:p>
            <w:pPr>
              <w:ind w:left="440"/>
              <w:spacing w:after="0"/>
              <w:rPr>
                <w:sz w:val="20"/>
                <w:szCs w:val="20"/>
                <w:color w:val="auto"/>
              </w:rPr>
            </w:pPr>
            <w:r>
              <w:rPr>
                <w:rFonts w:ascii="Arial" w:cs="Arial" w:eastAsia="Arial" w:hAnsi="Arial"/>
                <w:sz w:val="18"/>
                <w:szCs w:val="18"/>
                <w:color w:val="auto"/>
              </w:rPr>
              <w:t>Total property revenue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108,905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w w:val="86"/>
              </w:rPr>
              <w:t>101,518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7,387</w:t>
            </w:r>
          </w:p>
        </w:tc>
        <w:tc>
          <w:tcPr>
            <w:tcW w:w="5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23,191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(1,001)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5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1"/>
        </w:trPr>
        <w:tc>
          <w:tcPr>
            <w:tcW w:w="7400" w:type="dxa"/>
            <w:vAlign w:val="bottom"/>
          </w:tcPr>
          <w:p>
            <w:pPr>
              <w:ind w:left="88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68,724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7,380</w:t>
            </w:r>
          </w:p>
        </w:tc>
        <w:tc>
          <w:tcPr>
            <w:tcW w:w="5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108.5%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(24,280)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92"/>
              </w:rPr>
              <w:t>(22,063)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(2,217)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(4,501)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(4,502)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(24,036)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92"/>
              </w:rPr>
              <w:t>(21,929)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(2,107)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(52,406)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w w:val="92"/>
              </w:rPr>
              <w:t>(48,032)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(4,374)</w:t>
            </w: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443</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-161.4%</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5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104.0%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23,997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 Santana Row is considered under development in both 2006 and 2005 and as such is excluded from same-center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Total property revenue increased $7.4 million, or 7.3%, to $108.9 million in the three months ended March 31, 2006 compared to $101.5 million in the three months ended March 31, 2005. The percentage leased at our shopping centers increased to 96.2% at March 31, 2006 compared to 95.1% at March 31, 2005 due primarily to new leases signed at existing properties. Changes in the components of property revenue are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Rental income consists primarily of minimum rent, cost recoveries from tenants, and percentage rent. Rental income increased $7.2 million, or 7.3%, to $105.5 million in the three months ended March 31, 2006 compared to $98.3 million in the three months ended March 31, 2005 due primarily to the following:</w:t>
      </w:r>
    </w:p>
    <w:p>
      <w:pPr>
        <w:spacing w:after="0" w:line="4"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$3.2 million attributable to properties acquired in 2006 and 2005,</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$2.2 million, or 26.6%, at Santana Row due primarily to leasing newly constructed residential units and increased rental rates on new retail leases,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$0.9 million at redevelopment properties due primarily to increased rental rates on new leases and increased occupancy,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$0.9 million at same-center properties due primarily to increased rental rates on new leases and increased occupancy.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Other property income increased $0.2 million, or 8.5%, to $2.1 million in the three months ended March 31, 2006 compared to $1.9 million in the three months ended March 31, 2005. This increase is due primarily to increased equity earnings from our restaurant joint ventures. Included in other property income are items which, although recurring, tend to fluctuate more than rental income from period to period, such as lease termination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Total property operating expenses were consistent at $32.8 million in the three months ended March 31, 2006 and 2005.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Rental expenses decreased $1.0 million, or 4.3%, to $22.2 million in the three months ended March 31, 2006 compared to $23.2 million in the three months ended March 31, 2005. This decrease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$2.8 million due to lower bad debt expense and lower snow removal costs, partially offset by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$0.8 million at Santana Row due primarily to newly constructed residential units brought into service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$0.6 million, attributable to properties acquired in 2006 and 2005.</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decreased to 20.6% in the three months ended March 31, 2006 from 23.1% in the three months ended March 31,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Real estate tax expense increased $1.0 million, or 10.5%, to $10.6 million in the three months ended March 31, 2006 compared to $9.6 million in the three months ended March 31, 2005. This increase is due primarily to increased taxes of $0.6 million related to properties acquired and Santana Row, and higher tax assessments for our other properties.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Property operating income increased $7.4 million, or 10.7%, to $76.1 million in the three months ended March 31, 2006 compared to $68.7 million in the three months ended March 31, 2005. This increase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growth in earnings at Santana Row and redevelopment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2006 and 2005.</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Same-center property operating income increased 5.0%, or approximately $2.8 million, in the three months ended March 31, 2006 compared to the three months ended March 31, 2005. This increase is primarily due to increased rental income associated with new leases, higher real estate tax recoveries and lower property operating expenses. When redevelopment and expansion properties are included with same-center results, property operating income increased by 6.4% in the three months ended March 31, 2006 compared to the three months ended March 31,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expense increased $2.2 million, or 10.0%, to $24.3 million in the three months ended March 31, 2006 compared to $22.1 million in the three months ended March 31, 2005. This increase is primarily due to higher borrowings to finance our acquisitions. Gross interest costs were $25.0 million and $23.0 million in the three months ended March 31, 2006 and 2005, respectively. Capitalized interest amounted to $0.7 million and $1.0 million in the three months ended March 31, 2006 and March 31, 2005,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General and administrative expense was consistent at $4.5 million in the three months ended March 31, 2006 and 2005. This is primarily due to an increase in gross wages and benefits being offset by an increase in wages and benefits capitalized as a result of increased leasing and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Depreciation and amortization expense increased $2.1 million, or 9.6%, to $24.0 million in the three months ended March 31, 2006 from $21.9 million in the three months ended March 31, 2005. This increase is due primarily to depreciation on acquired properties, Santana Row phases placed into service and improvements at same-center properties.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Income to minority partners decreased $0.4 million, or 29.2% to $1.1 million in the three months ended March 31, 2006 from $1.5 million in the three months ended March 31, 2005. This decrease is due primarily to a decrease in the interest held by minority partners.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which is required to be reported separately from results of ongoing operations. The reported operating (loss) income of $(0.3) million and $0.5 million in the three months ended March 31, 2006 and 2005, respectively, represent the operating (loss) income for the period during which we owned properties sold in 2006 and 2005.</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gain on sale of real estate in 2006 increased $4.5 million to $8.7 million in the three months ended March 31, 2006 compared to $4.3 million in the three months ended March 31, 2005. All of the properties sold in 2006 (condominiums at Santana Row) and 2005 (two properties in Tempe, Arizona) resulted in gains.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provides selected key segment data for the three months ended March 31, 2006 and 2005. The results of properties classified as discontinued operations have been excluded from the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6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81,407</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77,907</w:t>
            </w: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79,552</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59,311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54,908</w:t>
            </w: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1,393,356</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1,336,867</w:t>
            </w: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15,049</w:t>
            </w:r>
          </w:p>
        </w:tc>
      </w:tr>
      <w:tr>
        <w:trPr>
          <w:trHeight w:val="323"/>
        </w:trPr>
        <w:tc>
          <w:tcPr>
            <w:tcW w:w="6620" w:type="dxa"/>
            <w:vAlign w:val="bottom"/>
          </w:tcPr>
          <w:p>
            <w:pPr>
              <w:spacing w:after="0"/>
              <w:rPr>
                <w:sz w:val="20"/>
                <w:szCs w:val="20"/>
                <w:color w:val="auto"/>
              </w:rPr>
            </w:pPr>
            <w:r>
              <w:rPr>
                <w:rFonts w:ascii="Arial" w:cs="Arial" w:eastAsia="Arial" w:hAnsi="Arial"/>
                <w:sz w:val="18"/>
                <w:szCs w:val="18"/>
                <w:color w:val="auto"/>
              </w:rPr>
              <w:t>West</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20,400</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25,542</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21,966</w:t>
            </w: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13,816</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62.9%</w:t>
            </w: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888,261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900,481</w:t>
            </w:r>
          </w:p>
        </w:tc>
      </w:tr>
      <w:tr>
        <w:trPr>
          <w:trHeight w:val="222"/>
        </w:trPr>
        <w:tc>
          <w:tcPr>
            <w:tcW w:w="66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2,605</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 This region also includes several properties in Illinois and Michigan. As of March 31, 2006, the East region consisted of 71 properties and was 96.7% leased.</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Rental income for the East region increased $3.5 million to $81.4 million in the three months ended March 31, 2006 compared to $77.9 million in the three months ended March 31, 2005 due primarily to the following:</w:t>
      </w:r>
    </w:p>
    <w:p>
      <w:pPr>
        <w:spacing w:after="0" w:line="51"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$2.0 million attributable to properties acquired in 2006 and 2005,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$1.1 million at redevelopment properties due primarily to increased rental rates on new leases and increased occupancy.</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Property operating income for the East region increased $4.4 million due primarily to the increase in rental income discussed above and $1.0 million of lower snow removal costs. As a result of these changes, the ratio of property operating income to total revenue for the East region improved to 71.1% in the three months ended March 31, 2006 from 69.0% in the three months ended March 31,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West region extends from Texas to the West Coast. As of March 31, 2006, the West region consisted of 34 properties, including Santana Row, and was 93.6% leased.</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Rental income for the West region increased $3.7 million to $24.1 million in the three months ended March 31, 2006 from $20.4 million in the three months ended March 31, 2005 due primarily to the following:</w:t>
      </w:r>
    </w:p>
    <w:p>
      <w:pPr>
        <w:spacing w:after="0" w:line="51" w:lineRule="exact"/>
        <w:rPr>
          <w:sz w:val="20"/>
          <w:szCs w:val="20"/>
          <w:color w:val="auto"/>
        </w:rPr>
      </w:pPr>
    </w:p>
    <w:p>
      <w:pPr>
        <w:ind w:left="780" w:right="10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$2.2 million at Santana Row due primarily to leasing newly constructed residential units and increased rental rates on new retail leases,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$1.3 million attributable to the acquisition of Crow Canyon in December 2005.</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Property operating income for the West region increased $3.0 million due primarily to the increase in rental income discussed above partially offset by a $0.5 million increase in real estate taxes. As a result of these changes, the ratio of property operating income to total revenue for the West region improved to 65.7% in the three months ended March 31, 2006 from 62.9% in the three months ended March 31, 2005.</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overall return on investment in our West region is significantly less than the overall return on investment in our East region. This is due primarily to the following factors:</w:t>
      </w:r>
    </w:p>
    <w:p>
      <w:pPr>
        <w:spacing w:after="0" w:line="51"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generally lower bases in our East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occupancy rates at Houston Street in San Antonio, Texas are below our portfolio average,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phasing into service of Santana Row.</w:t>
      </w:r>
    </w:p>
    <w:p>
      <w:pPr>
        <w:spacing w:after="0" w:line="17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We expect that returns on investment in our West region will continue to rise as Santana Row and Houston Street come into service, but that they will not necessarily rise to the same level of overall returns that are generated in our East region.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Our status as a REIT requires that we distribute at least 90% of our REIT taxable income (including net capital gain) each year, as defined in the Code.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2006 will depend upon acquisition opportunities, the level of improvements and redevelopments on existing properties and the timing and cost of development of future phases of existing properties.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0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cash needed to execute our strategy and invest in new properties, as well as to pay our debt at maturity, must come from one or more of the following sources:</w:t>
      </w:r>
    </w:p>
    <w:p>
      <w:pPr>
        <w:spacing w:after="0" w:line="51"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provided by operations that is not distributed to shareholders,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proceeds from the issuance of new debt or equity securities,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proceeds from property dispositions.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90" w:lineRule="exact"/>
        <w:rPr>
          <w:sz w:val="20"/>
          <w:szCs w:val="20"/>
          <w:color w:val="auto"/>
        </w:rPr>
      </w:pPr>
    </w:p>
    <w:p>
      <w:pPr>
        <w:ind w:left="780" w:right="4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5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may prohibit us from incurring debt or issuing equity under certain circumstances, or on acceptable terms under then-prevailing market conditions;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Cash and cash equivalents were $4.8 million and $8.6 million at March 31, 2006 and December 31, 2005, respectively. Cash and cash equivalents are not a good indicator of our liquidity. We have a $300 million revolving credit facility, which we utilize to initially finance the acquisition of properties and meet other short-term working capital requirements. This revolving credit facility matures in October 2006, subject to a one-year extension at our 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74"/>
              </w:rPr>
              <w:t>thousands)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47,401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 w:type="dxa"/>
            <w:vAlign w:val="bottom"/>
          </w:tcPr>
          <w:p>
            <w:pPr>
              <w:spacing w:after="0"/>
              <w:rPr>
                <w:sz w:val="18"/>
                <w:szCs w:val="18"/>
                <w:color w:val="auto"/>
              </w:rPr>
            </w:pPr>
          </w:p>
        </w:tc>
        <w:tc>
          <w:tcPr>
            <w:tcW w:w="860" w:type="dxa"/>
            <w:vAlign w:val="bottom"/>
            <w:gridSpan w:val="3"/>
          </w:tcPr>
          <w:p>
            <w:pPr>
              <w:jc w:val="right"/>
              <w:ind w:right="184"/>
              <w:spacing w:after="0"/>
              <w:rPr>
                <w:sz w:val="20"/>
                <w:szCs w:val="20"/>
                <w:color w:val="auto"/>
              </w:rPr>
            </w:pPr>
            <w:r>
              <w:rPr>
                <w:rFonts w:ascii="Arial" w:cs="Arial" w:eastAsia="Arial" w:hAnsi="Arial"/>
                <w:sz w:val="18"/>
                <w:szCs w:val="18"/>
                <w:color w:val="auto"/>
                <w:w w:val="89"/>
              </w:rPr>
              <w:t>(11,899)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(80,860)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w w:val="89"/>
              </w:rPr>
              <w:t>(39,349)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184"/>
              <w:spacing w:after="0"/>
              <w:rPr>
                <w:sz w:val="20"/>
                <w:szCs w:val="20"/>
                <w:color w:val="auto"/>
              </w:rPr>
            </w:pPr>
            <w:r>
              <w:rPr>
                <w:rFonts w:ascii="Arial" w:cs="Arial" w:eastAsia="Arial" w:hAnsi="Arial"/>
                <w:sz w:val="18"/>
                <w:szCs w:val="18"/>
                <w:color w:val="auto"/>
              </w:rPr>
              <w:t>(3,847)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4,792</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provided by operating activities increased by $8.7 million to $47.4 million during the three months ended March 31, 2006 from $38.7 million during the three months ended March 31, 2005. The increase was primarily attributable to:</w:t>
      </w:r>
    </w:p>
    <w:p>
      <w:pPr>
        <w:spacing w:after="0" w:line="5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$5.8 million decrease in cash used for working capital due primarily to higher prepaid rent and accounts payable balances,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$2.9 million higher net income before gain on sale of real estate, depreciation and amortization, minority interest, and other non-cash expenses.</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cash used in investing activities decreased approximately $69.0 million to $11.9 million during the three months ended March 31, 2006 from $80.9 million during the three months ended March 31, 2005. The decrease was primarily attributable to:</w:t>
      </w:r>
    </w:p>
    <w:p>
      <w:pPr>
        <w:spacing w:after="0" w:line="51"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$43.4 million decrease in acquisitions of real estate,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$20.4 million increase in proceeds from the sale of real estate,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 million decrease in capital expenditures.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Net cash used in financing activities increased approximately $78.6 million to $39.3 million used during the three months ended March 31, 2006 from $39.3 million provided during the three months ended March 31, 2005. The increase was primarily attributable to:</w:t>
      </w:r>
    </w:p>
    <w:p>
      <w:pPr>
        <w:spacing w:after="0" w:line="51"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$40.5 million repayment of senior note,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$21.5 million decrease in net borrowings on our revolving credit facility,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$13.2 million increase in dividends paid to shareholders,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$12.0 million decrease in proceeds from the issuance of common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$8.4 million decrease in net payments on mortgages, capital leases and notes payable.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Other than the joint venture funding commitments described in the next paragraph and items disclosed in the Contractual Commitments Table below, we have no off-balance sheet arrangements as of March 31, 2006 that are reasonably likely to have a current or future material effect on our financial condition, changes in our financial condition, revenues or expenses, results of operations, liquidity, capital expenditures or capital resources.</w:t>
      </w:r>
    </w:p>
    <w:p>
      <w:pPr>
        <w:spacing w:after="0" w:line="10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$37 million and $86 million, respectively, of equity capital to acquire properties with a targeted investment date through June 2006. No assurances can be made that we will identify properties that meet the acquisition requirements of the Partnership.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March 31, 2006, the Partnership had $47.2 million of mortgage notes outstanding.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March 31,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86"/>
              </w:rPr>
              <w:t>Commitments Due by Period</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Remainder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2007-2008</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2009-2010</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After 2010</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Current and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1,245,161</w:t>
            </w:r>
          </w:p>
        </w:tc>
        <w:tc>
          <w:tcPr>
            <w:tcW w:w="5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189,446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535,226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Capital lease obligations, principal only</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148,516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141,344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284,306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9,066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262,645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Real estate commitments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134,287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69,267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redevelopment obligations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Restaurant joint ventures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Contractual operating obligations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1,871,850</w:t>
            </w:r>
          </w:p>
        </w:tc>
        <w:tc>
          <w:tcPr>
            <w:tcW w:w="34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327,022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343,562</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202,051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999,215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amounts set forth in the table above, the following potential commitments exist:</w:t>
      </w:r>
    </w:p>
    <w:p>
      <w:pPr>
        <w:spacing w:after="0" w:line="90" w:lineRule="exact"/>
        <w:rPr>
          <w:sz w:val="20"/>
          <w:szCs w:val="20"/>
          <w:color w:val="auto"/>
        </w:rPr>
      </w:pPr>
    </w:p>
    <w:p>
      <w:pPr>
        <w:ind w:left="460" w:right="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Based on management’s current estimate of fair market value as of March 31, 2006, our estimated maximum liability upon exercise of the put option would range from approximately $40 million to $45 million.</w:t>
      </w:r>
    </w:p>
    <w:p>
      <w:pPr>
        <w:spacing w:after="0" w:line="51" w:lineRule="exact"/>
        <w:rPr>
          <w:sz w:val="20"/>
          <w:szCs w:val="20"/>
          <w:color w:val="auto"/>
        </w:rPr>
      </w:pPr>
    </w:p>
    <w:p>
      <w:pPr>
        <w:ind w:left="460" w:right="20" w:hanging="452"/>
        <w:spacing w:after="0" w:line="294"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properties in southern California with a cost of approximately $29.0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our common shares or, subject to certain conditions, cash. In those partnerships, if the other partners do not redeem their interests, we may choose to purchase the limited partnership interests upon the same terms.</w:t>
      </w:r>
    </w:p>
    <w:p>
      <w:pPr>
        <w:spacing w:after="0" w:line="34"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$0.8 million, and the letter of credit remains outstanding. We estimate our total obligation under the Agreement to be in the range of $1.6 million to $3.0 million. As of March 31, 2006, we have funded approximately $1.1 million related to this obligation. In anticipation of further shortfalls of incremental tax revenues to the City, we have accrued approximately $0.4 million as of March 31, 2006 to cover additional payments we may be obligated to make as part of the project costs. Prior to the expiration of the Agreement on September 30, 2014, we could be required to provide funding beyond the $0.4 million currently accrued. However, we do not anticipate that our obligation would exceed $0.6 million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46" w:lineRule="exact"/>
        <w:rPr>
          <w:rFonts w:ascii="Arial" w:cs="Arial" w:eastAsia="Arial" w:hAnsi="Arial"/>
          <w:sz w:val="16"/>
          <w:szCs w:val="16"/>
          <w:color w:val="auto"/>
        </w:rPr>
      </w:pPr>
    </w:p>
    <w:p>
      <w:pPr>
        <w:ind w:left="460" w:right="48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for entities, the partners have the right to exchange their operating units for cash or the same number of our common shares, at our option. As of March 31, 2006, a total of 420,426 operating units are outstanding.</w:t>
      </w:r>
    </w:p>
    <w:p>
      <w:pPr>
        <w:spacing w:after="0" w:line="4" w:lineRule="exact"/>
        <w:rPr>
          <w:rFonts w:ascii="Arial" w:cs="Arial" w:eastAsia="Arial" w:hAnsi="Arial"/>
          <w:sz w:val="16"/>
          <w:szCs w:val="16"/>
          <w:color w:val="auto"/>
        </w:rPr>
      </w:pPr>
    </w:p>
    <w:p>
      <w:pPr>
        <w:ind w:left="460" w:right="100" w:hanging="452"/>
        <w:spacing w:after="0" w:line="29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In addition, future rental commitments are not reflected as commitments until the underlying leased space has been delivered for use. Overall capital requirements will depend upon acquisition opportunities, the level of improvements and redevelopments on existing properties and the timing and cost of future phases of Santana Row and Assembly Square.</w:t>
      </w:r>
    </w:p>
    <w:p>
      <w:pPr>
        <w:spacing w:after="0" w:line="39" w:lineRule="exact"/>
        <w:rPr>
          <w:rFonts w:ascii="Arial" w:cs="Arial" w:eastAsia="Arial" w:hAnsi="Arial"/>
          <w:sz w:val="16"/>
          <w:szCs w:val="16"/>
          <w:color w:val="auto"/>
        </w:rPr>
      </w:pPr>
    </w:p>
    <w:p>
      <w:pPr>
        <w:ind w:left="460" w:right="260" w:hanging="452"/>
        <w:spacing w:after="0" w:line="30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the guarantor for the “non-recourse carve outs” under mortgage notes totaling $36.7 million that are secured by three properties owned by subsidiaries of our unconsolidated joint venture with affiliates of Clarion Lion Properties Fund, a discretionary fund created and advised by ING Clarion Partners. We are not guaranteeing the debt itself. The joint venture indemnifies us for any loss we incur under these guarantees.</w:t>
      </w:r>
    </w:p>
    <w:p>
      <w:pPr>
        <w:spacing w:after="0" w:line="25"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completion on or around June 1, 2006, we expect to take possession of approximately 37,000 square feet of retail space under a capital lease. The term of the capital lease is 99 years from the date of possession and requires annual cash payments of approximately $374,000 and will be adjusted every 20 years based on the Consumer Price Index and other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Original</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Interest Rate</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Debt</w:t>
            </w:r>
          </w:p>
        </w:tc>
        <w:tc>
          <w:tcPr>
            <w:tcW w:w="6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9"/>
              </w:rPr>
              <w:t>as of</w:t>
            </w:r>
          </w:p>
        </w:tc>
        <w:tc>
          <w:tcPr>
            <w:tcW w:w="13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as of</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Issued</w:t>
            </w:r>
          </w:p>
        </w:tc>
        <w:tc>
          <w:tcPr>
            <w:tcW w:w="6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March 31, 2006</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March 31, 2006</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Maturity Date</w:t>
            </w:r>
          </w:p>
        </w:tc>
      </w:tr>
      <w:tr>
        <w:trPr>
          <w:trHeight w:val="27"/>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5"/>
          </w:tcPr>
          <w:p>
            <w:pPr>
              <w:ind w:left="260"/>
              <w:spacing w:after="0" w:line="149"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Mortgage Loans (1)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Secured Fixed Rate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Leesburg Plaza</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9,849</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6.510%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October 1, 2008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164 E. Houston Street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345</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October 6, 2008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Mercer Mall</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Acquired</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4,561</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8.375%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April 1, 2009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Federal Plaza</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36,500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34,550</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June 1, 2011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Tysons Station</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6,471</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7.400%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September 1, 2011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Crow Canyon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Acquired</w:t>
            </w: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22,197</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5.400%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August 11, 2013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Barracks Road</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43,052</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7.950%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Hauppauge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16,700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16,230</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7.950%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Lawrence Park</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30,516</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7.950%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Wildwood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27,600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26,823</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7.950%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Wynnewood</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31,099</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7.950%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Brick Plaza</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33,000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31,985</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7.415%</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Mount Vernon (2)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13,250</w:t>
            </w:r>
          </w:p>
        </w:tc>
        <w:tc>
          <w:tcPr>
            <w:tcW w:w="3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12,485</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5.660%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April 15, 2028</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20" w:type="dxa"/>
            <w:vAlign w:val="bottom"/>
          </w:tcPr>
          <w:p>
            <w:pPr>
              <w:ind w:left="120"/>
              <w:spacing w:after="0" w:line="155" w:lineRule="exact"/>
              <w:rPr>
                <w:sz w:val="20"/>
                <w:szCs w:val="20"/>
                <w:color w:val="auto"/>
              </w:rPr>
            </w:pPr>
            <w:r>
              <w:rPr>
                <w:rFonts w:ascii="Arial" w:cs="Arial" w:eastAsia="Arial" w:hAnsi="Arial"/>
                <w:sz w:val="14"/>
                <w:szCs w:val="14"/>
                <w:color w:val="auto"/>
              </w:rPr>
              <w:t>Total Mortgage Loans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269,951</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Notes Payable</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Unsecured Fixed Rate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Perring Plaza Renovation</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3,087</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1,765</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31, 2013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Other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40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Various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Various</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Unsecured Variable Rate</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Revolving credit facilities (3)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300,000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99,000</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LIBOR + 0.75%</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October 8, 2006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Term note with banks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LIBOR + 0.95%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October 8, 2006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Term note with banks (4)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LIBOR + 0.95%</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October 8, 2008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Escondido (Municipal Bonds) (5)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9,400</w:t>
            </w:r>
          </w:p>
        </w:tc>
        <w:tc>
          <w:tcPr>
            <w:tcW w:w="3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9,400</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3.04%</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October 1, 2016</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20" w:type="dxa"/>
            <w:vAlign w:val="bottom"/>
          </w:tcPr>
          <w:p>
            <w:pPr>
              <w:ind w:left="120"/>
              <w:spacing w:after="0" w:line="155" w:lineRule="exact"/>
              <w:rPr>
                <w:sz w:val="20"/>
                <w:szCs w:val="20"/>
                <w:color w:val="auto"/>
              </w:rPr>
            </w:pPr>
            <w:r>
              <w:rPr>
                <w:rFonts w:ascii="Arial" w:cs="Arial" w:eastAsia="Arial" w:hAnsi="Arial"/>
                <w:sz w:val="14"/>
                <w:szCs w:val="14"/>
                <w:color w:val="auto"/>
              </w:rPr>
              <w:t>Total Notes Payable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360,210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Notes and Debentures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Unsecured Fixed Rate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6.125% Notes (6)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6.325%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November 15, 2007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8.75% Notes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175,000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8.750%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December 1, 2009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4.50% Notes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4.500%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February 15, 2011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5.65% Notes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40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5.650%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June 1, 2016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7.48% Debentures (7)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7.480%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15, 2026</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6.82% Medium Term Notes (8)</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40,000</w:t>
            </w:r>
          </w:p>
        </w:tc>
        <w:tc>
          <w:tcPr>
            <w:tcW w:w="400" w:type="dxa"/>
            <w:vAlign w:val="bottom"/>
          </w:tcPr>
          <w:p>
            <w:pPr>
              <w:spacing w:after="0"/>
              <w:rPr>
                <w:sz w:val="13"/>
                <w:szCs w:val="13"/>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6.820%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August 1, 2027</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Subtotal</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615,000</w:t>
            </w: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20" w:type="dxa"/>
            <w:vAlign w:val="bottom"/>
          </w:tcPr>
          <w:p>
            <w:pPr>
              <w:ind w:left="120"/>
              <w:spacing w:after="0" w:line="149" w:lineRule="exact"/>
              <w:rPr>
                <w:sz w:val="20"/>
                <w:szCs w:val="20"/>
                <w:color w:val="auto"/>
              </w:rPr>
            </w:pPr>
            <w:r>
              <w:rPr>
                <w:rFonts w:ascii="Arial" w:cs="Arial" w:eastAsia="Arial" w:hAnsi="Arial"/>
                <w:sz w:val="14"/>
                <w:szCs w:val="14"/>
                <w:color w:val="auto"/>
              </w:rPr>
              <w:t>Unamortized Discount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(1,684)</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Senior Notes and Debentures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613,316</w:t>
            </w: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Capital Lease Obligations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Various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148,516</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Various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Various through 2077</w:t>
            </w:r>
          </w:p>
        </w:tc>
        <w:tc>
          <w:tcPr>
            <w:tcW w:w="20" w:type="dxa"/>
            <w:vAlign w:val="bottom"/>
          </w:tcPr>
          <w:p>
            <w:pPr>
              <w:spacing w:after="0"/>
              <w:rPr>
                <w:sz w:val="12"/>
                <w:szCs w:val="12"/>
                <w:color w:val="auto"/>
              </w:rPr>
            </w:pPr>
          </w:p>
        </w:tc>
      </w:tr>
      <w:tr>
        <w:trPr>
          <w:trHeight w:val="156"/>
        </w:trPr>
        <w:tc>
          <w:tcPr>
            <w:tcW w:w="6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Debt and Capital Lease Obligations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1,391,993</w:t>
            </w: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Mortgage loans do not include our 30% share ($14.2 million) of the $47.2 million debt of the partnership with Clarion Lion Properties Fund.</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interest rate is fixed at 5.66% for the first ten years and then will be reset to a market rate. The lender has the option to call the loan on April 15, 2013 or any time thereafter.</w:t>
      </w:r>
    </w:p>
    <w:p>
      <w:pPr>
        <w:ind w:left="340" w:right="16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revolving credit facility offers a one-year extension option. The maximum amount drawn under the facility during the three months ended March 31, 2006 was $102.0 million. The weighted average effective interest rate on borrowings under the facility was 5.00% for the three months ended March 31, 2006.</w:t>
      </w:r>
    </w:p>
    <w:p>
      <w:pPr>
        <w:ind w:left="340" w:righ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loan bears interest at LIBOR plus 95 basis points. In January 2004, we purchased interest rate swaps or hedges on this note, which fixed the LIBOR portion of the interest rate at 2.401% through October 2006, resulting in an effective interest rate, assuming no change to our debt rating, of 3.351% through October 2006.</w:t>
      </w:r>
    </w:p>
    <w:p>
      <w:pPr>
        <w:ind w:left="340" w:right="2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340" w:right="42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purchased an interest rate lock to hedge a planned note offering. A hedge loss of $1.5 million associated with this hedge is being amortized into the note offering, thereby increasing the effective interest rate on these notes to 6.325%.</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Beginning on August 15, 2008, the debentures are redeemable by the holders thereof at the original purchase price of $1,000 per debenture.</w:t>
      </w: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Beginning on August 1, 2007, the notes are redeemable by the holders thereof at the original purchase price of $1,000 per note.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March 31, 2006,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 did not have a significant impact on earnings in the three months ended March 31, 2006 and 2005, and we do not anticipate it will have a significant effect in the future.</w:t>
      </w:r>
    </w:p>
    <w:p>
      <w:pPr>
        <w:spacing w:after="0" w:line="11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In January 2004, we entered into an interest rate swap to fix the LIBOR portion of our $150 million term loan issued in October of 2003. This swap fixed the LIBOR portion at 2.401% through October 2006. The current interest rate on this term loan, taking into account this swap, is 3.351% (2.401% plus 95 basis points) and will remain at this rate through October 2006 assuming no change in our debt rating.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90% of our REIT taxable income (including net capital gain) to our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780" w:right="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2006</w:t>
            </w:r>
          </w:p>
        </w:tc>
        <w:tc>
          <w:tcPr>
            <w:tcW w:w="1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w w:val="97"/>
              </w:rPr>
              <w:t>(In thousands, except per share data)</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(8,737)</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21,874</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60" w:type="dxa"/>
            <w:vAlign w:val="bottom"/>
            <w:gridSpan w:val="2"/>
          </w:tcPr>
          <w:p>
            <w:pPr>
              <w:ind w:left="440"/>
              <w:spacing w:after="0"/>
              <w:rPr>
                <w:sz w:val="20"/>
                <w:szCs w:val="20"/>
                <w:color w:val="auto"/>
              </w:rPr>
            </w:pPr>
            <w:r>
              <w:rPr>
                <w:rFonts w:ascii="Arial" w:cs="Arial" w:eastAsia="Arial" w:hAnsi="Arial"/>
                <w:sz w:val="18"/>
                <w:szCs w:val="18"/>
                <w:color w:val="auto"/>
              </w:rPr>
              <w:t>Funds from operations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46,072</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(2,869)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43,436</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1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53,662</w:t>
            </w:r>
          </w:p>
        </w:tc>
        <w:tc>
          <w:tcPr>
            <w:tcW w:w="1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28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in the computation of diluted EPS for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are exposed to credit loss in the event of non-performance by the counter party to our interest rate swap used to fix the LIBOR portion of our $150 million term loan. The counterparty of this swap has a long-term debt rating of “A” by Standard and Poor’s Rating Service and “A1” by Moody’s Investor Service as of March 31,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majority of our outstanding debt obligations (maturing at various times through 2028 or through 2077 including capital lease obligations) have fixed interest rates which limit the risk of fluctuating interest rates. However, interest rate fluctuations may affect the fair value of our fixed rate debt instruments. At March 31, 2006 we had $1.2 billion of fixed-rate debt outstanding. If interest rates on our fixed-rate debt instruments at March 31, 2006 had been 1.0% higher, the fair value of those debt instruments on that date would have decreased by approximately $41.5 million. If interest rates on our fixed-rate debt instruments at March 31, 2006 had been 1.0% lower, the fair value of those debt instruments on that date would have increased by approximately $49.4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March 31, 2006, we had $208.4 million of variable rate debt outstanding. Based upon this amount of variable rate debt, if interest rates increased 1.0%, our annual interest expense would increase by approximately $2.1 million, and our net income and cash flows for the year would decrease by approximately $2.1 million. Conversely, if interest rates decreased 1.0%, our annual interest expense would decrease by approximately $2.1 million, and our net income and cash flows for the year would increase by approximately $2.1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2006. Based on this evaluation, our management, including Chief Executive Officer and Chief Financial Officer, concluded that our disclosure controls and procedures were effective as of March 31, 2006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legal proceedings previously disclosed in our 2005 Annual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previously disclosed in our 2005 Annual Report filed with the Securities and Exchange Commission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2006. These factors include, but are not limited to, the following:</w:t>
      </w:r>
    </w:p>
    <w:p>
      <w:pPr>
        <w:spacing w:after="0" w:line="84"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260" w:right="20" w:hanging="455"/>
        <w:spacing w:after="0" w:line="268"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intend to hold our Annual Meeting of Shareholders on May 3,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proceeding such exhibits and is incorporated herein by reference.</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24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jc w:val="center"/>
              <w:ind w:right="993"/>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24"/>
                <w:szCs w:val="24"/>
                <w:color w:val="auto"/>
              </w:rPr>
            </w:pPr>
          </w:p>
        </w:tc>
        <w:tc>
          <w:tcPr>
            <w:tcW w:w="10320" w:type="dxa"/>
            <w:vAlign w:val="bottom"/>
          </w:tcPr>
          <w:p>
            <w:pPr>
              <w:spacing w:after="0"/>
              <w:rPr>
                <w:sz w:val="24"/>
                <w:szCs w:val="24"/>
                <w:color w:val="auto"/>
              </w:rPr>
            </w:pPr>
          </w:p>
        </w:tc>
      </w:tr>
      <w:tr>
        <w:trPr>
          <w:trHeight w:val="181"/>
        </w:trPr>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5"/>
                <w:szCs w:val="15"/>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c>
          <w:tcPr>
            <w:tcW w:w="660" w:type="dxa"/>
            <w:vAlign w:val="bottom"/>
          </w:tcPr>
          <w:p>
            <w:pPr>
              <w:spacing w:after="0"/>
              <w:rPr>
                <w:sz w:val="16"/>
                <w:szCs w:val="16"/>
                <w:color w:val="auto"/>
              </w:rPr>
            </w:pPr>
          </w:p>
        </w:tc>
        <w:tc>
          <w:tcPr>
            <w:tcW w:w="10320" w:type="dxa"/>
            <w:vAlign w:val="bottom"/>
          </w:tcPr>
          <w:p>
            <w:pPr>
              <w:spacing w:after="0" w:line="195" w:lineRule="exact"/>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 Trust of</w:t>
            </w: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Federal Realty Investment Trust dated May 6, 2004, as corrected by the Certificate of Correction of Articles of Amendment of Declaration of</w:t>
            </w: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Trust of Federal Realty Investment Trust dated June 17, 2004 (previously filed as Exhibit 3.1 to the Trust’s Quarterly Report on Form 10-Q for the</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quarter ended June 30, 2005 (File No. 1-07533) (the “2005 2Q Form 10-Q”) and incorporated herein by 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Amended and Restated Bylaws of Federal Realty Investment Trust dated February 12, 2003, as amended October 29, 2003, May 5, 2004 and</w:t>
            </w: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February 17, 2006 (previously filed as Exhibit 3.2 to the Trust’s Annual Report on Form 10-K for the year ended December 31, 2005 (File No. 1-</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07533) (the “2005 Form 10-K”) and incorporated herein by 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Specimen Common Share certificate (previously filed as Exhibit 4(i) to the Trust’s Annual Report on Form 10-K for the year ended December 31,</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1999 (File No. 1-07533) (the “1999 Form 10-K”) and incorporated herein by 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 xml:space="preserve">Articles Supplementary relating to the 8 </w:t>
            </w:r>
            <w:r>
              <w:rPr>
                <w:rFonts w:ascii="Arial" w:cs="Arial" w:eastAsia="Arial" w:hAnsi="Arial"/>
                <w:sz w:val="22"/>
                <w:szCs w:val="22"/>
                <w:color w:val="auto"/>
                <w:w w:val="91"/>
                <w:vertAlign w:val="superscript"/>
              </w:rPr>
              <w:t>1</w:t>
            </w:r>
            <w:r>
              <w:rPr>
                <w:rFonts w:ascii="Arial" w:cs="Arial" w:eastAsia="Arial" w:hAnsi="Arial"/>
                <w:sz w:val="18"/>
                <w:szCs w:val="18"/>
                <w:color w:val="auto"/>
                <w:w w:val="91"/>
              </w:rPr>
              <w:t>/</w:t>
            </w:r>
            <w:r>
              <w:rPr>
                <w:rFonts w:ascii="Arial" w:cs="Arial" w:eastAsia="Arial" w:hAnsi="Arial"/>
                <w:sz w:val="13"/>
                <w:szCs w:val="13"/>
                <w:color w:val="auto"/>
                <w:w w:val="91"/>
              </w:rPr>
              <w:t>2</w:t>
            </w:r>
            <w:r>
              <w:rPr>
                <w:rFonts w:ascii="Arial" w:cs="Arial" w:eastAsia="Arial" w:hAnsi="Arial"/>
                <w:sz w:val="18"/>
                <w:szCs w:val="18"/>
                <w:color w:val="auto"/>
                <w:w w:val="91"/>
              </w:rPr>
              <w:t>% Series B Cumulative Redeemable Preferred Shares (previously filed as Exhibit 4.1 to the Trust’s</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Registration Statement on Form 8-A filed on November 26, 2001 (File No. 1-07533) (the “2001 Form 8-A”) and incorporated herein by 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5"/>
              </w:rPr>
              <w:t xml:space="preserve">Specimen 8 </w:t>
            </w:r>
            <w:r>
              <w:rPr>
                <w:rFonts w:ascii="Arial" w:cs="Arial" w:eastAsia="Arial" w:hAnsi="Arial"/>
                <w:sz w:val="22"/>
                <w:szCs w:val="22"/>
                <w:color w:val="auto"/>
                <w:w w:val="95"/>
                <w:vertAlign w:val="superscript"/>
              </w:rPr>
              <w:t>1</w:t>
            </w:r>
            <w:r>
              <w:rPr>
                <w:rFonts w:ascii="Arial" w:cs="Arial" w:eastAsia="Arial" w:hAnsi="Arial"/>
                <w:sz w:val="18"/>
                <w:szCs w:val="18"/>
                <w:color w:val="auto"/>
                <w:w w:val="95"/>
              </w:rPr>
              <w:t>/</w:t>
            </w:r>
            <w:r>
              <w:rPr>
                <w:rFonts w:ascii="Arial" w:cs="Arial" w:eastAsia="Arial" w:hAnsi="Arial"/>
                <w:sz w:val="13"/>
                <w:szCs w:val="13"/>
                <w:color w:val="auto"/>
                <w:w w:val="95"/>
              </w:rPr>
              <w:t>2</w:t>
            </w:r>
            <w:r>
              <w:rPr>
                <w:rFonts w:ascii="Arial" w:cs="Arial" w:eastAsia="Arial" w:hAnsi="Arial"/>
                <w:sz w:val="18"/>
                <w:szCs w:val="18"/>
                <w:color w:val="auto"/>
                <w:w w:val="95"/>
              </w:rPr>
              <w:t>% Series B Cumulative Redeemable Preferred Share certificate (previously filed as Exhibit 4.2 to the 2001 Form 8-A and</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w:t>
            </w: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filed as Exhibit 1 to the Trust’s Registration Statement on Form 8-A/A filed on March 11, 1999 (File No. 1-07533) and incorporated herein by</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First Amendment to Amended and Restated Rights Agreement, dated as of November   , 2003, between the Trust and American Stock Transfer</w:t>
            </w: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&amp; Trust Company (previously filed as Exhibit 4.5 to the Trust’s Annual Report on Form 10-K for the year ended December 31, 2003 (File No. 1-</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 xml:space="preserve">Indenture dated December 13, 1993 related to the Trust’s 7.48% Debentures due August 15, 2026; 6 </w:t>
            </w:r>
            <w:r>
              <w:rPr>
                <w:rFonts w:ascii="Arial" w:cs="Arial" w:eastAsia="Arial" w:hAnsi="Arial"/>
                <w:sz w:val="22"/>
                <w:szCs w:val="22"/>
                <w:color w:val="auto"/>
                <w:w w:val="89"/>
                <w:vertAlign w:val="superscript"/>
              </w:rPr>
              <w:t>5</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Notes due 2005; 6.82% Medium Term</w:t>
            </w: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3"/>
              </w:rPr>
              <w:t>Notes due August 1, 2027; and 6.99% Medium Term Notes due March 10, 2006 (previously filed as Exhibit 4(a) to the Trust’s Registration</w:t>
            </w: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8"/>
              </w:rPr>
              <w:t>Statement on Form S-3 (File No. 33-51029), and amended on Form S-3 (File No. 33-63687), filed on December 13, 1993 and incorporated herein</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by 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and the Trust’s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w:t>
            </w: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and the Trust’s 4.50% Notes due 2011 (previously filed as Exhibit 4(a) to the Trust’s Registration Statement on Form S-3 (File No. 333-63619)</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filed on September 17, 1998 and incorporated herein by 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Amended and Restated 1983 Stock Option Plan and 1985 Non-Qualified Stock Option Plan of Federal Realty Investment Trust (previously filed</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as exhibits to the Trust’s Registration Statement in Form S-8 (File No. 33-55111), filed on August 17, 1994 and incorporated herein by reference)</w:t>
            </w: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1985 Non-Qualified Stock Option Plan (previously filed as a portion of Exhibit 10 to the Trust’s Annual Report on Form 10-K for the year ended</w:t>
            </w:r>
          </w:p>
        </w:tc>
      </w:tr>
      <w:tr>
        <w:trPr>
          <w:trHeight w:val="222"/>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December 31, 1985 (File No. 1-07533) and incorporated herein by reference)</w:t>
            </w:r>
          </w:p>
        </w:tc>
      </w:tr>
      <w:tr>
        <w:trPr>
          <w:trHeight w:val="365"/>
        </w:trPr>
        <w:tc>
          <w:tcPr>
            <w:tcW w:w="440" w:type="dxa"/>
            <w:vAlign w:val="bottom"/>
          </w:tcPr>
          <w:p>
            <w:pPr>
              <w:spacing w:after="0"/>
              <w:rPr>
                <w:sz w:val="24"/>
                <w:szCs w:val="24"/>
                <w:color w:val="auto"/>
              </w:rPr>
            </w:pPr>
          </w:p>
        </w:tc>
        <w:tc>
          <w:tcPr>
            <w:tcW w:w="10980" w:type="dxa"/>
            <w:vAlign w:val="bottom"/>
            <w:gridSpan w:val="2"/>
          </w:tcPr>
          <w:p>
            <w:pPr>
              <w:jc w:val="right"/>
              <w:ind w:right="5533"/>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tcPr>
          <w:p>
            <w:pPr>
              <w:spacing w:after="0"/>
              <w:rPr>
                <w:sz w:val="14"/>
                <w:szCs w:val="14"/>
                <w:color w:val="auto"/>
              </w:rPr>
            </w:pPr>
          </w:p>
        </w:tc>
      </w:tr>
      <w:tr>
        <w:trPr>
          <w:trHeight w:val="181"/>
        </w:trPr>
        <w:tc>
          <w:tcPr>
            <w:tcW w:w="10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w:t>
            </w: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10.3</w:t>
            </w:r>
          </w:p>
        </w:tc>
        <w:tc>
          <w:tcPr>
            <w:tcW w:w="560" w:type="dxa"/>
            <w:vAlign w:val="bottom"/>
          </w:tcPr>
          <w:p>
            <w:pPr>
              <w:spacing w:after="0"/>
              <w:rPr>
                <w:sz w:val="16"/>
                <w:szCs w:val="16"/>
                <w:color w:val="auto"/>
              </w:rPr>
            </w:pPr>
          </w:p>
        </w:tc>
        <w:tc>
          <w:tcPr>
            <w:tcW w:w="10380" w:type="dxa"/>
            <w:vAlign w:val="bottom"/>
          </w:tcPr>
          <w:p>
            <w:pPr>
              <w:spacing w:after="0" w:line="195" w:lineRule="exact"/>
              <w:rPr>
                <w:sz w:val="20"/>
                <w:szCs w:val="20"/>
                <w:color w:val="auto"/>
              </w:rPr>
            </w:pPr>
            <w:r>
              <w:rPr>
                <w:rFonts w:ascii="Arial" w:cs="Arial" w:eastAsia="Arial" w:hAnsi="Arial"/>
                <w:sz w:val="18"/>
                <w:szCs w:val="18"/>
                <w:color w:val="auto"/>
                <w:w w:val="89"/>
              </w:rPr>
              <w:t>1991 Share Purchase Plan (previously filed as a portion of Exhibit 10 to the Trust’s Annual Report on Form 10-K for the year ended December 31,</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1990 (File No. 1-07533) and 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10.4</w:t>
            </w:r>
          </w:p>
        </w:tc>
        <w:tc>
          <w:tcPr>
            <w:tcW w:w="10380" w:type="dxa"/>
            <w:vAlign w:val="bottom"/>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 as</w:t>
            </w:r>
          </w:p>
        </w:tc>
      </w:tr>
      <w:tr>
        <w:trPr>
          <w:trHeight w:val="216"/>
        </w:trPr>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Exhibit 10.26 to the Trust’s Annual Report on Form 10-K for the year ended December 31, 1998 (File No. 1-07533) and incorporated herein by</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10.5</w:t>
            </w:r>
          </w:p>
        </w:tc>
        <w:tc>
          <w:tcPr>
            <w:tcW w:w="10380" w:type="dxa"/>
            <w:vAlign w:val="bottom"/>
          </w:tcPr>
          <w:p>
            <w:pPr>
              <w:spacing w:after="0"/>
              <w:rPr>
                <w:sz w:val="20"/>
                <w:szCs w:val="20"/>
                <w:color w:val="auto"/>
              </w:rPr>
            </w:pPr>
            <w:r>
              <w:rPr>
                <w:rFonts w:ascii="Arial" w:cs="Arial" w:eastAsia="Arial" w:hAnsi="Arial"/>
                <w:sz w:val="18"/>
                <w:szCs w:val="18"/>
                <w:color w:val="auto"/>
                <w:w w:val="95"/>
              </w:rPr>
              <w:t>Fiscal Agency Agreement dated as of October 28, 1993 between the Trust and Citibank, N.A. (previously filed as an exhibit to the Trust’s</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Quarterly Report on Form 10-Q for the quarter ended September 30, 1993 (File No. 1-07533) and 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10.6</w:t>
            </w:r>
          </w:p>
        </w:tc>
        <w:tc>
          <w:tcPr>
            <w:tcW w:w="10380" w:type="dxa"/>
            <w:vAlign w:val="bottom"/>
          </w:tcPr>
          <w:p>
            <w:pPr>
              <w:spacing w:after="0"/>
              <w:rPr>
                <w:sz w:val="20"/>
                <w:szCs w:val="20"/>
                <w:color w:val="auto"/>
              </w:rPr>
            </w:pPr>
            <w:r>
              <w:rPr>
                <w:rFonts w:ascii="Arial" w:cs="Arial" w:eastAsia="Arial" w:hAnsi="Arial"/>
                <w:sz w:val="18"/>
                <w:szCs w:val="18"/>
                <w:color w:val="auto"/>
                <w:w w:val="90"/>
              </w:rPr>
              <w:t>Form of Severance Agreement between the Trust and Certain of its Officers dated December 31, 1994 (previously filed as a portion of Exhibit 10</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to the Trust’s Annual Report on Form 10-K for the year ended December 31, 1994 (File No. 1-07533) and 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10380" w:type="dxa"/>
            <w:vAlign w:val="bottom"/>
          </w:tcPr>
          <w:p>
            <w:pPr>
              <w:spacing w:after="0"/>
              <w:rPr>
                <w:sz w:val="20"/>
                <w:szCs w:val="20"/>
                <w:color w:val="auto"/>
              </w:rPr>
            </w:pPr>
            <w:r>
              <w:rPr>
                <w:rFonts w:ascii="Arial" w:cs="Arial" w:eastAsia="Arial" w:hAnsi="Arial"/>
                <w:sz w:val="18"/>
                <w:szCs w:val="18"/>
                <w:color w:val="auto"/>
                <w:w w:val="93"/>
              </w:rPr>
              <w:t>Performance Share Award Agreement dated as of February 9, 2000 between the Trust and Donald C. Wood (previously filed as a portion of</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10.8</w:t>
            </w:r>
          </w:p>
        </w:tc>
        <w:tc>
          <w:tcPr>
            <w:tcW w:w="10380" w:type="dxa"/>
            <w:vAlign w:val="bottom"/>
          </w:tcPr>
          <w:p>
            <w:pPr>
              <w:spacing w:after="0"/>
              <w:rPr>
                <w:sz w:val="20"/>
                <w:szCs w:val="20"/>
                <w:color w:val="auto"/>
              </w:rPr>
            </w:pPr>
            <w:r>
              <w:rPr>
                <w:rFonts w:ascii="Arial" w:cs="Arial" w:eastAsia="Arial" w:hAnsi="Arial"/>
                <w:sz w:val="18"/>
                <w:szCs w:val="18"/>
                <w:color w:val="auto"/>
                <w:w w:val="95"/>
              </w:rPr>
              <w:t>Restricted Share Award Agreement dated as of February 9, 2000 between the Trust and Donald C. Wood (previously filed as a portion of</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10.9</w:t>
            </w:r>
          </w:p>
        </w:tc>
        <w:tc>
          <w:tcPr>
            <w:tcW w:w="1038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 Trust’s</w:t>
            </w:r>
          </w:p>
        </w:tc>
      </w:tr>
      <w:tr>
        <w:trPr>
          <w:trHeight w:val="216"/>
        </w:trPr>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Quarterly Report on Form 10-Q for the quarter ended March 31, 1999 (File No. 1-07533) (the “1999 1Q Form 10-Q”) and incorporated herein by</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10.10</w:t>
            </w:r>
          </w:p>
        </w:tc>
        <w:tc>
          <w:tcPr>
            <w:tcW w:w="10380" w:type="dxa"/>
            <w:vAlign w:val="bottom"/>
          </w:tcPr>
          <w:p>
            <w:pPr>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10.11</w:t>
            </w:r>
          </w:p>
        </w:tc>
        <w:tc>
          <w:tcPr>
            <w:tcW w:w="10380" w:type="dxa"/>
            <w:vAlign w:val="bottom"/>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r>
      <w:tr>
        <w:trPr>
          <w:trHeight w:val="216"/>
        </w:trPr>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Exhibit 10.12 to the Trust’s Annual Report on Form 10-K for the year ended December 31, 2004 (File No. 1-07533) (the “2004 Form 10-K”) and</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10.12</w:t>
            </w:r>
          </w:p>
        </w:tc>
        <w:tc>
          <w:tcPr>
            <w:tcW w:w="10380" w:type="dxa"/>
            <w:vAlign w:val="bottom"/>
          </w:tcPr>
          <w:p>
            <w:pPr>
              <w:spacing w:after="0"/>
              <w:rPr>
                <w:sz w:val="20"/>
                <w:szCs w:val="20"/>
                <w:color w:val="auto"/>
              </w:rPr>
            </w:pPr>
            <w:r>
              <w:rPr>
                <w:rFonts w:ascii="Arial" w:cs="Arial" w:eastAsia="Arial" w:hAnsi="Arial"/>
                <w:sz w:val="18"/>
                <w:szCs w:val="18"/>
                <w:color w:val="auto"/>
                <w:w w:val="89"/>
              </w:rPr>
              <w:t>Amendment to Restricted Share Award Agreement dated December 8, 2000 between the Trust and Donald C. Wood (previously filed as a portion</w:t>
            </w:r>
          </w:p>
        </w:tc>
      </w:tr>
      <w:tr>
        <w:trPr>
          <w:trHeight w:val="216"/>
        </w:trPr>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of Exhibit 10 to the Trust’s Annual Report on Form 10-K for the year ended December 31, 2000 (File No. 1-07533) (the “2000 Form 10-K”) and</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10.13</w:t>
            </w:r>
          </w:p>
        </w:tc>
        <w:tc>
          <w:tcPr>
            <w:tcW w:w="10380" w:type="dxa"/>
            <w:vAlign w:val="bottom"/>
          </w:tcPr>
          <w:p>
            <w:pPr>
              <w:spacing w:after="0"/>
              <w:rPr>
                <w:sz w:val="20"/>
                <w:szCs w:val="20"/>
                <w:color w:val="auto"/>
              </w:rPr>
            </w:pPr>
            <w:r>
              <w:rPr>
                <w:rFonts w:ascii="Arial" w:cs="Arial" w:eastAsia="Arial" w:hAnsi="Arial"/>
                <w:sz w:val="18"/>
                <w:szCs w:val="18"/>
                <w:color w:val="auto"/>
                <w:w w:val="90"/>
              </w:rPr>
              <w:t>Split Dollar Life Insurance Agreement dated August 12, 1998 between the Trust and Donald C. Wood (previously filed as a portion of Exhibit 10</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to the 2000 Form 10-K and 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10.14</w:t>
            </w:r>
          </w:p>
        </w:tc>
        <w:tc>
          <w:tcPr>
            <w:tcW w:w="10380" w:type="dxa"/>
            <w:vAlign w:val="bottom"/>
          </w:tcPr>
          <w:p>
            <w:pPr>
              <w:spacing w:after="0"/>
              <w:rPr>
                <w:sz w:val="20"/>
                <w:szCs w:val="20"/>
                <w:color w:val="auto"/>
              </w:rPr>
            </w:pPr>
            <w:r>
              <w:rPr>
                <w:rFonts w:ascii="Arial" w:cs="Arial" w:eastAsia="Arial" w:hAnsi="Arial"/>
                <w:sz w:val="18"/>
                <w:szCs w:val="18"/>
                <w:color w:val="auto"/>
                <w:w w:val="93"/>
              </w:rPr>
              <w:t>Restricted Share Award Agreement dated as of February 15, 2000 between the Trust and Jeffrey S. Berkes (previously filed as a portion of</w:t>
            </w:r>
          </w:p>
        </w:tc>
      </w:tr>
      <w:tr>
        <w:trPr>
          <w:trHeight w:val="216"/>
        </w:trPr>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Exhibit 10 to the Trust’s Annual Report on Form 10-K for the year ended December 31, 2001 (File No. 1-07533) (the “2001 Form 10-K”) and</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10.15</w:t>
            </w:r>
          </w:p>
        </w:tc>
        <w:tc>
          <w:tcPr>
            <w:tcW w:w="10380" w:type="dxa"/>
            <w:vAlign w:val="bottom"/>
          </w:tcPr>
          <w:p>
            <w:pPr>
              <w:spacing w:after="0"/>
              <w:rPr>
                <w:sz w:val="20"/>
                <w:szCs w:val="20"/>
                <w:color w:val="auto"/>
              </w:rPr>
            </w:pPr>
            <w:r>
              <w:rPr>
                <w:rFonts w:ascii="Arial" w:cs="Arial" w:eastAsia="Arial" w:hAnsi="Arial"/>
                <w:sz w:val="18"/>
                <w:szCs w:val="18"/>
                <w:color w:val="auto"/>
                <w:w w:val="93"/>
              </w:rPr>
              <w:t>Severance Agreement between the Trust and Jeffrey S. Berkes dated March 1, 2000 (previously filed as a portion of Exhibit 10 to the 2001</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10.16</w:t>
            </w:r>
          </w:p>
        </w:tc>
        <w:tc>
          <w:tcPr>
            <w:tcW w:w="10380" w:type="dxa"/>
            <w:vAlign w:val="bottom"/>
          </w:tcPr>
          <w:p>
            <w:pPr>
              <w:spacing w:after="0"/>
              <w:rPr>
                <w:sz w:val="20"/>
                <w:szCs w:val="20"/>
                <w:color w:val="auto"/>
              </w:rPr>
            </w:pPr>
            <w:r>
              <w:rPr>
                <w:rFonts w:ascii="Arial" w:cs="Arial" w:eastAsia="Arial" w:hAnsi="Arial"/>
                <w:sz w:val="18"/>
                <w:szCs w:val="18"/>
                <w:color w:val="auto"/>
                <w:w w:val="92"/>
              </w:rPr>
              <w:t>Amendment to Severance Agreement between Federal Realty Investment Trust and Jeff Berkes dated February 16, 2005 (previously filed as</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r>
      <w:tr>
        <w:trPr>
          <w:trHeight w:val="365"/>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40" w:right="280" w:hanging="961"/>
        <w:spacing w:after="0" w:line="259" w:lineRule="auto"/>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Severance Agreement dated March 1, 2002 between the Trust and Larry E. Finger (previously filed as a portion of Exhibit 10 to the Trust’s Quarterly Report on Form 10-Q for the quarter ended June 30, 2002 (File No. 1-07533) (the “2002 2Q Form 10-Q”) and incorporated herein by reference)</w:t>
      </w:r>
    </w:p>
    <w:p>
      <w:pPr>
        <w:spacing w:after="0" w:line="86" w:lineRule="exact"/>
        <w:rPr>
          <w:sz w:val="20"/>
          <w:szCs w:val="20"/>
          <w:color w:val="auto"/>
        </w:rPr>
      </w:pPr>
    </w:p>
    <w:p>
      <w:pPr>
        <w:ind w:left="1040" w:right="400" w:hanging="961"/>
        <w:spacing w:after="0" w:line="268" w:lineRule="auto"/>
        <w:tabs>
          <w:tab w:leader="none" w:pos="1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Amendment to Severance Agreement between Federal Realty Investment Trust and Larry Finger dated February 16, 2005 (previously filed as Exhibit 10.19 to the 2004 Form 10-K and incorporated herein by reference)</w:t>
      </w:r>
    </w:p>
    <w:p>
      <w:pPr>
        <w:spacing w:after="0" w:line="78" w:lineRule="exact"/>
        <w:rPr>
          <w:sz w:val="20"/>
          <w:szCs w:val="20"/>
          <w:color w:val="auto"/>
        </w:rPr>
      </w:pPr>
    </w:p>
    <w:p>
      <w:pPr>
        <w:ind w:left="1040" w:right="80" w:hanging="961"/>
        <w:spacing w:after="0" w:line="268"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Combined Incentive and Non-Qualified Stock Option Agreement dated February 28, 2002 between the Trust and Larry E. Finger (previously filed as a portion of Exhibit 10 to the 2002 2Q Form 10-Q and incorporated herein by reference)</w:t>
      </w:r>
    </w:p>
    <w:p>
      <w:pPr>
        <w:spacing w:after="0" w:line="78" w:lineRule="exact"/>
        <w:rPr>
          <w:sz w:val="20"/>
          <w:szCs w:val="20"/>
          <w:color w:val="auto"/>
        </w:rPr>
      </w:pPr>
    </w:p>
    <w:p>
      <w:pPr>
        <w:ind w:left="1040" w:right="80" w:hanging="961"/>
        <w:spacing w:after="0" w:line="268"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Performance Share Award Agreement between the Trust and Donald C. Wood dated February 28, 2002 (previously filed as a portion of Exhibit 10 to the 2002 2Q Form 10-Q and incorporated herein by reference)</w:t>
      </w:r>
    </w:p>
    <w:p>
      <w:pPr>
        <w:spacing w:after="0" w:line="78" w:lineRule="exact"/>
        <w:rPr>
          <w:sz w:val="20"/>
          <w:szCs w:val="20"/>
          <w:color w:val="auto"/>
        </w:rPr>
      </w:pPr>
    </w:p>
    <w:p>
      <w:pPr>
        <w:ind w:left="1040" w:right="60" w:hanging="961"/>
        <w:spacing w:after="0" w:line="268"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Performance Share Award Agreement between the Trust and Jeffrey S. Berkes dated February 28, 2002 (previously filed as a portion of Exhibit 10 to the 2002 2Q Form 10-Q and incorporated herein by reference)</w:t>
      </w:r>
    </w:p>
    <w:p>
      <w:pPr>
        <w:spacing w:after="0" w:line="78" w:lineRule="exact"/>
        <w:rPr>
          <w:sz w:val="20"/>
          <w:szCs w:val="20"/>
          <w:color w:val="auto"/>
        </w:rPr>
      </w:pPr>
    </w:p>
    <w:p>
      <w:pPr>
        <w:ind w:left="1040" w:hanging="961"/>
        <w:spacing w:after="0" w:line="259"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to Stock Option Agreement dated August 15, 2002 between the Trust and Dawn M. Becker (previously filed as a portion of Exhibit 10 to the Trust’s Quarterly Report on Form 10-Q for the quarter ended September 30, 2002 (File No. 1-075330 (the “2002 3Q Form 10-Q”) and incorporated herein by reference)</w:t>
      </w:r>
    </w:p>
    <w:p>
      <w:pPr>
        <w:spacing w:after="0" w:line="86" w:lineRule="exact"/>
        <w:rPr>
          <w:sz w:val="20"/>
          <w:szCs w:val="20"/>
          <w:color w:val="auto"/>
        </w:rPr>
      </w:pPr>
    </w:p>
    <w:p>
      <w:pPr>
        <w:ind w:left="1040" w:right="20" w:hanging="961"/>
        <w:spacing w:after="0" w:line="268"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Stock Option Agreement dated August 15, 2002 between Federal Realty Investment Trust and Jeffrey S. Berkes (previously filed as a portion of Exhibit 10 to the 2002 3Q Form 10-Q and incorporated herein by reference)</w:t>
      </w:r>
    </w:p>
    <w:p>
      <w:pPr>
        <w:spacing w:after="0" w:line="78" w:lineRule="exact"/>
        <w:rPr>
          <w:sz w:val="20"/>
          <w:szCs w:val="20"/>
          <w:color w:val="auto"/>
        </w:rPr>
      </w:pPr>
    </w:p>
    <w:p>
      <w:pPr>
        <w:ind w:left="1040" w:right="420" w:hanging="961"/>
        <w:spacing w:after="0" w:line="268"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2001 Long-Term Incentive Plan (previously filed as Exhibit 99.1 to the Trust’s S-8 Registration Number 333-60364 filed on May 7, 2001 and incorporated herein by reference)</w:t>
      </w:r>
    </w:p>
    <w:p>
      <w:pPr>
        <w:spacing w:after="0" w:line="78" w:lineRule="exact"/>
        <w:rPr>
          <w:sz w:val="20"/>
          <w:szCs w:val="20"/>
          <w:color w:val="auto"/>
        </w:rPr>
      </w:pPr>
    </w:p>
    <w:p>
      <w:pPr>
        <w:ind w:left="1040" w:right="200" w:hanging="961"/>
        <w:spacing w:after="0" w:line="268" w:lineRule="auto"/>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Health Coverage Continuation Agreement between Federal Realty Investment Trust and Don Wood dated February 16, 2005 (previously filed as Exhibit 10.26 to the 2004 Form 10-K and incorporated herein by reference)</w:t>
      </w:r>
    </w:p>
    <w:p>
      <w:pPr>
        <w:spacing w:after="0" w:line="78" w:lineRule="exact"/>
        <w:rPr>
          <w:sz w:val="20"/>
          <w:szCs w:val="20"/>
          <w:color w:val="auto"/>
        </w:rPr>
      </w:pPr>
    </w:p>
    <w:p>
      <w:pPr>
        <w:ind w:left="1040" w:right="20" w:hanging="961"/>
        <w:spacing w:after="0" w:line="268"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Severance Agreement between the Trust and Dawn Becker dated April 19, 2000 (previously filed as Exhibit 10.26 to the Trust’s 2005 2Q Form 10-Q and incorporated herein by reference)</w:t>
      </w:r>
    </w:p>
    <w:p>
      <w:pPr>
        <w:spacing w:after="0" w:line="78" w:lineRule="exact"/>
        <w:rPr>
          <w:sz w:val="20"/>
          <w:szCs w:val="20"/>
          <w:color w:val="auto"/>
        </w:rPr>
      </w:pPr>
    </w:p>
    <w:p>
      <w:pPr>
        <w:ind w:left="1040" w:right="140" w:hanging="961"/>
        <w:spacing w:after="0" w:line="268" w:lineRule="auto"/>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to Severance Agreement between the Trust and Dawn Becker dated February 16, 2005 (previously filed as Exhibit 10.27 to the 2004 Form 10-K and incorporated herein by reference)</w:t>
      </w:r>
    </w:p>
    <w:p>
      <w:pPr>
        <w:spacing w:after="0" w:line="7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p>
      <w:pPr>
        <w:spacing w:after="0" w:line="111" w:lineRule="exact"/>
        <w:rPr>
          <w:sz w:val="20"/>
          <w:szCs w:val="20"/>
          <w:color w:val="auto"/>
        </w:rPr>
      </w:pPr>
    </w:p>
    <w:p>
      <w:pPr>
        <w:ind w:left="1040" w:right="360" w:hanging="961"/>
        <w:spacing w:after="0" w:line="332"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31"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Option Award Agreement for options awarded under 2001 Long-Term Incentive Plan (previously filed as Exhibit 10.30 to the 2004 Form</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ind w:left="1040" w:right="80" w:hanging="961"/>
        <w:spacing w:after="0" w:line="332"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Form of Option Award Agreement for awards made under the Trust’s 2003 Long-Term Incentive Award Program for shares issued out of the 2001 Long-Term Incentive Plan (previously filed as Exhibit 10.28 to the 2004 Form 10-K and incorporated herein by reference)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Exhibit</w:t>
            </w:r>
          </w:p>
        </w:tc>
        <w:tc>
          <w:tcPr>
            <w:tcW w:w="960" w:type="dxa"/>
            <w:vAlign w:val="bottom"/>
          </w:tcPr>
          <w:p>
            <w:pPr>
              <w:spacing w:after="0"/>
              <w:rPr>
                <w:sz w:val="14"/>
                <w:szCs w:val="14"/>
                <w:color w:val="auto"/>
              </w:rPr>
            </w:pPr>
          </w:p>
        </w:tc>
        <w:tc>
          <w:tcPr>
            <w:tcW w:w="9420" w:type="dxa"/>
            <w:vAlign w:val="bottom"/>
          </w:tcPr>
          <w:p>
            <w:pPr>
              <w:spacing w:after="0"/>
              <w:rPr>
                <w:sz w:val="14"/>
                <w:szCs w:val="14"/>
                <w:color w:val="auto"/>
              </w:rPr>
            </w:pPr>
          </w:p>
        </w:tc>
      </w:tr>
      <w:tr>
        <w:trPr>
          <w:trHeight w:val="181"/>
        </w:trPr>
        <w:tc>
          <w:tcPr>
            <w:tcW w:w="10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w:t>
            </w: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9420" w:type="dxa"/>
            <w:vAlign w:val="bottom"/>
            <w:tcBorders>
              <w:bottom w:val="single" w:sz="8" w:color="auto"/>
            </w:tcBorders>
          </w:tcPr>
          <w:p>
            <w:pPr>
              <w:spacing w:after="0"/>
              <w:rPr>
                <w:sz w:val="15"/>
                <w:szCs w:val="15"/>
                <w:color w:val="auto"/>
              </w:rPr>
            </w:pPr>
          </w:p>
        </w:tc>
      </w:tr>
      <w:tr>
        <w:trPr>
          <w:trHeight w:val="195"/>
        </w:trPr>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10.32</w:t>
            </w:r>
          </w:p>
        </w:tc>
        <w:tc>
          <w:tcPr>
            <w:tcW w:w="560" w:type="dxa"/>
            <w:vAlign w:val="bottom"/>
          </w:tcPr>
          <w:p>
            <w:pPr>
              <w:spacing w:after="0"/>
              <w:rPr>
                <w:sz w:val="16"/>
                <w:szCs w:val="16"/>
                <w:color w:val="auto"/>
              </w:rPr>
            </w:pPr>
          </w:p>
        </w:tc>
        <w:tc>
          <w:tcPr>
            <w:tcW w:w="10380" w:type="dxa"/>
            <w:vAlign w:val="bottom"/>
            <w:gridSpan w:val="2"/>
          </w:tcPr>
          <w:p>
            <w:pPr>
              <w:spacing w:after="0" w:line="195" w:lineRule="exact"/>
              <w:rPr>
                <w:sz w:val="20"/>
                <w:szCs w:val="20"/>
                <w:color w:val="auto"/>
              </w:rPr>
            </w:pPr>
            <w:r>
              <w:rPr>
                <w:rFonts w:ascii="Arial" w:cs="Arial" w:eastAsia="Arial" w:hAnsi="Arial"/>
                <w:sz w:val="18"/>
                <w:szCs w:val="18"/>
                <w:color w:val="auto"/>
                <w:w w:val="89"/>
              </w:rPr>
              <w:t>Form of Option Award Agreement for awards made under the Trust’s 2003 Long-Term Incentive Award Program for shares issued out of the 2001</w:t>
            </w:r>
          </w:p>
        </w:tc>
      </w:tr>
      <w:tr>
        <w:trPr>
          <w:trHeight w:val="222"/>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r>
      <w:tr>
        <w:trPr>
          <w:trHeight w:val="324"/>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31.1</w:t>
            </w:r>
          </w:p>
        </w:tc>
        <w:tc>
          <w:tcPr>
            <w:tcW w:w="1038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31.2</w:t>
            </w:r>
          </w:p>
        </w:tc>
        <w:tc>
          <w:tcPr>
            <w:tcW w:w="1038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324"/>
        </w:trPr>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32.2</w:t>
            </w: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(filed herewith)</w:t>
            </w:r>
          </w:p>
        </w:tc>
      </w:tr>
      <w:tr>
        <w:trPr>
          <w:trHeight w:val="365"/>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20" w:type="dxa"/>
            <w:vAlign w:val="bottom"/>
          </w:tcPr>
          <w:p>
            <w:pPr>
              <w:jc w:val="right"/>
              <w:ind w:right="5532"/>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171" w:lineRule="exact"/>
        <w:rPr>
          <w:rFonts w:ascii="Arial" w:cs="Arial" w:eastAsia="Arial" w:hAnsi="Arial"/>
          <w:sz w:val="18"/>
          <w:szCs w:val="18"/>
          <w:color w:val="auto"/>
        </w:rPr>
      </w:pPr>
    </w:p>
    <w:p>
      <w:pPr>
        <w:ind w:right="220" w:firstLine="8"/>
        <w:spacing w:after="0" w:line="332" w:lineRule="auto"/>
        <w:tabs>
          <w:tab w:leader="none" w:pos="1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60" w:firstLine="8"/>
        <w:spacing w:after="0" w:line="259" w:lineRule="auto"/>
        <w:tabs>
          <w:tab w:leader="none" w:pos="1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0" w:firstLine="4"/>
        <w:spacing w:after="0" w:line="259" w:lineRule="auto"/>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 w:firstLine="4"/>
        <w:spacing w:after="0" w:line="259"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ind w:left="460" w:right="200" w:firstLine="4"/>
        <w:spacing w:after="0" w:line="332" w:lineRule="auto"/>
        <w:tabs>
          <w:tab w:leader="none" w:pos="6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20" w:firstLine="4"/>
        <w:spacing w:after="0" w:line="332" w:lineRule="auto"/>
        <w:tabs>
          <w:tab w:leader="none" w:pos="65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80" w:firstLine="8"/>
        <w:spacing w:after="0" w:line="268" w:lineRule="auto"/>
        <w:tabs>
          <w:tab w:leader="none" w:pos="1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0" w:lineRule="exact"/>
        <w:rPr>
          <w:rFonts w:ascii="Arial" w:cs="Arial" w:eastAsia="Arial" w:hAnsi="Arial"/>
          <w:sz w:val="18"/>
          <w:szCs w:val="18"/>
          <w:color w:val="auto"/>
        </w:rPr>
      </w:pPr>
    </w:p>
    <w:p>
      <w:pPr>
        <w:ind w:left="460" w:right="140" w:firstLine="4"/>
        <w:spacing w:after="0" w:line="268" w:lineRule="auto"/>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60" w:firstLine="4"/>
        <w:spacing w:after="0" w:line="268"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20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jc w:val="center"/>
              <w:ind w:right="1922"/>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r>
      <w:tr>
        <w:trPr>
          <w:trHeight w:val="171"/>
        </w:trPr>
        <w:tc>
          <w:tcPr>
            <w:tcW w:w="5820" w:type="dxa"/>
            <w:vAlign w:val="bottom"/>
          </w:tcPr>
          <w:p>
            <w:pPr>
              <w:spacing w:after="0" w:line="171" w:lineRule="exact"/>
              <w:rPr>
                <w:sz w:val="20"/>
                <w:szCs w:val="20"/>
                <w:color w:val="auto"/>
              </w:rPr>
            </w:pPr>
            <w:r>
              <w:rPr>
                <w:rFonts w:ascii="Arial" w:cs="Arial" w:eastAsia="Arial" w:hAnsi="Arial"/>
                <w:sz w:val="18"/>
                <w:szCs w:val="18"/>
                <w:color w:val="auto"/>
              </w:rPr>
              <w:t>May 3, 2006</w:t>
            </w:r>
          </w:p>
        </w:tc>
        <w:tc>
          <w:tcPr>
            <w:tcW w:w="2060" w:type="dxa"/>
            <w:vAlign w:val="bottom"/>
          </w:tcPr>
          <w:p>
            <w:pPr>
              <w:spacing w:after="0"/>
              <w:rPr>
                <w:sz w:val="14"/>
                <w:szCs w:val="14"/>
                <w:color w:val="auto"/>
              </w:rPr>
            </w:pPr>
          </w:p>
        </w:tc>
        <w:tc>
          <w:tcPr>
            <w:tcW w:w="3540" w:type="dxa"/>
            <w:vAlign w:val="bottom"/>
          </w:tcPr>
          <w:p>
            <w:pPr>
              <w:jc w:val="center"/>
              <w:ind w:right="1982"/>
              <w:spacing w:after="0"/>
              <w:rPr>
                <w:sz w:val="20"/>
                <w:szCs w:val="20"/>
                <w:color w:val="auto"/>
              </w:rPr>
            </w:pPr>
            <w:r>
              <w:rPr>
                <w:rFonts w:ascii="Arial" w:cs="Arial" w:eastAsia="Arial" w:hAnsi="Arial"/>
                <w:sz w:val="14"/>
                <w:szCs w:val="14"/>
                <w:b w:val="1"/>
                <w:bCs w:val="1"/>
                <w:color w:val="auto"/>
                <w:w w:val="89"/>
              </w:rPr>
              <w:t>Donald C. Wood,</w:t>
            </w:r>
          </w:p>
        </w:tc>
      </w:tr>
      <w:tr>
        <w:trPr>
          <w:trHeight w:val="136"/>
        </w:trPr>
        <w:tc>
          <w:tcPr>
            <w:tcW w:w="5820" w:type="dxa"/>
            <w:vAlign w:val="bottom"/>
          </w:tcPr>
          <w:p>
            <w:pPr>
              <w:spacing w:after="0"/>
              <w:rPr>
                <w:sz w:val="11"/>
                <w:szCs w:val="11"/>
                <w:color w:val="auto"/>
              </w:rPr>
            </w:pPr>
          </w:p>
        </w:tc>
        <w:tc>
          <w:tcPr>
            <w:tcW w:w="560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6"/>
              </w:rPr>
              <w:t>President, Chief Executive Officer and Trustee</w:t>
            </w:r>
          </w:p>
        </w:tc>
      </w:tr>
    </w:tbl>
    <w:p>
      <w:pPr>
        <w:ind w:left="78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Larry E. Finger</w:t>
      </w:r>
      <w:r>
        <w:rPr>
          <w:rFonts w:ascii="Arial" w:cs="Arial" w:eastAsia="Arial" w:hAnsi="Arial"/>
          <w:sz w:val="18"/>
          <w:szCs w:val="18"/>
          <w:color w:val="auto"/>
        </w:rPr>
        <w:t>, certify that:</w:t>
      </w:r>
    </w:p>
    <w:p>
      <w:pPr>
        <w:spacing w:after="0" w:line="90"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171" w:lineRule="exact"/>
        <w:rPr>
          <w:rFonts w:ascii="Arial" w:cs="Arial" w:eastAsia="Arial" w:hAnsi="Arial"/>
          <w:sz w:val="18"/>
          <w:szCs w:val="18"/>
          <w:color w:val="auto"/>
        </w:rPr>
      </w:pPr>
    </w:p>
    <w:p>
      <w:pPr>
        <w:ind w:right="220" w:firstLine="8"/>
        <w:spacing w:after="0" w:line="332" w:lineRule="auto"/>
        <w:tabs>
          <w:tab w:leader="none" w:pos="19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60" w:firstLine="8"/>
        <w:spacing w:after="0" w:line="259" w:lineRule="auto"/>
        <w:tabs>
          <w:tab w:leader="none" w:pos="1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0" w:firstLine="4"/>
        <w:spacing w:after="0" w:line="259" w:lineRule="auto"/>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 w:firstLine="4"/>
        <w:spacing w:after="0" w:line="259"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ind w:left="460" w:right="200" w:firstLine="4"/>
        <w:spacing w:after="0" w:line="332" w:lineRule="auto"/>
        <w:tabs>
          <w:tab w:leader="none" w:pos="6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20" w:firstLine="4"/>
        <w:spacing w:after="0" w:line="332" w:lineRule="auto"/>
        <w:tabs>
          <w:tab w:leader="none" w:pos="65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80" w:firstLine="8"/>
        <w:spacing w:after="0" w:line="268" w:lineRule="auto"/>
        <w:tabs>
          <w:tab w:leader="none" w:pos="1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0" w:lineRule="exact"/>
        <w:rPr>
          <w:rFonts w:ascii="Arial" w:cs="Arial" w:eastAsia="Arial" w:hAnsi="Arial"/>
          <w:sz w:val="18"/>
          <w:szCs w:val="18"/>
          <w:color w:val="auto"/>
        </w:rPr>
      </w:pPr>
    </w:p>
    <w:p>
      <w:pPr>
        <w:ind w:left="460" w:right="140" w:firstLine="4"/>
        <w:spacing w:after="0" w:line="268" w:lineRule="auto"/>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60" w:firstLine="4"/>
        <w:spacing w:after="0" w:line="268"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210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/s/</w:t>
            </w:r>
          </w:p>
        </w:tc>
        <w:tc>
          <w:tcPr>
            <w:tcW w:w="3500" w:type="dxa"/>
            <w:vAlign w:val="bottom"/>
            <w:tcBorders>
              <w:bottom w:val="single" w:sz="8" w:color="auto"/>
            </w:tcBorders>
          </w:tcPr>
          <w:p>
            <w:pPr>
              <w:jc w:val="center"/>
              <w:ind w:right="1962"/>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ARRY</w:t>
            </w:r>
            <w:r>
              <w:rPr>
                <w:rFonts w:ascii="Arial" w:cs="Arial" w:eastAsia="Arial" w:hAnsi="Arial"/>
                <w:sz w:val="18"/>
                <w:szCs w:val="18"/>
                <w:color w:val="auto"/>
                <w:w w:val="99"/>
              </w:rPr>
              <w:t xml:space="preserve"> E. F</w:t>
            </w:r>
            <w:r>
              <w:rPr>
                <w:rFonts w:ascii="Arial" w:cs="Arial" w:eastAsia="Arial" w:hAnsi="Arial"/>
                <w:sz w:val="14"/>
                <w:szCs w:val="14"/>
                <w:color w:val="auto"/>
                <w:w w:val="99"/>
              </w:rPr>
              <w:t>INGER</w:t>
            </w:r>
          </w:p>
        </w:tc>
      </w:tr>
      <w:tr>
        <w:trPr>
          <w:trHeight w:val="171"/>
        </w:trPr>
        <w:tc>
          <w:tcPr>
            <w:tcW w:w="5820" w:type="dxa"/>
            <w:vAlign w:val="bottom"/>
          </w:tcPr>
          <w:p>
            <w:pPr>
              <w:spacing w:after="0" w:line="171" w:lineRule="exact"/>
              <w:rPr>
                <w:sz w:val="20"/>
                <w:szCs w:val="20"/>
                <w:color w:val="auto"/>
              </w:rPr>
            </w:pPr>
            <w:r>
              <w:rPr>
                <w:rFonts w:ascii="Arial" w:cs="Arial" w:eastAsia="Arial" w:hAnsi="Arial"/>
                <w:sz w:val="18"/>
                <w:szCs w:val="18"/>
                <w:color w:val="auto"/>
              </w:rPr>
              <w:t>May 3, 2006</w:t>
            </w:r>
          </w:p>
        </w:tc>
        <w:tc>
          <w:tcPr>
            <w:tcW w:w="2100" w:type="dxa"/>
            <w:vAlign w:val="bottom"/>
          </w:tcPr>
          <w:p>
            <w:pPr>
              <w:spacing w:after="0"/>
              <w:rPr>
                <w:sz w:val="14"/>
                <w:szCs w:val="14"/>
                <w:color w:val="auto"/>
              </w:rPr>
            </w:pPr>
          </w:p>
        </w:tc>
        <w:tc>
          <w:tcPr>
            <w:tcW w:w="3500" w:type="dxa"/>
            <w:vAlign w:val="bottom"/>
          </w:tcPr>
          <w:p>
            <w:pPr>
              <w:jc w:val="center"/>
              <w:ind w:right="2002"/>
              <w:spacing w:after="0"/>
              <w:rPr>
                <w:sz w:val="20"/>
                <w:szCs w:val="20"/>
                <w:color w:val="auto"/>
              </w:rPr>
            </w:pPr>
            <w:r>
              <w:rPr>
                <w:rFonts w:ascii="Arial" w:cs="Arial" w:eastAsia="Arial" w:hAnsi="Arial"/>
                <w:sz w:val="14"/>
                <w:szCs w:val="14"/>
                <w:b w:val="1"/>
                <w:bCs w:val="1"/>
                <w:color w:val="auto"/>
                <w:w w:val="91"/>
              </w:rPr>
              <w:t>Larry E. Finger,</w:t>
            </w:r>
          </w:p>
        </w:tc>
      </w:tr>
      <w:tr>
        <w:trPr>
          <w:trHeight w:val="136"/>
        </w:trPr>
        <w:tc>
          <w:tcPr>
            <w:tcW w:w="5820" w:type="dxa"/>
            <w:vAlign w:val="bottom"/>
          </w:tcPr>
          <w:p>
            <w:pPr>
              <w:spacing w:after="0"/>
              <w:rPr>
                <w:sz w:val="11"/>
                <w:szCs w:val="11"/>
                <w:color w:val="auto"/>
              </w:rPr>
            </w:pPr>
          </w:p>
        </w:tc>
        <w:tc>
          <w:tcPr>
            <w:tcW w:w="560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6"/>
              </w:rPr>
              <w:t>Executive Vice President and</w:t>
            </w:r>
          </w:p>
        </w:tc>
      </w:tr>
    </w:tbl>
    <w:p>
      <w:pPr>
        <w:ind w:left="7060"/>
        <w:spacing w:after="0"/>
        <w:rPr>
          <w:sz w:val="20"/>
          <w:szCs w:val="20"/>
          <w:color w:val="auto"/>
        </w:rPr>
      </w:pPr>
      <w:r>
        <w:rPr>
          <w:rFonts w:ascii="Arial" w:cs="Arial" w:eastAsia="Arial" w:hAnsi="Arial"/>
          <w:sz w:val="14"/>
          <w:szCs w:val="14"/>
          <w:b w:val="1"/>
          <w:bCs w:val="1"/>
          <w:color w:val="auto"/>
        </w:rPr>
        <w:t>Chief Financial Officer (Principal Accounting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2006 (the “Report”). The undersigned hereby certifies that:</w:t>
      </w:r>
    </w:p>
    <w:p>
      <w:pPr>
        <w:spacing w:after="0" w:line="59" w:lineRule="exact"/>
        <w:rPr>
          <w:sz w:val="20"/>
          <w:szCs w:val="20"/>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20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jc w:val="center"/>
              <w:ind w:right="1922"/>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r>
      <w:tr>
        <w:trPr>
          <w:trHeight w:val="171"/>
        </w:trPr>
        <w:tc>
          <w:tcPr>
            <w:tcW w:w="5820" w:type="dxa"/>
            <w:vAlign w:val="bottom"/>
          </w:tcPr>
          <w:p>
            <w:pPr>
              <w:spacing w:after="0" w:line="171" w:lineRule="exact"/>
              <w:rPr>
                <w:sz w:val="20"/>
                <w:szCs w:val="20"/>
                <w:color w:val="auto"/>
              </w:rPr>
            </w:pPr>
            <w:r>
              <w:rPr>
                <w:rFonts w:ascii="Arial" w:cs="Arial" w:eastAsia="Arial" w:hAnsi="Arial"/>
                <w:sz w:val="18"/>
                <w:szCs w:val="18"/>
                <w:color w:val="auto"/>
              </w:rPr>
              <w:t>May 3, 2006</w:t>
            </w:r>
          </w:p>
        </w:tc>
        <w:tc>
          <w:tcPr>
            <w:tcW w:w="2060" w:type="dxa"/>
            <w:vAlign w:val="bottom"/>
          </w:tcPr>
          <w:p>
            <w:pPr>
              <w:spacing w:after="0"/>
              <w:rPr>
                <w:sz w:val="14"/>
                <w:szCs w:val="14"/>
                <w:color w:val="auto"/>
              </w:rPr>
            </w:pPr>
          </w:p>
        </w:tc>
        <w:tc>
          <w:tcPr>
            <w:tcW w:w="3540" w:type="dxa"/>
            <w:vAlign w:val="bottom"/>
          </w:tcPr>
          <w:p>
            <w:pPr>
              <w:jc w:val="center"/>
              <w:ind w:right="1982"/>
              <w:spacing w:after="0"/>
              <w:rPr>
                <w:sz w:val="20"/>
                <w:szCs w:val="20"/>
                <w:color w:val="auto"/>
              </w:rPr>
            </w:pPr>
            <w:r>
              <w:rPr>
                <w:rFonts w:ascii="Arial" w:cs="Arial" w:eastAsia="Arial" w:hAnsi="Arial"/>
                <w:sz w:val="14"/>
                <w:szCs w:val="14"/>
                <w:b w:val="1"/>
                <w:bCs w:val="1"/>
                <w:color w:val="auto"/>
                <w:w w:val="89"/>
              </w:rPr>
              <w:t>Donald C. Wood,</w:t>
            </w:r>
          </w:p>
        </w:tc>
      </w:tr>
      <w:tr>
        <w:trPr>
          <w:trHeight w:val="136"/>
        </w:trPr>
        <w:tc>
          <w:tcPr>
            <w:tcW w:w="5820" w:type="dxa"/>
            <w:vAlign w:val="bottom"/>
          </w:tcPr>
          <w:p>
            <w:pPr>
              <w:spacing w:after="0"/>
              <w:rPr>
                <w:sz w:val="11"/>
                <w:szCs w:val="11"/>
                <w:color w:val="auto"/>
              </w:rPr>
            </w:pPr>
          </w:p>
        </w:tc>
        <w:tc>
          <w:tcPr>
            <w:tcW w:w="560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6"/>
              </w:rPr>
              <w:t>President, Chief Executive Officer and Trustee</w:t>
            </w:r>
          </w:p>
        </w:tc>
      </w:tr>
    </w:tbl>
    <w:p>
      <w:pPr>
        <w:ind w:left="78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Quarterly Report on Form 10-Q for the period ended March 31, 2006 (the “Report”). The undersigned hereby certifies that:</w:t>
      </w:r>
    </w:p>
    <w:p>
      <w:pPr>
        <w:spacing w:after="0" w:line="59" w:lineRule="exact"/>
        <w:rPr>
          <w:sz w:val="20"/>
          <w:szCs w:val="20"/>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210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/s/</w:t>
            </w:r>
          </w:p>
        </w:tc>
        <w:tc>
          <w:tcPr>
            <w:tcW w:w="3500" w:type="dxa"/>
            <w:vAlign w:val="bottom"/>
            <w:tcBorders>
              <w:bottom w:val="single" w:sz="8" w:color="auto"/>
            </w:tcBorders>
          </w:tcPr>
          <w:p>
            <w:pPr>
              <w:jc w:val="center"/>
              <w:ind w:right="1962"/>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ARRY</w:t>
            </w:r>
            <w:r>
              <w:rPr>
                <w:rFonts w:ascii="Arial" w:cs="Arial" w:eastAsia="Arial" w:hAnsi="Arial"/>
                <w:sz w:val="18"/>
                <w:szCs w:val="18"/>
                <w:color w:val="auto"/>
                <w:w w:val="99"/>
              </w:rPr>
              <w:t xml:space="preserve"> E. F</w:t>
            </w:r>
            <w:r>
              <w:rPr>
                <w:rFonts w:ascii="Arial" w:cs="Arial" w:eastAsia="Arial" w:hAnsi="Arial"/>
                <w:sz w:val="14"/>
                <w:szCs w:val="14"/>
                <w:color w:val="auto"/>
                <w:w w:val="99"/>
              </w:rPr>
              <w:t>INGER</w:t>
            </w:r>
          </w:p>
        </w:tc>
      </w:tr>
      <w:tr>
        <w:trPr>
          <w:trHeight w:val="171"/>
        </w:trPr>
        <w:tc>
          <w:tcPr>
            <w:tcW w:w="5820" w:type="dxa"/>
            <w:vAlign w:val="bottom"/>
          </w:tcPr>
          <w:p>
            <w:pPr>
              <w:spacing w:after="0" w:line="171" w:lineRule="exact"/>
              <w:rPr>
                <w:sz w:val="20"/>
                <w:szCs w:val="20"/>
                <w:color w:val="auto"/>
              </w:rPr>
            </w:pPr>
            <w:r>
              <w:rPr>
                <w:rFonts w:ascii="Arial" w:cs="Arial" w:eastAsia="Arial" w:hAnsi="Arial"/>
                <w:sz w:val="18"/>
                <w:szCs w:val="18"/>
                <w:color w:val="auto"/>
              </w:rPr>
              <w:t>May 3, 2006</w:t>
            </w:r>
          </w:p>
        </w:tc>
        <w:tc>
          <w:tcPr>
            <w:tcW w:w="2100" w:type="dxa"/>
            <w:vAlign w:val="bottom"/>
          </w:tcPr>
          <w:p>
            <w:pPr>
              <w:spacing w:after="0"/>
              <w:rPr>
                <w:sz w:val="14"/>
                <w:szCs w:val="14"/>
                <w:color w:val="auto"/>
              </w:rPr>
            </w:pPr>
          </w:p>
        </w:tc>
        <w:tc>
          <w:tcPr>
            <w:tcW w:w="3500" w:type="dxa"/>
            <w:vAlign w:val="bottom"/>
          </w:tcPr>
          <w:p>
            <w:pPr>
              <w:jc w:val="center"/>
              <w:ind w:right="2002"/>
              <w:spacing w:after="0"/>
              <w:rPr>
                <w:sz w:val="20"/>
                <w:szCs w:val="20"/>
                <w:color w:val="auto"/>
              </w:rPr>
            </w:pPr>
            <w:r>
              <w:rPr>
                <w:rFonts w:ascii="Arial" w:cs="Arial" w:eastAsia="Arial" w:hAnsi="Arial"/>
                <w:sz w:val="14"/>
                <w:szCs w:val="14"/>
                <w:b w:val="1"/>
                <w:bCs w:val="1"/>
                <w:color w:val="auto"/>
                <w:w w:val="91"/>
              </w:rPr>
              <w:t>Larry E. Finger,</w:t>
            </w:r>
          </w:p>
        </w:tc>
      </w:tr>
      <w:tr>
        <w:trPr>
          <w:trHeight w:val="136"/>
        </w:trPr>
        <w:tc>
          <w:tcPr>
            <w:tcW w:w="5820" w:type="dxa"/>
            <w:vAlign w:val="bottom"/>
          </w:tcPr>
          <w:p>
            <w:pPr>
              <w:spacing w:after="0"/>
              <w:rPr>
                <w:sz w:val="11"/>
                <w:szCs w:val="11"/>
                <w:color w:val="auto"/>
              </w:rPr>
            </w:pPr>
          </w:p>
        </w:tc>
        <w:tc>
          <w:tcPr>
            <w:tcW w:w="560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6"/>
              </w:rPr>
              <w:t>Executive Vice President and</w:t>
            </w:r>
          </w:p>
        </w:tc>
      </w:tr>
    </w:tbl>
    <w:p>
      <w:pPr>
        <w:ind w:left="7060"/>
        <w:spacing w:after="0"/>
        <w:rPr>
          <w:sz w:val="20"/>
          <w:szCs w:val="20"/>
          <w:color w:val="auto"/>
        </w:rPr>
      </w:pPr>
      <w:r>
        <w:rPr>
          <w:rFonts w:ascii="Arial" w:cs="Arial" w:eastAsia="Arial" w:hAnsi="Arial"/>
          <w:sz w:val="14"/>
          <w:szCs w:val="14"/>
          <w:b w:val="1"/>
          <w:bCs w:val="1"/>
          <w:color w:val="auto"/>
        </w:rPr>
        <w:t>Chief Financial Officer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2"/>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lvl w:ilvl="1">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2019-12-12T09:24:49Z</dcterms:created>
  <dcterms:modified xsi:type="dcterms:W3CDTF">2019-12-12T09:24:49Z</dcterms:modified>
</cp:coreProperties>
</file>