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w:t>
      </w:r>
    </w:p>
    <w:p>
      <w:pPr>
        <w:jc w:val="center"/>
        <w:ind w:right="-17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left="400" w:right="23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313747206</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2006</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left="6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12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392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AEW Capital Management, L.P.</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58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-1774825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Number of</w:t>
            </w: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1820" w:type="dxa"/>
            <w:vAlign w:val="bottom"/>
          </w:tcPr>
          <w:p>
            <w:pPr>
              <w:ind w:left="480"/>
              <w:spacing w:after="0"/>
              <w:rPr>
                <w:sz w:val="20"/>
                <w:szCs w:val="20"/>
                <w:color w:val="auto"/>
              </w:rPr>
            </w:pPr>
            <w:r>
              <w:rPr>
                <w:rFonts w:ascii="Arial" w:cs="Arial" w:eastAsia="Arial" w:hAnsi="Arial"/>
                <w:sz w:val="18"/>
                <w:szCs w:val="18"/>
                <w:color w:val="auto"/>
                <w:w w:val="89"/>
              </w:rPr>
              <w:t>Sole Voting Power</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1020" w:type="dxa"/>
            <w:vAlign w:val="bottom"/>
          </w:tcPr>
          <w:p>
            <w:pPr>
              <w:spacing w:after="0"/>
              <w:rPr>
                <w:sz w:val="20"/>
                <w:szCs w:val="20"/>
                <w:color w:val="auto"/>
              </w:rPr>
            </w:pPr>
          </w:p>
        </w:tc>
        <w:tc>
          <w:tcPr>
            <w:tcW w:w="1820" w:type="dxa"/>
            <w:vAlign w:val="bottom"/>
          </w:tcPr>
          <w:p>
            <w:pPr>
              <w:ind w:left="480"/>
              <w:spacing w:after="0"/>
              <w:rPr>
                <w:sz w:val="20"/>
                <w:szCs w:val="20"/>
                <w:color w:val="auto"/>
              </w:rPr>
            </w:pPr>
            <w:r>
              <w:rPr>
                <w:rFonts w:ascii="Arial" w:cs="Arial" w:eastAsia="Arial" w:hAnsi="Arial"/>
                <w:sz w:val="18"/>
                <w:szCs w:val="18"/>
                <w:color w:val="auto"/>
              </w:rPr>
              <w:t>1,050,700</w:t>
            </w:r>
          </w:p>
        </w:tc>
      </w:tr>
    </w:tbl>
    <w:p>
      <w:pPr>
        <w:ind w:left="60"/>
        <w:spacing w:after="0"/>
        <w:rPr>
          <w:sz w:val="20"/>
          <w:szCs w:val="20"/>
          <w:color w:val="auto"/>
        </w:rPr>
      </w:pPr>
      <w:r>
        <w:rPr>
          <w:rFonts w:ascii="Arial" w:cs="Arial" w:eastAsia="Arial" w:hAnsi="Arial"/>
          <w:sz w:val="18"/>
          <w:szCs w:val="18"/>
          <w:color w:val="auto"/>
        </w:rPr>
        <w:t>Beneficially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-96520</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Owned by</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8"/>
          <w:szCs w:val="18"/>
          <w:color w:val="auto"/>
        </w:rPr>
        <w:t>Each</w:t>
      </w:r>
    </w:p>
    <w:p>
      <w:pPr>
        <w:sectPr>
          <w:pgSz w:w="11900" w:h="16861" w:orient="portrait"/>
          <w:cols w:equalWidth="0" w:num="1">
            <w:col w:w="11260"/>
          </w:cols>
          <w:pgMar w:left="240" w:top="544" w:right="399" w:bottom="0" w:gutter="0" w:footer="0" w:header="0"/>
        </w:sectPr>
      </w:pPr>
    </w:p>
    <w:bookmarkStart w:id="1" w:name="page2"/>
    <w:bookmarkEnd w:id="1"/>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r>
      <w:tr>
        <w:trPr>
          <w:trHeight w:val="268"/>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23"/>
                <w:szCs w:val="23"/>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None</w:t>
            </w: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r>
    </w:tbl>
    <w:p>
      <w:pPr>
        <w:spacing w:after="0" w:line="350" w:lineRule="exact"/>
        <w:rPr>
          <w:sz w:val="20"/>
          <w:szCs w:val="20"/>
          <w:color w:val="auto"/>
        </w:rPr>
      </w:pPr>
    </w:p>
    <w:p>
      <w:pPr>
        <w:ind w:left="2700" w:right="6960" w:hanging="1091"/>
        <w:spacing w:after="0" w:line="275"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2,160,689</w:t>
      </w:r>
    </w:p>
    <w:p>
      <w:pPr>
        <w:spacing w:after="0" w:line="389" w:lineRule="exact"/>
        <w:rPr>
          <w:rFonts w:ascii="Arial" w:cs="Arial" w:eastAsia="Arial" w:hAnsi="Arial"/>
          <w:sz w:val="18"/>
          <w:szCs w:val="18"/>
          <w:color w:val="auto"/>
        </w:rPr>
      </w:pPr>
    </w:p>
    <w:p>
      <w:pPr>
        <w:ind w:left="2700" w:right="678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None</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2,160,689 shares of Common Stock</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3.91%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80"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AEW Capital Management, Inc.</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98" w:orient="portrait"/>
          <w:cols w:equalWidth="0" w:num="1">
            <w:col w:w="11360"/>
          </w:cols>
          <w:pgMar w:left="300" w:top="125" w:right="239" w:bottom="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2,160,689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98" w:orient="portrait"/>
          <w:cols w:equalWidth="0" w:num="2">
            <w:col w:w="1980" w:space="720"/>
            <w:col w:w="8660"/>
          </w:cols>
          <w:pgMar w:left="300" w:top="125" w:right="239" w:bottom="0" w:gutter="0" w:footer="0" w:header="0"/>
          <w:type w:val="continuous"/>
        </w:sectPr>
      </w:pPr>
    </w:p>
    <w:p>
      <w:pPr>
        <w:spacing w:after="0" w:line="227" w:lineRule="exact"/>
        <w:rPr>
          <w:sz w:val="20"/>
          <w:szCs w:val="20"/>
          <w:color w:val="auto"/>
        </w:rPr>
      </w:pPr>
    </w:p>
    <w:p>
      <w:pPr>
        <w:ind w:left="1000" w:right="5560" w:hanging="620"/>
        <w:spacing w:after="0" w:line="2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2,160,689 shares of Common Stock</w:t>
      </w:r>
    </w:p>
    <w:p>
      <w:pPr>
        <w:sectPr>
          <w:pgSz w:w="11900" w:h="16898" w:orient="portrait"/>
          <w:cols w:equalWidth="0" w:num="1">
            <w:col w:w="11360"/>
          </w:cols>
          <w:pgMar w:left="300" w:top="125" w:right="239" w:bottom="0" w:gutter="0" w:footer="0" w:header="0"/>
          <w:type w:val="continuous"/>
        </w:sectPr>
      </w:pPr>
    </w:p>
    <w:bookmarkStart w:id="2" w:name="page3"/>
    <w:bookmarkEnd w:id="2"/>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791845</wp:posOffset>
            </wp:positionH>
            <wp:positionV relativeFrom="page">
              <wp:posOffset>97790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3.91%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2879" w:hanging="620"/>
        <w:spacing w:after="0" w:line="27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AEW Management and Advisors, L.P.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517" w:right="1440" w:bottom="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2,160,689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17" w:lineRule="exact"/>
        <w:rPr>
          <w:sz w:val="20"/>
          <w:szCs w:val="20"/>
          <w:color w:val="auto"/>
        </w:rPr>
      </w:pPr>
    </w:p>
    <w:p>
      <w:pPr>
        <w:sectPr>
          <w:pgSz w:w="11900" w:h="16838" w:orient="portrait"/>
          <w:cols w:equalWidth="0" w:num="2">
            <w:col w:w="1980" w:space="720"/>
            <w:col w:w="7459"/>
          </w:cols>
          <w:pgMar w:left="300" w:top="517" w:right="1440" w:bottom="0" w:gutter="0" w:footer="0" w:header="0"/>
          <w:type w:val="continuous"/>
        </w:sectPr>
      </w:pPr>
    </w:p>
    <w:p>
      <w:pPr>
        <w:spacing w:after="0" w:line="110" w:lineRule="exact"/>
        <w:rPr>
          <w:sz w:val="20"/>
          <w:szCs w:val="20"/>
          <w:color w:val="auto"/>
        </w:rPr>
      </w:pPr>
    </w:p>
    <w:p>
      <w:pPr>
        <w:ind w:left="2700" w:right="5579" w:hanging="1091"/>
        <w:spacing w:after="0" w:line="277" w:lineRule="auto"/>
        <w:tabs>
          <w:tab w:leader="none" w:pos="2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 None</w:t>
      </w:r>
    </w:p>
    <w:p>
      <w:pPr>
        <w:spacing w:after="0" w:line="386" w:lineRule="exact"/>
        <w:rPr>
          <w:rFonts w:ascii="Arial" w:cs="Arial" w:eastAsia="Arial" w:hAnsi="Arial"/>
          <w:sz w:val="18"/>
          <w:szCs w:val="18"/>
          <w:color w:val="auto"/>
        </w:rPr>
      </w:pPr>
    </w:p>
    <w:p>
      <w:pPr>
        <w:ind w:left="1000" w:right="4359" w:hanging="620"/>
        <w:spacing w:after="0" w:line="275"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2,160,689 shares of Common Stock</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5"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3.91%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59"/>
          </w:cols>
          <w:pgMar w:left="300" w:top="517"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2879" w:hanging="620"/>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AEW Investment Group, Inc.</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017" w:right="1440" w:bottom="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2,160,689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1017" w:right="1440" w:bottom="0" w:gutter="0" w:footer="0" w:header="0"/>
          <w:type w:val="continuous"/>
        </w:sectPr>
      </w:pPr>
    </w:p>
    <w:p>
      <w:pPr>
        <w:spacing w:after="0" w:line="227" w:lineRule="exact"/>
        <w:rPr>
          <w:sz w:val="20"/>
          <w:szCs w:val="20"/>
          <w:color w:val="auto"/>
        </w:rPr>
      </w:pPr>
    </w:p>
    <w:p>
      <w:pPr>
        <w:ind w:left="1000" w:right="4359" w:hanging="620"/>
        <w:spacing w:after="0" w:line="27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2,160,689 shares of Common Stock</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3.91%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116" w:lineRule="exact"/>
        <w:rPr>
          <w:rFonts w:ascii="Arial" w:cs="Arial" w:eastAsia="Arial" w:hAnsi="Arial"/>
          <w:sz w:val="18"/>
          <w:szCs w:val="18"/>
          <w:color w:val="auto"/>
        </w:rPr>
      </w:pPr>
    </w:p>
    <w:p>
      <w:pPr>
        <w:ind w:left="1440" w:right="5299" w:hanging="493"/>
        <w:spacing w:after="0" w:line="258" w:lineRule="auto"/>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Issuer’s Principal Executive Offices 1626 East Jefferson Street</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Rockville, MD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-448310</wp:posOffset>
            </wp:positionV>
            <wp:extent cx="63290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ectPr>
          <w:pgSz w:w="11900" w:h="16838" w:orient="portrait"/>
          <w:cols w:equalWidth="0" w:num="1">
            <w:col w:w="10159"/>
          </w:cols>
          <w:pgMar w:left="300" w:top="1017" w:right="1440" w:bottom="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Item 2.</w:t>
      </w:r>
    </w:p>
    <w:p>
      <w:pPr>
        <w:sectPr>
          <w:pgSz w:w="11900" w:h="16838" w:orient="portrait"/>
          <w:cols w:equalWidth="0" w:num="1">
            <w:col w:w="10159"/>
          </w:cols>
          <w:pgMar w:left="300" w:top="1017" w:right="1440" w:bottom="0" w:gutter="0" w:footer="0" w:header="0"/>
          <w:type w:val="continuous"/>
        </w:sectPr>
      </w:pPr>
    </w:p>
    <w:bookmarkStart w:id="4" w:name="page5"/>
    <w:bookmarkEnd w:id="4"/>
    <w:p>
      <w:pPr>
        <w:spacing w:after="0" w:line="91" w:lineRule="exact"/>
        <w:rPr>
          <w:sz w:val="20"/>
          <w:szCs w:val="20"/>
          <w:color w:val="auto"/>
        </w:rPr>
      </w:pPr>
    </w:p>
    <w:p>
      <w:pPr>
        <w:ind w:left="1440" w:hanging="493"/>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right="6980"/>
        <w:spacing w:after="0" w:line="254" w:lineRule="auto"/>
        <w:rPr>
          <w:rFonts w:ascii="Arial" w:cs="Arial" w:eastAsia="Arial" w:hAnsi="Arial"/>
          <w:sz w:val="18"/>
          <w:szCs w:val="18"/>
          <w:color w:val="auto"/>
        </w:rPr>
      </w:pPr>
      <w:r>
        <w:rPr>
          <w:rFonts w:ascii="Arial" w:cs="Arial" w:eastAsia="Arial" w:hAnsi="Arial"/>
          <w:sz w:val="18"/>
          <w:szCs w:val="18"/>
          <w:color w:val="auto"/>
        </w:rPr>
        <w:t>AEW Capital Management, L.P. AEW Capital Management, Inc. AEW Management and Advisors, L.P. AEW Investment Group, Inc.</w:t>
      </w:r>
    </w:p>
    <w:p>
      <w:pPr>
        <w:spacing w:after="0" w:line="95" w:lineRule="exact"/>
        <w:rPr>
          <w:rFonts w:ascii="Arial" w:cs="Arial" w:eastAsia="Arial" w:hAnsi="Arial"/>
          <w:sz w:val="18"/>
          <w:szCs w:val="18"/>
          <w:color w:val="auto"/>
        </w:rPr>
      </w:pPr>
    </w:p>
    <w:p>
      <w:pPr>
        <w:ind w:left="1440" w:right="5480" w:hanging="493"/>
        <w:spacing w:after="0" w:line="258"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World Trade Center East</w:t>
      </w:r>
    </w:p>
    <w:p>
      <w:pPr>
        <w:spacing w:after="0" w:line="1" w:lineRule="exact"/>
        <w:rPr>
          <w:rFonts w:ascii="Arial" w:cs="Arial" w:eastAsia="Arial" w:hAnsi="Arial"/>
          <w:sz w:val="18"/>
          <w:szCs w:val="18"/>
          <w:color w:val="auto"/>
        </w:rPr>
      </w:pPr>
    </w:p>
    <w:p>
      <w:pPr>
        <w:ind w:left="1440" w:right="7960"/>
        <w:spacing w:after="0" w:line="323" w:lineRule="auto"/>
        <w:rPr>
          <w:rFonts w:ascii="Arial" w:cs="Arial" w:eastAsia="Arial" w:hAnsi="Arial"/>
          <w:sz w:val="18"/>
          <w:szCs w:val="18"/>
          <w:color w:val="auto"/>
        </w:rPr>
      </w:pPr>
      <w:r>
        <w:rPr>
          <w:rFonts w:ascii="Arial" w:cs="Arial" w:eastAsia="Arial" w:hAnsi="Arial"/>
          <w:sz w:val="16"/>
          <w:szCs w:val="16"/>
          <w:color w:val="auto"/>
        </w:rPr>
        <w:t>Two Seaport Lane Boston, MA 02110-2021</w:t>
      </w:r>
    </w:p>
    <w:p>
      <w:pPr>
        <w:spacing w:after="0" w:line="44" w:lineRule="exact"/>
        <w:rPr>
          <w:rFonts w:ascii="Arial" w:cs="Arial" w:eastAsia="Arial" w:hAnsi="Arial"/>
          <w:sz w:val="18"/>
          <w:szCs w:val="18"/>
          <w:color w:val="auto"/>
        </w:rPr>
      </w:pPr>
    </w:p>
    <w:p>
      <w:pPr>
        <w:ind w:left="1440" w:hanging="493"/>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right="6000"/>
        <w:spacing w:after="0" w:line="295" w:lineRule="auto"/>
        <w:rPr>
          <w:rFonts w:ascii="Arial" w:cs="Arial" w:eastAsia="Arial" w:hAnsi="Arial"/>
          <w:sz w:val="18"/>
          <w:szCs w:val="18"/>
          <w:color w:val="auto"/>
        </w:rPr>
      </w:pPr>
      <w:r>
        <w:rPr>
          <w:rFonts w:ascii="Arial" w:cs="Arial" w:eastAsia="Arial" w:hAnsi="Arial"/>
          <w:sz w:val="16"/>
          <w:szCs w:val="16"/>
          <w:color w:val="auto"/>
        </w:rPr>
        <w:t>Delaware for AEW Capital Management, L.P. Massachusetts for AEW Capital Management, Inc. Delaware for AEW Management and Advisors, L.P. Massachusetts for AEW Investment Group, Inc.</w:t>
      </w:r>
    </w:p>
    <w:p>
      <w:pPr>
        <w:spacing w:after="0" w:line="66" w:lineRule="exact"/>
        <w:rPr>
          <w:rFonts w:ascii="Arial" w:cs="Arial" w:eastAsia="Arial" w:hAnsi="Arial"/>
          <w:sz w:val="18"/>
          <w:szCs w:val="18"/>
          <w:color w:val="auto"/>
        </w:rPr>
      </w:pPr>
    </w:p>
    <w:p>
      <w:pPr>
        <w:ind w:left="1440" w:right="7840" w:hanging="493"/>
        <w:spacing w:after="0" w:line="342" w:lineRule="auto"/>
        <w:tabs>
          <w:tab w:leader="none" w:pos="1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440" w:right="8600" w:hanging="493"/>
        <w:spacing w:after="0" w:line="342" w:lineRule="auto"/>
        <w:tabs>
          <w:tab w:leader="none" w:pos="1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CUSIP Number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-1480820</wp:posOffset>
            </wp:positionV>
            <wp:extent cx="63290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-2106930</wp:posOffset>
            </wp:positionV>
            <wp:extent cx="63290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2,160,689 shares of Common Stock</w:t>
      </w:r>
    </w:p>
    <w:p>
      <w:pPr>
        <w:spacing w:after="0" w:line="238" w:lineRule="exact"/>
        <w:rPr>
          <w:rFonts w:ascii="Arial" w:cs="Arial" w:eastAsia="Arial" w:hAnsi="Arial"/>
          <w:sz w:val="18"/>
          <w:szCs w:val="18"/>
          <w:color w:val="auto"/>
        </w:rPr>
      </w:pPr>
    </w:p>
    <w:p>
      <w:pPr>
        <w:ind w:left="1600" w:hanging="400"/>
        <w:spacing w:after="0"/>
        <w:tabs>
          <w:tab w:leader="none" w:pos="1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3.91%</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180" w:hanging="453"/>
        <w:spacing w:after="0" w:line="412" w:lineRule="auto"/>
        <w:tabs>
          <w:tab w:leader="none" w:pos="2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Sole power to vote or to direct the vote 1,050,700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64" w:lineRule="exact"/>
        <w:rPr>
          <w:sz w:val="20"/>
          <w:szCs w:val="20"/>
          <w:color w:val="auto"/>
        </w:rPr>
      </w:pPr>
    </w:p>
    <w:p>
      <w:pPr>
        <w:ind w:left="2220" w:right="6000" w:hanging="478"/>
        <w:spacing w:after="0" w:line="340" w:lineRule="auto"/>
        <w:tabs>
          <w:tab w:leader="none" w:pos="2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ectPr>
          <w:pgSz w:w="11900" w:h="16929" w:orient="portrait"/>
          <w:cols w:equalWidth="0" w:num="1">
            <w:col w:w="11200"/>
          </w:cols>
          <w:pgMar w:left="300" w:top="206" w:right="399" w:bottom="0" w:gutter="0" w:footer="0" w:header="0"/>
        </w:sectPr>
      </w:pPr>
    </w:p>
    <w:bookmarkStart w:id="5" w:name="page6"/>
    <w:bookmarkEnd w:id="5"/>
    <w:p>
      <w:pPr>
        <w:ind w:left="2280" w:right="5340" w:hanging="503"/>
        <w:spacing w:after="0" w:line="374" w:lineRule="auto"/>
        <w:tabs>
          <w:tab w:leader="none" w:pos="2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1564005</wp:posOffset>
            </wp:positionH>
            <wp:positionV relativeFrom="page">
              <wp:posOffset>114935</wp:posOffset>
            </wp:positionV>
            <wp:extent cx="58400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0095" cy="8890"/>
                    </a:xfrm>
                    <a:prstGeom prst="rect">
                      <a:avLst/>
                    </a:prstGeom>
                    <a:noFill/>
                  </pic:spPr>
                </pic:pic>
              </a:graphicData>
            </a:graphic>
          </wp:anchor>
        </w:drawing>
        <w:t>Sole power to dispose or to direct the disposition of 2,160,689 shares of Common Stock</w:t>
      </w:r>
    </w:p>
    <w:p>
      <w:pPr>
        <w:spacing w:after="0" w:line="106" w:lineRule="exact"/>
        <w:rPr>
          <w:rFonts w:ascii="Arial" w:cs="Arial" w:eastAsia="Arial" w:hAnsi="Arial"/>
          <w:sz w:val="17"/>
          <w:szCs w:val="17"/>
          <w:color w:val="auto"/>
        </w:rPr>
      </w:pPr>
    </w:p>
    <w:p>
      <w:pPr>
        <w:ind w:left="2280" w:right="5160" w:hanging="498"/>
        <w:spacing w:after="0" w:line="340" w:lineRule="auto"/>
        <w:tabs>
          <w:tab w:leader="none" w:pos="2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-440055</wp:posOffset>
            </wp:positionV>
            <wp:extent cx="58400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As of the date hereof the reporting person has ceased to be the beneficial owner of more than five percent of the class of securities</w:t>
      </w: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1180" w:right="420" w:hanging="1120"/>
        <w:spacing w:after="0" w:line="277" w:lineRule="auto"/>
        <w:tabs>
          <w:tab w:leader="none" w:pos="11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jc w:val="both"/>
        <w:ind w:left="60" w:right="180" w:firstLine="9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2007</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AEW CAPITAL MANAGEMENT, L.P.</w:t>
      </w:r>
    </w:p>
    <w:p>
      <w:pPr>
        <w:spacing w:after="0" w:line="225" w:lineRule="exact"/>
        <w:rPr>
          <w:sz w:val="20"/>
          <w:szCs w:val="20"/>
          <w:color w:val="auto"/>
        </w:rPr>
      </w:pPr>
    </w:p>
    <w:p>
      <w:pPr>
        <w:ind w:left="5440"/>
        <w:spacing w:after="0"/>
        <w:tabs>
          <w:tab w:leader="none" w:pos="5920" w:val="left"/>
        </w:tabs>
        <w:rPr>
          <w:sz w:val="20"/>
          <w:szCs w:val="20"/>
          <w:color w:val="auto"/>
        </w:rPr>
      </w:pPr>
      <w:r>
        <w:rPr>
          <w:rFonts w:ascii="Arial" w:cs="Arial" w:eastAsia="Arial" w:hAnsi="Arial"/>
          <w:sz w:val="18"/>
          <w:szCs w:val="18"/>
          <w:color w:val="auto"/>
        </w:rPr>
        <w:t>By:</w:t>
        <w:tab/>
        <w:t>AEW Capital Management, Inc., its</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21609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AEW CAPITAL MANAGEMENT, INC.</w:t>
      </w:r>
    </w:p>
    <w:p>
      <w:pPr>
        <w:spacing w:after="0" w:line="225" w:lineRule="exact"/>
        <w:rPr>
          <w:sz w:val="20"/>
          <w:szCs w:val="20"/>
          <w:color w:val="auto"/>
        </w:rPr>
      </w:pPr>
    </w:p>
    <w:tbl>
      <w:tblPr>
        <w:tblLayout w:type="fixed"/>
        <w:tblInd w:w="54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/s/ James J. Finnegan</w:t>
            </w:r>
          </w:p>
        </w:tc>
      </w:tr>
      <w:tr>
        <w:trPr>
          <w:trHeight w:val="195"/>
        </w:trPr>
        <w:tc>
          <w:tcPr>
            <w:tcW w:w="300" w:type="dxa"/>
            <w:vAlign w:val="bottom"/>
          </w:tcPr>
          <w:p>
            <w:pPr>
              <w:spacing w:after="0"/>
              <w:rPr>
                <w:sz w:val="16"/>
                <w:szCs w:val="16"/>
                <w:color w:val="auto"/>
              </w:rPr>
            </w:pPr>
          </w:p>
        </w:tc>
        <w:tc>
          <w:tcPr>
            <w:tcW w:w="760" w:type="dxa"/>
            <w:vAlign w:val="bottom"/>
          </w:tcPr>
          <w:p>
            <w:pPr>
              <w:ind w:left="220"/>
              <w:spacing w:after="0" w:line="195" w:lineRule="exact"/>
              <w:rPr>
                <w:sz w:val="20"/>
                <w:szCs w:val="20"/>
                <w:color w:val="auto"/>
              </w:rPr>
            </w:pPr>
            <w:r>
              <w:rPr>
                <w:rFonts w:ascii="Arial" w:cs="Arial" w:eastAsia="Arial" w:hAnsi="Arial"/>
                <w:sz w:val="18"/>
                <w:szCs w:val="18"/>
                <w:color w:val="auto"/>
                <w:w w:val="98"/>
              </w:rPr>
              <w:t>Name:</w:t>
            </w:r>
          </w:p>
        </w:tc>
        <w:tc>
          <w:tcPr>
            <w:tcW w:w="2640" w:type="dxa"/>
            <w:vAlign w:val="bottom"/>
          </w:tcPr>
          <w:p>
            <w:pPr>
              <w:ind w:left="8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300" w:type="dxa"/>
            <w:vAlign w:val="bottom"/>
          </w:tcPr>
          <w:p>
            <w:pPr>
              <w:spacing w:after="0"/>
              <w:rPr>
                <w:sz w:val="20"/>
                <w:szCs w:val="20"/>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Title:</w:t>
            </w:r>
          </w:p>
        </w:tc>
        <w:tc>
          <w:tcPr>
            <w:tcW w:w="26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AEW MANAGEMENT AND ADVISORS, L.P.</w:t>
      </w:r>
    </w:p>
    <w:p>
      <w:pPr>
        <w:spacing w:after="0" w:line="225" w:lineRule="exact"/>
        <w:rPr>
          <w:sz w:val="20"/>
          <w:szCs w:val="20"/>
          <w:color w:val="auto"/>
        </w:rPr>
      </w:pPr>
    </w:p>
    <w:p>
      <w:pPr>
        <w:ind w:left="5440"/>
        <w:spacing w:after="0"/>
        <w:tabs>
          <w:tab w:leader="none" w:pos="5920" w:val="left"/>
        </w:tabs>
        <w:rPr>
          <w:sz w:val="20"/>
          <w:szCs w:val="20"/>
          <w:color w:val="auto"/>
        </w:rPr>
      </w:pPr>
      <w:r>
        <w:rPr>
          <w:rFonts w:ascii="Arial" w:cs="Arial" w:eastAsia="Arial" w:hAnsi="Arial"/>
          <w:sz w:val="18"/>
          <w:szCs w:val="18"/>
          <w:color w:val="auto"/>
        </w:rPr>
        <w:t>By:</w:t>
        <w:tab/>
        <w:t>AEW INVESTMENT GROUP, Inc., its</w:t>
      </w:r>
    </w:p>
    <w:p>
      <w:pPr>
        <w:sectPr>
          <w:pgSz w:w="11900" w:h="16838" w:orient="portrait"/>
          <w:cols w:equalWidth="0" w:num="1">
            <w:col w:w="11340"/>
          </w:cols>
          <w:pgMar w:left="240" w:top="287" w:right="319" w:bottom="0" w:gutter="0" w:footer="0" w:header="0"/>
        </w:sectPr>
      </w:pPr>
    </w:p>
    <w:bookmarkStart w:id="6" w:name="page7"/>
    <w:bookmarkEnd w:id="6"/>
    <w:p>
      <w:pPr>
        <w:ind w:left="6640"/>
        <w:spacing w:after="0"/>
        <w:rPr>
          <w:sz w:val="20"/>
          <w:szCs w:val="20"/>
          <w:color w:val="auto"/>
        </w:rPr>
      </w:pPr>
      <w:r>
        <w:rPr>
          <w:rFonts w:ascii="Arial" w:cs="Arial" w:eastAsia="Arial" w:hAnsi="Arial"/>
          <w:sz w:val="18"/>
          <w:szCs w:val="18"/>
          <w:color w:val="auto"/>
        </w:rPr>
        <w:t>general partner</w:t>
      </w:r>
    </w:p>
    <w:p>
      <w:pPr>
        <w:spacing w:after="0" w:line="225"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21609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AEW INVESTMENT GROUP INC.</w:t>
      </w:r>
    </w:p>
    <w:p>
      <w:pPr>
        <w:spacing w:after="0" w:line="225" w:lineRule="exact"/>
        <w:rPr>
          <w:sz w:val="20"/>
          <w:szCs w:val="20"/>
          <w:color w:val="auto"/>
        </w:rPr>
      </w:pPr>
    </w:p>
    <w:tbl>
      <w:tblPr>
        <w:tblLayout w:type="fixed"/>
        <w:tblInd w:w="5440" w:type="dxa"/>
        <w:tblCellMar>
          <w:top w:w="0" w:type="dxa"/>
          <w:left w:w="0" w:type="dxa"/>
          <w:bottom w:w="0" w:type="dxa"/>
          <w:right w:w="0" w:type="dxa"/>
        </w:tblCellMar>
      </w:tblPr>
      <w:tr>
        <w:trPr>
          <w:trHeight w:val="230"/>
        </w:trPr>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By:</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/s/ James J. Finnegan</w:t>
            </w:r>
          </w:p>
        </w:tc>
      </w:tr>
      <w:tr>
        <w:trPr>
          <w:trHeight w:val="195"/>
        </w:trPr>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w w:val="98"/>
              </w:rPr>
              <w:t>Name:</w:t>
            </w:r>
          </w:p>
        </w:tc>
        <w:tc>
          <w:tcPr>
            <w:tcW w:w="26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Title:</w:t>
            </w:r>
          </w:p>
        </w:tc>
        <w:tc>
          <w:tcPr>
            <w:tcW w:w="26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864"/>
        </w:trPr>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Federal Realty Investment Trust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8th day of February, 2007.</w:t>
      </w:r>
    </w:p>
    <w:p>
      <w:pPr>
        <w:spacing w:after="0" w:line="21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AEW CAPITAL MANAGEMENT, L.P.</w:t>
      </w:r>
    </w:p>
    <w:p>
      <w:pPr>
        <w:spacing w:after="0" w:line="23" w:lineRule="exact"/>
        <w:rPr>
          <w:sz w:val="20"/>
          <w:szCs w:val="20"/>
          <w:color w:val="auto"/>
        </w:rPr>
      </w:pPr>
    </w:p>
    <w:p>
      <w:pPr>
        <w:ind w:left="6660"/>
        <w:spacing w:after="0"/>
        <w:tabs>
          <w:tab w:leader="none" w:pos="7120" w:val="left"/>
        </w:tabs>
        <w:rPr>
          <w:sz w:val="20"/>
          <w:szCs w:val="20"/>
          <w:color w:val="auto"/>
        </w:rPr>
      </w:pPr>
      <w:r>
        <w:rPr>
          <w:rFonts w:ascii="Arial" w:cs="Arial" w:eastAsia="Arial" w:hAnsi="Arial"/>
          <w:sz w:val="18"/>
          <w:szCs w:val="18"/>
          <w:color w:val="auto"/>
        </w:rPr>
        <w:t>By:</w:t>
        <w:tab/>
        <w:t>AEW Capital Management, Inc., its</w:t>
      </w:r>
    </w:p>
    <w:p>
      <w:pPr>
        <w:spacing w:after="0" w:line="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/s/ James J. Finnegan</w:t>
            </w:r>
          </w:p>
        </w:tc>
      </w:tr>
      <w:tr>
        <w:trPr>
          <w:trHeight w:val="195"/>
        </w:trPr>
        <w:tc>
          <w:tcPr>
            <w:tcW w:w="360" w:type="dxa"/>
            <w:vAlign w:val="bottom"/>
          </w:tcPr>
          <w:p>
            <w:pPr>
              <w:spacing w:after="0"/>
              <w:rPr>
                <w:sz w:val="16"/>
                <w:szCs w:val="16"/>
                <w:color w:val="auto"/>
              </w:rPr>
            </w:pPr>
          </w:p>
        </w:tc>
        <w:tc>
          <w:tcPr>
            <w:tcW w:w="1280" w:type="dxa"/>
            <w:vAlign w:val="bottom"/>
          </w:tcPr>
          <w:p>
            <w:pPr>
              <w:ind w:left="720"/>
              <w:spacing w:after="0" w:line="195" w:lineRule="exact"/>
              <w:rPr>
                <w:sz w:val="20"/>
                <w:szCs w:val="20"/>
                <w:color w:val="auto"/>
              </w:rPr>
            </w:pPr>
            <w:r>
              <w:rPr>
                <w:rFonts w:ascii="Arial" w:cs="Arial" w:eastAsia="Arial" w:hAnsi="Arial"/>
                <w:sz w:val="18"/>
                <w:szCs w:val="18"/>
                <w:color w:val="auto"/>
              </w:rPr>
              <w:t>Name:</w:t>
            </w:r>
          </w:p>
        </w:tc>
        <w:tc>
          <w:tcPr>
            <w:tcW w:w="3120" w:type="dxa"/>
            <w:vAlign w:val="bottom"/>
          </w:tcPr>
          <w:p>
            <w:pPr>
              <w:ind w:left="6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360" w:type="dxa"/>
            <w:vAlign w:val="bottom"/>
          </w:tcPr>
          <w:p>
            <w:pPr>
              <w:spacing w:after="0"/>
              <w:rPr>
                <w:sz w:val="20"/>
                <w:szCs w:val="20"/>
                <w:color w:val="auto"/>
              </w:rPr>
            </w:pPr>
          </w:p>
        </w:tc>
        <w:tc>
          <w:tcPr>
            <w:tcW w:w="1280" w:type="dxa"/>
            <w:vAlign w:val="bottom"/>
          </w:tcPr>
          <w:p>
            <w:pPr>
              <w:ind w:left="720"/>
              <w:spacing w:after="0"/>
              <w:rPr>
                <w:sz w:val="20"/>
                <w:szCs w:val="20"/>
                <w:color w:val="auto"/>
              </w:rPr>
            </w:pPr>
            <w:r>
              <w:rPr>
                <w:rFonts w:ascii="Arial" w:cs="Arial" w:eastAsia="Arial" w:hAnsi="Arial"/>
                <w:sz w:val="18"/>
                <w:szCs w:val="18"/>
                <w:color w:val="auto"/>
              </w:rPr>
              <w:t>Title:</w:t>
            </w:r>
          </w:p>
        </w:tc>
        <w:tc>
          <w:tcPr>
            <w:tcW w:w="312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648"/>
        </w:trPr>
        <w:tc>
          <w:tcPr>
            <w:tcW w:w="4760" w:type="dxa"/>
            <w:vAlign w:val="bottom"/>
            <w:gridSpan w:val="3"/>
          </w:tcPr>
          <w:p>
            <w:pPr>
              <w:spacing w:after="0"/>
              <w:rPr>
                <w:sz w:val="20"/>
                <w:szCs w:val="20"/>
                <w:color w:val="auto"/>
              </w:rPr>
            </w:pPr>
            <w:r>
              <w:rPr>
                <w:rFonts w:ascii="Arial" w:cs="Arial" w:eastAsia="Arial" w:hAnsi="Arial"/>
                <w:sz w:val="18"/>
                <w:szCs w:val="18"/>
                <w:color w:val="auto"/>
              </w:rPr>
              <w:t>AEW CAPITAL MANAGEMENT, INC.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/s/ James J. Finnegan</w:t>
            </w:r>
          </w:p>
        </w:tc>
      </w:tr>
      <w:tr>
        <w:trPr>
          <w:trHeight w:val="195"/>
        </w:trPr>
        <w:tc>
          <w:tcPr>
            <w:tcW w:w="360" w:type="dxa"/>
            <w:vAlign w:val="bottom"/>
          </w:tcPr>
          <w:p>
            <w:pPr>
              <w:spacing w:after="0"/>
              <w:rPr>
                <w:sz w:val="16"/>
                <w:szCs w:val="16"/>
                <w:color w:val="auto"/>
              </w:rPr>
            </w:pPr>
          </w:p>
        </w:tc>
        <w:tc>
          <w:tcPr>
            <w:tcW w:w="1280" w:type="dxa"/>
            <w:vAlign w:val="bottom"/>
          </w:tcPr>
          <w:p>
            <w:pPr>
              <w:ind w:left="760"/>
              <w:spacing w:after="0" w:line="195" w:lineRule="exact"/>
              <w:rPr>
                <w:sz w:val="20"/>
                <w:szCs w:val="20"/>
                <w:color w:val="auto"/>
              </w:rPr>
            </w:pPr>
            <w:r>
              <w:rPr>
                <w:rFonts w:ascii="Arial" w:cs="Arial" w:eastAsia="Arial" w:hAnsi="Arial"/>
                <w:sz w:val="18"/>
                <w:szCs w:val="18"/>
                <w:color w:val="auto"/>
                <w:w w:val="94"/>
              </w:rPr>
              <w:t>Name:</w:t>
            </w:r>
          </w:p>
        </w:tc>
        <w:tc>
          <w:tcPr>
            <w:tcW w:w="3120" w:type="dxa"/>
            <w:vAlign w:val="bottom"/>
          </w:tcPr>
          <w:p>
            <w:pPr>
              <w:ind w:left="10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360" w:type="dxa"/>
            <w:vAlign w:val="bottom"/>
          </w:tcPr>
          <w:p>
            <w:pPr>
              <w:spacing w:after="0"/>
              <w:rPr>
                <w:sz w:val="20"/>
                <w:szCs w:val="20"/>
                <w:color w:val="auto"/>
              </w:rPr>
            </w:pPr>
          </w:p>
        </w:tc>
        <w:tc>
          <w:tcPr>
            <w:tcW w:w="1280" w:type="dxa"/>
            <w:vAlign w:val="bottom"/>
          </w:tcPr>
          <w:p>
            <w:pPr>
              <w:ind w:left="760"/>
              <w:spacing w:after="0"/>
              <w:rPr>
                <w:sz w:val="20"/>
                <w:szCs w:val="20"/>
                <w:color w:val="auto"/>
              </w:rPr>
            </w:pPr>
            <w:r>
              <w:rPr>
                <w:rFonts w:ascii="Arial" w:cs="Arial" w:eastAsia="Arial" w:hAnsi="Arial"/>
                <w:sz w:val="18"/>
                <w:szCs w:val="18"/>
                <w:color w:val="auto"/>
              </w:rPr>
              <w:t>Title:</w:t>
            </w:r>
          </w:p>
        </w:tc>
        <w:tc>
          <w:tcPr>
            <w:tcW w:w="312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AEW MANAGEMENT AND ADVISORS, L.P.</w:t>
      </w:r>
    </w:p>
    <w:p>
      <w:pPr>
        <w:spacing w:after="0" w:line="23" w:lineRule="exact"/>
        <w:rPr>
          <w:sz w:val="20"/>
          <w:szCs w:val="20"/>
          <w:color w:val="auto"/>
        </w:rPr>
      </w:pPr>
    </w:p>
    <w:p>
      <w:pPr>
        <w:ind w:left="6660"/>
        <w:spacing w:after="0"/>
        <w:tabs>
          <w:tab w:leader="none" w:pos="7140" w:val="left"/>
        </w:tabs>
        <w:rPr>
          <w:sz w:val="20"/>
          <w:szCs w:val="20"/>
          <w:color w:val="auto"/>
        </w:rPr>
      </w:pPr>
      <w:r>
        <w:rPr>
          <w:rFonts w:ascii="Arial" w:cs="Arial" w:eastAsia="Arial" w:hAnsi="Arial"/>
          <w:sz w:val="18"/>
          <w:szCs w:val="18"/>
          <w:color w:val="auto"/>
        </w:rPr>
        <w:t>By:</w:t>
        <w:tab/>
        <w:t>AEW Investment Group, Inc., its</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6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/s/ James J. Finnegan</w:t>
            </w:r>
          </w:p>
        </w:tc>
        <w:tc>
          <w:tcPr>
            <w:tcW w:w="40" w:type="dxa"/>
            <w:vAlign w:val="bottom"/>
          </w:tcPr>
          <w:p>
            <w:pPr>
              <w:spacing w:after="0"/>
              <w:rPr>
                <w:sz w:val="20"/>
                <w:szCs w:val="20"/>
                <w:color w:val="auto"/>
              </w:rPr>
            </w:pPr>
          </w:p>
        </w:tc>
      </w:tr>
      <w:tr>
        <w:trPr>
          <w:trHeight w:val="195"/>
        </w:trPr>
        <w:tc>
          <w:tcPr>
            <w:tcW w:w="7020" w:type="dxa"/>
            <w:vAlign w:val="bottom"/>
          </w:tcPr>
          <w:p>
            <w:pPr>
              <w:spacing w:after="0"/>
              <w:rPr>
                <w:sz w:val="16"/>
                <w:szCs w:val="16"/>
                <w:color w:val="auto"/>
              </w:rPr>
            </w:pPr>
          </w:p>
        </w:tc>
        <w:tc>
          <w:tcPr>
            <w:tcW w:w="1260" w:type="dxa"/>
            <w:vAlign w:val="bottom"/>
          </w:tcPr>
          <w:p>
            <w:pPr>
              <w:ind w:left="720"/>
              <w:spacing w:after="0" w:line="195" w:lineRule="exact"/>
              <w:rPr>
                <w:sz w:val="20"/>
                <w:szCs w:val="20"/>
                <w:color w:val="auto"/>
              </w:rPr>
            </w:pPr>
            <w:r>
              <w:rPr>
                <w:rFonts w:ascii="Arial" w:cs="Arial" w:eastAsia="Arial" w:hAnsi="Arial"/>
                <w:sz w:val="18"/>
                <w:szCs w:val="18"/>
                <w:color w:val="auto"/>
                <w:w w:val="98"/>
              </w:rPr>
              <w:t>Name:</w:t>
            </w:r>
          </w:p>
        </w:tc>
        <w:tc>
          <w:tcPr>
            <w:tcW w:w="3140" w:type="dxa"/>
            <w:vAlign w:val="bottom"/>
          </w:tcPr>
          <w:p>
            <w:pPr>
              <w:ind w:left="80"/>
              <w:spacing w:after="0" w:line="195" w:lineRule="exact"/>
              <w:rPr>
                <w:sz w:val="20"/>
                <w:szCs w:val="20"/>
                <w:color w:val="auto"/>
              </w:rPr>
            </w:pPr>
            <w:r>
              <w:rPr>
                <w:rFonts w:ascii="Arial" w:cs="Arial" w:eastAsia="Arial" w:hAnsi="Arial"/>
                <w:sz w:val="18"/>
                <w:szCs w:val="18"/>
                <w:color w:val="auto"/>
              </w:rPr>
              <w:t>James J. Finnegan</w:t>
            </w:r>
          </w:p>
        </w:tc>
        <w:tc>
          <w:tcPr>
            <w:tcW w:w="40" w:type="dxa"/>
            <w:vAlign w:val="bottom"/>
          </w:tcPr>
          <w:p>
            <w:pPr>
              <w:spacing w:after="0"/>
              <w:rPr>
                <w:sz w:val="16"/>
                <w:szCs w:val="16"/>
                <w:color w:val="auto"/>
              </w:rPr>
            </w:pPr>
          </w:p>
        </w:tc>
      </w:tr>
      <w:tr>
        <w:trPr>
          <w:trHeight w:val="230"/>
        </w:trPr>
        <w:tc>
          <w:tcPr>
            <w:tcW w:w="702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rPr>
              <w:t>Title:</w:t>
            </w:r>
          </w:p>
        </w:tc>
        <w:tc>
          <w:tcPr>
            <w:tcW w:w="3140" w:type="dxa"/>
            <w:vAlign w:val="bottom"/>
          </w:tcPr>
          <w:p>
            <w:pPr>
              <w:ind w:left="10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648"/>
        </w:trPr>
        <w:tc>
          <w:tcPr>
            <w:tcW w:w="11420" w:type="dxa"/>
            <w:vAlign w:val="bottom"/>
            <w:gridSpan w:val="3"/>
          </w:tcPr>
          <w:p>
            <w:pPr>
              <w:ind w:left="6660"/>
              <w:spacing w:after="0"/>
              <w:rPr>
                <w:sz w:val="20"/>
                <w:szCs w:val="20"/>
                <w:color w:val="auto"/>
              </w:rPr>
            </w:pPr>
            <w:r>
              <w:rPr>
                <w:rFonts w:ascii="Arial" w:cs="Arial" w:eastAsia="Arial" w:hAnsi="Arial"/>
                <w:sz w:val="18"/>
                <w:szCs w:val="18"/>
                <w:color w:val="auto"/>
              </w:rPr>
              <w:t>AEW INVESTMENT GROUP, INC.</w:t>
            </w:r>
          </w:p>
        </w:tc>
        <w:tc>
          <w:tcPr>
            <w:tcW w:w="40" w:type="dxa"/>
            <w:vAlign w:val="bottom"/>
          </w:tcPr>
          <w:p>
            <w:pPr>
              <w:spacing w:after="0"/>
              <w:rPr>
                <w:sz w:val="24"/>
                <w:szCs w:val="24"/>
                <w:color w:val="auto"/>
              </w:rPr>
            </w:pPr>
          </w:p>
        </w:tc>
      </w:tr>
      <w:tr>
        <w:trPr>
          <w:trHeight w:val="432"/>
        </w:trPr>
        <w:tc>
          <w:tcPr>
            <w:tcW w:w="7020" w:type="dxa"/>
            <w:vAlign w:val="bottom"/>
          </w:tcPr>
          <w:p>
            <w:pPr>
              <w:ind w:left="6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/s/ James J. Finnegan</w:t>
            </w:r>
          </w:p>
        </w:tc>
        <w:tc>
          <w:tcPr>
            <w:tcW w:w="40" w:type="dxa"/>
            <w:vAlign w:val="bottom"/>
          </w:tcPr>
          <w:p>
            <w:pPr>
              <w:spacing w:after="0"/>
              <w:rPr>
                <w:sz w:val="24"/>
                <w:szCs w:val="24"/>
                <w:color w:val="auto"/>
              </w:rPr>
            </w:pPr>
          </w:p>
        </w:tc>
      </w:tr>
      <w:tr>
        <w:trPr>
          <w:trHeight w:val="195"/>
        </w:trPr>
        <w:tc>
          <w:tcPr>
            <w:tcW w:w="7020" w:type="dxa"/>
            <w:vAlign w:val="bottom"/>
          </w:tcPr>
          <w:p>
            <w:pPr>
              <w:spacing w:after="0"/>
              <w:rPr>
                <w:sz w:val="16"/>
                <w:szCs w:val="16"/>
                <w:color w:val="auto"/>
              </w:rPr>
            </w:pPr>
          </w:p>
        </w:tc>
        <w:tc>
          <w:tcPr>
            <w:tcW w:w="1260" w:type="dxa"/>
            <w:vAlign w:val="bottom"/>
          </w:tcPr>
          <w:p>
            <w:pPr>
              <w:ind w:left="720"/>
              <w:spacing w:after="0" w:line="195" w:lineRule="exact"/>
              <w:rPr>
                <w:sz w:val="20"/>
                <w:szCs w:val="20"/>
                <w:color w:val="auto"/>
              </w:rPr>
            </w:pPr>
            <w:r>
              <w:rPr>
                <w:rFonts w:ascii="Arial" w:cs="Arial" w:eastAsia="Arial" w:hAnsi="Arial"/>
                <w:sz w:val="18"/>
                <w:szCs w:val="18"/>
                <w:color w:val="auto"/>
                <w:w w:val="98"/>
              </w:rPr>
              <w:t>Name:</w:t>
            </w:r>
          </w:p>
        </w:tc>
        <w:tc>
          <w:tcPr>
            <w:tcW w:w="3140" w:type="dxa"/>
            <w:vAlign w:val="bottom"/>
          </w:tcPr>
          <w:p>
            <w:pPr>
              <w:ind w:left="80"/>
              <w:spacing w:after="0" w:line="195" w:lineRule="exact"/>
              <w:rPr>
                <w:sz w:val="20"/>
                <w:szCs w:val="20"/>
                <w:color w:val="auto"/>
              </w:rPr>
            </w:pPr>
            <w:r>
              <w:rPr>
                <w:rFonts w:ascii="Arial" w:cs="Arial" w:eastAsia="Arial" w:hAnsi="Arial"/>
                <w:sz w:val="18"/>
                <w:szCs w:val="18"/>
                <w:color w:val="auto"/>
              </w:rPr>
              <w:t>James J. Finnegan</w:t>
            </w:r>
          </w:p>
        </w:tc>
        <w:tc>
          <w:tcPr>
            <w:tcW w:w="40" w:type="dxa"/>
            <w:vAlign w:val="bottom"/>
          </w:tcPr>
          <w:p>
            <w:pPr>
              <w:spacing w:after="0"/>
              <w:rPr>
                <w:sz w:val="16"/>
                <w:szCs w:val="16"/>
                <w:color w:val="auto"/>
              </w:rPr>
            </w:pPr>
          </w:p>
        </w:tc>
      </w:tr>
      <w:tr>
        <w:trPr>
          <w:trHeight w:val="230"/>
        </w:trPr>
        <w:tc>
          <w:tcPr>
            <w:tcW w:w="702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rPr>
              <w:t>Title:</w:t>
            </w:r>
          </w:p>
        </w:tc>
        <w:tc>
          <w:tcPr>
            <w:tcW w:w="3140" w:type="dxa"/>
            <w:vAlign w:val="bottom"/>
          </w:tcPr>
          <w:p>
            <w:pPr>
              <w:ind w:left="10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807"/>
        </w:trPr>
        <w:tc>
          <w:tcPr>
            <w:tcW w:w="702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decimal"/>
      <w:start w:val="1"/>
    </w:lvl>
    <w:lvl w:ilvl="1">
      <w:lvlJc w:val="left"/>
      <w:lvlText w:val="(%2)"/>
      <w:numFmt w:val="lowerLetter"/>
      <w:start w:val="1"/>
    </w:lvl>
  </w:abstractNum>
  <w:abstractNum w:abstractNumId="2">
    <w:nsid w:val="1F16E9E8"/>
    <w:multiLevelType w:val="hybridMultilevel"/>
    <w:lvl w:ilvl="0">
      <w:lvlJc w:val="left"/>
      <w:lvlText w:val="%1"/>
      <w:numFmt w:val="decimal"/>
      <w:start w:val="1"/>
    </w:lvl>
    <w:lvl w:ilvl="1">
      <w:lvlJc w:val="left"/>
      <w:lvlText w:val="%2."/>
      <w:numFmt w:val="decimal"/>
      <w:start w:val="7"/>
    </w:lvl>
  </w:abstractNum>
  <w:abstractNum w:abstractNumId="3">
    <w:nsid w:val="1190CDE7"/>
    <w:multiLevelType w:val="hybridMultilevel"/>
    <w:lvl w:ilvl="0">
      <w:lvlJc w:val="left"/>
      <w:lvlText w:val="%1."/>
      <w:numFmt w:val="decimal"/>
      <w:start w:val="9"/>
    </w:lvl>
    <w:lvl w:ilvl="1">
      <w:lvlJc w:val="left"/>
      <w:lvlText w:val="%2"/>
      <w:numFmt w:val="decimal"/>
      <w:start w:val="1"/>
    </w:lvl>
  </w:abstractNum>
  <w:abstractNum w:abstractNumId="4">
    <w:nsid w:val="66EF438D"/>
    <w:multiLevelType w:val="hybridMultilevel"/>
    <w:lvl w:ilvl="0">
      <w:lvlJc w:val="left"/>
      <w:lvlText w:val="%1."/>
      <w:numFmt w:val="decimal"/>
      <w:start w:val="1"/>
    </w:lvl>
    <w:lvl w:ilvl="1">
      <w:lvlJc w:val="left"/>
      <w:lvlText w:val="(%2)"/>
      <w:numFmt w:val="lowerLetter"/>
      <w:start w:val="1"/>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1."/>
      <w:numFmt w:val="decimal"/>
      <w:start w:val="1"/>
    </w:lvl>
    <w:lvl w:ilvl="1">
      <w:lvlJc w:val="left"/>
      <w:lvlText w:val="(%2)"/>
      <w:numFmt w:val="lowerLetter"/>
      <w:start w:val="1"/>
    </w:lvl>
  </w:abstractNum>
  <w:abstractNum w:abstractNumId="8">
    <w:nsid w:val="DED7263"/>
    <w:multiLevelType w:val="hybridMultilevel"/>
    <w:lvl w:ilvl="0">
      <w:lvlJc w:val="left"/>
      <w:lvlText w:val="%1"/>
      <w:numFmt w:val="decimal"/>
      <w:start w:val="1"/>
    </w:lvl>
    <w:lvl w:ilvl="1">
      <w:lvlJc w:val="left"/>
      <w:lvlText w:val="%2."/>
      <w:numFmt w:val="decimal"/>
      <w:start w:val="8"/>
    </w:lvl>
  </w:abstractNum>
  <w:abstractNum w:abstractNumId="9">
    <w:nsid w:val="7FDCC233"/>
    <w:multiLevelType w:val="hybridMultilevel"/>
    <w:lvl w:ilvl="0">
      <w:lvlJc w:val="left"/>
      <w:lvlText w:val="%1."/>
      <w:numFmt w:val="decimal"/>
      <w:start w:val="9"/>
    </w:lvl>
    <w:lvl w:ilvl="1">
      <w:lvlJc w:val="left"/>
      <w:lvlText w:val="%2"/>
      <w:numFmt w:val="decimal"/>
      <w:start w:val="1"/>
    </w:lvl>
  </w:abstractNum>
  <w:abstractNum w:abstractNumId="10">
    <w:nsid w:val="1BEFD79F"/>
    <w:multiLevelType w:val="hybridMultilevel"/>
    <w:lvl w:ilvl="0">
      <w:lvlJc w:val="left"/>
      <w:lvlText w:val="%1."/>
      <w:numFmt w:val="decimal"/>
      <w:start w:val="1"/>
    </w:lvl>
    <w:lvl w:ilvl="1">
      <w:lvlJc w:val="left"/>
      <w:lvlText w:val="(%2)"/>
      <w:numFmt w:val="lowerLetter"/>
      <w:start w:val="1"/>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2019-12-11T17:01:56Z</dcterms:created>
  <dcterms:modified xsi:type="dcterms:W3CDTF">2019-12-11T17:01:56Z</dcterms:modified>
</cp:coreProperties>
</file>