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7" w:lineRule="exact"/>
        <w:rPr>
          <w:sz w:val="24"/>
          <w:szCs w:val="24"/>
          <w:color w:val="auto"/>
        </w:rPr>
      </w:pPr>
    </w:p>
    <w:p>
      <w:pPr>
        <w:jc w:val="center"/>
        <w:ind w:right="3319"/>
        <w:spacing w:after="0"/>
        <w:tabs>
          <w:tab w:leader="none" w:pos="140" w:val="left"/>
        </w:tabs>
        <w:rPr>
          <w:sz w:val="20"/>
          <w:szCs w:val="20"/>
          <w:color w:val="auto"/>
        </w:rPr>
      </w:pPr>
      <w:r>
        <w:rPr>
          <w:rFonts w:ascii="Courier New" w:cs="Courier New" w:eastAsia="Courier New" w:hAnsi="Courier New"/>
          <w:sz w:val="14"/>
          <w:szCs w:val="14"/>
          <w:color w:val="auto"/>
        </w:rPr>
        <w:t>Date of Report (Date of earliest event reported)</w:t>
        <w:tab/>
        <w:t>March 31, 1999</w:t>
      </w:r>
    </w:p>
    <w:p>
      <w:pPr>
        <w:spacing w:after="0" w:line="200" w:lineRule="exact"/>
        <w:rPr>
          <w:sz w:val="24"/>
          <w:szCs w:val="24"/>
          <w:color w:val="auto"/>
        </w:rPr>
      </w:pPr>
    </w:p>
    <w:p>
      <w:pPr>
        <w:spacing w:after="0" w:line="304"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80" w:firstLine="345"/>
        <w:spacing w:after="0" w:line="252" w:lineRule="auto"/>
        <w:rPr>
          <w:sz w:val="20"/>
          <w:szCs w:val="20"/>
          <w:color w:val="auto"/>
        </w:rPr>
      </w:pPr>
      <w:r>
        <w:rPr>
          <w:rFonts w:ascii="Courier New" w:cs="Courier New" w:eastAsia="Courier New" w:hAnsi="Courier New"/>
          <w:sz w:val="14"/>
          <w:szCs w:val="14"/>
          <w:color w:val="auto"/>
        </w:rPr>
        <w:t>District of Columbia ------------------------------- (State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0" w:lineRule="exact"/>
        <w:rPr>
          <w:sz w:val="24"/>
          <w:szCs w:val="24"/>
          <w:color w:val="auto"/>
        </w:rPr>
      </w:pPr>
    </w:p>
    <w:p>
      <w:pPr>
        <w:sectPr>
          <w:pgSz w:w="11900" w:h="16838" w:orient="portrait"/>
          <w:cols w:equalWidth="0" w:num="3">
            <w:col w:w="2860" w:space="420"/>
            <w:col w:w="1100" w:space="720"/>
            <w:col w:w="5139"/>
          </w:cols>
          <w:pgMar w:left="220" w:top="561" w:right="1440" w:bottom="1440" w:gutter="0" w:footer="0" w:header="0"/>
          <w:type w:val="continuous"/>
        </w:sectPr>
      </w:pPr>
    </w:p>
    <w:p>
      <w:pPr>
        <w:spacing w:after="0" w:line="128" w:lineRule="exact"/>
        <w:rPr>
          <w:sz w:val="24"/>
          <w:szCs w:val="24"/>
          <w:color w:val="auto"/>
        </w:rPr>
      </w:pPr>
    </w:p>
    <w:p>
      <w:pPr>
        <w:jc w:val="both"/>
        <w:ind w:left="180" w:right="400"/>
        <w:spacing w:after="0" w:line="252" w:lineRule="auto"/>
        <w:rPr>
          <w:sz w:val="20"/>
          <w:szCs w:val="20"/>
          <w:color w:val="auto"/>
        </w:rPr>
      </w:pPr>
      <w:r>
        <w:rPr>
          <w:rFonts w:ascii="Courier New" w:cs="Courier New" w:eastAsia="Courier New" w:hAnsi="Courier New"/>
          <w:sz w:val="14"/>
          <w:szCs w:val="14"/>
          <w:color w:val="auto"/>
        </w:rPr>
        <w:t>1626 East Jefferson Street, Rockville, Maryland ----------------------------------------------- (Address of principal executive offices)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9" w:lineRule="exact"/>
        <w:rPr>
          <w:sz w:val="24"/>
          <w:szCs w:val="24"/>
          <w:color w:val="auto"/>
        </w:rPr>
      </w:pPr>
    </w:p>
    <w:p>
      <w:pPr>
        <w:sectPr>
          <w:pgSz w:w="11900" w:h="16838" w:orient="portrait"/>
          <w:cols w:equalWidth="0" w:num="2">
            <w:col w:w="4620" w:space="720"/>
            <w:col w:w="4899"/>
          </w:cols>
          <w:pgMar w:left="220" w:top="561" w:right="1440" w:bottom="1440" w:gutter="0" w:footer="0" w:header="0"/>
          <w:type w:val="continuous"/>
        </w:sectPr>
      </w:pPr>
    </w:p>
    <w:p>
      <w:pPr>
        <w:spacing w:after="0" w:line="129"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301/998-8100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5000" w:space="180"/>
            <w:col w:w="5059"/>
          </w:cols>
          <w:pgMar w:left="220" w:top="561" w:right="1440" w:bottom="1440" w:gutter="0" w:footer="0" w:header="0"/>
          <w:type w:val="continuous"/>
        </w:sect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519" w:firstLine="947"/>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March 31, 1999.</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960" w:hanging="607"/>
        <w:spacing w:after="0"/>
        <w:tabs>
          <w:tab w:leader="none" w:pos="9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March 31, 1999</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Vice President, Controller</w:t>
      </w:r>
    </w:p>
    <w:p>
      <w:pPr>
        <w:spacing w:after="0" w:line="173" w:lineRule="exact"/>
        <w:rPr>
          <w:sz w:val="20"/>
          <w:szCs w:val="20"/>
          <w:color w:val="auto"/>
        </w:rPr>
      </w:pPr>
    </w:p>
    <w:p>
      <w:pPr>
        <w:sectPr>
          <w:pgSz w:w="11900" w:h="16838" w:orient="portrait"/>
          <w:cols w:equalWidth="0" w:num="3">
            <w:col w:w="440" w:space="180"/>
            <w:col w:w="1200" w:space="680"/>
            <w:col w:w="773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780" w:space="80"/>
            <w:col w:w="4540" w:space="720"/>
            <w:col w:w="4119"/>
          </w:cols>
          <w:pgMar w:left="220" w:top="616" w:right="1440" w:bottom="1440" w:gutter="0" w:footer="0" w:header="0"/>
          <w:type w:val="continuous"/>
        </w:sectPr>
      </w:pPr>
    </w:p>
    <w:p>
      <w:pPr>
        <w:spacing w:after="0" w:line="304" w:lineRule="exact"/>
        <w:rPr>
          <w:sz w:val="20"/>
          <w:szCs w:val="20"/>
          <w:color w:val="auto"/>
        </w:rPr>
      </w:pPr>
    </w:p>
    <w:p>
      <w:pPr>
        <w:ind w:left="10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March 31, 1999</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ectPr>
          <w:pgSz w:w="11900" w:h="16838" w:orient="portrait"/>
          <w:cols w:equalWidth="0" w:num="2">
            <w:col w:w="5740" w:space="720"/>
            <w:col w:w="3779"/>
          </w:cols>
          <w:pgMar w:left="220" w:top="616"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March 31, 1999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60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TABLE OF CONTENTS</w:t>
            </w:r>
          </w:p>
        </w:tc>
        <w:tc>
          <w:tcPr>
            <w:tcW w:w="260" w:type="dxa"/>
            <w:vAlign w:val="bottom"/>
          </w:tcPr>
          <w:p>
            <w:pPr>
              <w:spacing w:after="0"/>
              <w:rPr>
                <w:sz w:val="14"/>
                <w:szCs w:val="14"/>
                <w:color w:val="auto"/>
              </w:rPr>
            </w:pPr>
          </w:p>
        </w:tc>
      </w:tr>
      <w:tr>
        <w:trPr>
          <w:trHeight w:val="497"/>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w:t>
            </w:r>
          </w:p>
        </w:tc>
        <w:tc>
          <w:tcPr>
            <w:tcW w:w="6600" w:type="dxa"/>
            <w:vAlign w:val="bottom"/>
          </w:tcPr>
          <w:p>
            <w:pPr>
              <w:ind w:left="140"/>
              <w:spacing w:after="0"/>
              <w:rPr>
                <w:sz w:val="20"/>
                <w:szCs w:val="20"/>
                <w:color w:val="auto"/>
              </w:rPr>
            </w:pPr>
            <w:r>
              <w:rPr>
                <w:rFonts w:ascii="Courier New" w:cs="Courier New" w:eastAsia="Courier New" w:hAnsi="Courier New"/>
                <w:sz w:val="14"/>
                <w:szCs w:val="14"/>
                <w:color w:val="auto"/>
              </w:rPr>
              <w:t>Occupancy</w:t>
            </w:r>
          </w:p>
        </w:tc>
        <w:tc>
          <w:tcPr>
            <w:tcW w:w="2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300" w:type="dxa"/>
            <w:vAlign w:val="bottom"/>
          </w:tcPr>
          <w:p>
            <w:pPr>
              <w:spacing w:after="0"/>
              <w:rPr>
                <w:sz w:val="14"/>
                <w:szCs w:val="14"/>
                <w:color w:val="auto"/>
              </w:rPr>
            </w:pP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Economic Occupancy...................................................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300" w:type="dxa"/>
            <w:vAlign w:val="bottom"/>
          </w:tcPr>
          <w:p>
            <w:pPr>
              <w:spacing w:after="0"/>
              <w:rPr>
                <w:sz w:val="14"/>
                <w:szCs w:val="14"/>
                <w:color w:val="auto"/>
              </w:rPr>
            </w:pP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3.</w:t>
            </w:r>
          </w:p>
        </w:tc>
        <w:tc>
          <w:tcPr>
            <w:tcW w:w="6600" w:type="dxa"/>
            <w:vAlign w:val="bottom"/>
          </w:tcPr>
          <w:p>
            <w:pPr>
              <w:ind w:left="140"/>
              <w:spacing w:after="0"/>
              <w:rPr>
                <w:sz w:val="20"/>
                <w:szCs w:val="20"/>
                <w:color w:val="auto"/>
              </w:rPr>
            </w:pPr>
            <w:r>
              <w:rPr>
                <w:rFonts w:ascii="Courier New" w:cs="Courier New" w:eastAsia="Courier New" w:hAnsi="Courier New"/>
                <w:sz w:val="14"/>
                <w:szCs w:val="14"/>
                <w:color w:val="auto"/>
              </w:rPr>
              <w:t>Leases Signed Analysis</w:t>
            </w:r>
          </w:p>
        </w:tc>
        <w:tc>
          <w:tcPr>
            <w:tcW w:w="2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Comparable and Non-Comparable........................................</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E-6</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Sales/Occupancy Cost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Overall, Anchor &amp; Small Shop.........................................</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E-7</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1st Quarter</w:t>
            </w:r>
          </w:p>
        </w:tc>
        <w:tc>
          <w:tcPr>
            <w:tcW w:w="5480" w:type="dxa"/>
            <w:vAlign w:val="bottom"/>
          </w:tcPr>
          <w:p>
            <w:pPr>
              <w:jc w:val="right"/>
              <w:spacing w:after="0"/>
              <w:rPr>
                <w:sz w:val="20"/>
                <w:szCs w:val="20"/>
                <w:color w:val="auto"/>
              </w:rPr>
            </w:pPr>
            <w:r>
              <w:rPr>
                <w:rFonts w:ascii="Courier New" w:cs="Courier New" w:eastAsia="Courier New" w:hAnsi="Courier New"/>
                <w:sz w:val="14"/>
                <w:szCs w:val="14"/>
                <w:color w:val="auto"/>
              </w:rPr>
              <w:t>Earnings Press Release, April 28, 1999.........................</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E-8</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Glossary of</w:t>
            </w:r>
          </w:p>
        </w:tc>
        <w:tc>
          <w:tcPr>
            <w:tcW w:w="5480" w:type="dxa"/>
            <w:vAlign w:val="bottom"/>
          </w:tcPr>
          <w:p>
            <w:pPr>
              <w:jc w:val="right"/>
              <w:spacing w:after="0"/>
              <w:rPr>
                <w:sz w:val="20"/>
                <w:szCs w:val="20"/>
                <w:color w:val="auto"/>
              </w:rPr>
            </w:pPr>
            <w:r>
              <w:rPr>
                <w:rFonts w:ascii="Courier New" w:cs="Courier New" w:eastAsia="Courier New" w:hAnsi="Courier New"/>
                <w:sz w:val="14"/>
                <w:szCs w:val="14"/>
                <w:color w:val="auto"/>
              </w:rPr>
              <w:t>Terms..........................................................</w:t>
            </w: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E--11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2080"/>
        <w:spacing w:after="0"/>
        <w:tabs>
          <w:tab w:leader="none" w:pos="386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DEBT ANALYSIS</w:t>
        <w:tab/>
        <w:t>(excluding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Balance</w:t>
            </w:r>
          </w:p>
        </w:tc>
        <w:tc>
          <w:tcPr>
            <w:tcW w:w="82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Maturity</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Rate</w:t>
            </w:r>
          </w:p>
        </w:tc>
        <w:tc>
          <w:tcPr>
            <w:tcW w:w="22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(in thousands)</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Leesburg Plaza</w:t>
            </w:r>
          </w:p>
        </w:tc>
        <w:tc>
          <w:tcPr>
            <w:tcW w:w="2720" w:type="dxa"/>
            <w:vAlign w:val="bottom"/>
          </w:tcPr>
          <w:p>
            <w:pPr>
              <w:ind w:left="1940"/>
              <w:spacing w:after="0"/>
              <w:rPr>
                <w:sz w:val="20"/>
                <w:szCs w:val="20"/>
                <w:color w:val="auto"/>
              </w:rPr>
            </w:pPr>
            <w:r>
              <w:rPr>
                <w:rFonts w:ascii="Courier New" w:cs="Courier New" w:eastAsia="Courier New" w:hAnsi="Courier New"/>
                <w:sz w:val="14"/>
                <w:szCs w:val="14"/>
                <w:color w:val="auto"/>
              </w:rPr>
              <w:t>10/01/08</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$9,900</w:t>
            </w:r>
          </w:p>
        </w:tc>
        <w:tc>
          <w:tcPr>
            <w:tcW w:w="820" w:type="dxa"/>
            <w:vAlign w:val="bottom"/>
          </w:tcPr>
          <w:p>
            <w:pPr>
              <w:spacing w:after="0"/>
              <w:rPr>
                <w:sz w:val="24"/>
                <w:szCs w:val="2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Federal Plaza</w:t>
            </w:r>
          </w:p>
        </w:tc>
        <w:tc>
          <w:tcPr>
            <w:tcW w:w="2720" w:type="dxa"/>
            <w:vAlign w:val="bottom"/>
          </w:tcPr>
          <w:p>
            <w:pPr>
              <w:ind w:left="1940"/>
              <w:spacing w:after="0"/>
              <w:rPr>
                <w:sz w:val="20"/>
                <w:szCs w:val="20"/>
                <w:color w:val="auto"/>
              </w:rPr>
            </w:pPr>
            <w:r>
              <w:rPr>
                <w:rFonts w:ascii="Courier New" w:cs="Courier New" w:eastAsia="Courier New" w:hAnsi="Courier New"/>
                <w:sz w:val="14"/>
                <w:szCs w:val="14"/>
                <w:color w:val="auto"/>
              </w:rPr>
              <w:t>03/10/01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27,528</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Tysons Station</w:t>
            </w:r>
          </w:p>
        </w:tc>
        <w:tc>
          <w:tcPr>
            <w:tcW w:w="2720" w:type="dxa"/>
            <w:vAlign w:val="bottom"/>
          </w:tcPr>
          <w:p>
            <w:pPr>
              <w:ind w:left="1940"/>
              <w:spacing w:after="0"/>
              <w:rPr>
                <w:sz w:val="20"/>
                <w:szCs w:val="20"/>
                <w:color w:val="auto"/>
              </w:rPr>
            </w:pPr>
            <w:r>
              <w:rPr>
                <w:rFonts w:ascii="Courier New" w:cs="Courier New" w:eastAsia="Courier New" w:hAnsi="Courier New"/>
                <w:sz w:val="14"/>
                <w:szCs w:val="14"/>
                <w:color w:val="auto"/>
              </w:rPr>
              <w:t>09/01/01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9.875%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4,123</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Escondido (Municipal bonds)</w:t>
            </w:r>
          </w:p>
        </w:tc>
        <w:tc>
          <w:tcPr>
            <w:tcW w:w="4060" w:type="dxa"/>
            <w:vAlign w:val="bottom"/>
            <w:gridSpan w:val="2"/>
          </w:tcPr>
          <w:p>
            <w:pPr>
              <w:ind w:left="1940"/>
              <w:spacing w:after="0"/>
              <w:rPr>
                <w:sz w:val="20"/>
                <w:szCs w:val="20"/>
                <w:color w:val="auto"/>
              </w:rPr>
            </w:pPr>
            <w:r>
              <w:rPr>
                <w:rFonts w:ascii="Courier New" w:cs="Courier New" w:eastAsia="Courier New" w:hAnsi="Courier New"/>
                <w:sz w:val="14"/>
                <w:szCs w:val="14"/>
                <w:color w:val="auto"/>
              </w:rPr>
              <w:t>10/01/16 Variable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9,400</w:t>
            </w:r>
          </w:p>
        </w:tc>
        <w:tc>
          <w:tcPr>
            <w:tcW w:w="820" w:type="dxa"/>
            <w:vAlign w:val="bottom"/>
          </w:tcPr>
          <w:p>
            <w:pPr>
              <w:spacing w:after="0"/>
              <w:rPr>
                <w:sz w:val="14"/>
                <w:szCs w:val="14"/>
                <w:color w:val="auto"/>
              </w:rPr>
            </w:pPr>
          </w:p>
        </w:tc>
      </w:tr>
      <w:tr>
        <w:trPr>
          <w:trHeight w:val="331"/>
        </w:trPr>
        <w:tc>
          <w:tcPr>
            <w:tcW w:w="50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$50,951</w:t>
            </w:r>
          </w:p>
        </w:tc>
        <w:tc>
          <w:tcPr>
            <w:tcW w:w="820" w:type="dxa"/>
            <w:vAlign w:val="bottom"/>
          </w:tcPr>
          <w:p>
            <w:pPr>
              <w:spacing w:after="0"/>
              <w:rPr>
                <w:sz w:val="24"/>
                <w:szCs w:val="24"/>
                <w:color w:val="auto"/>
              </w:rPr>
            </w:pPr>
          </w:p>
        </w:tc>
      </w:tr>
      <w:tr>
        <w:trPr>
          <w:trHeight w:val="166"/>
        </w:trPr>
        <w:tc>
          <w:tcPr>
            <w:tcW w:w="5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497"/>
        </w:trPr>
        <w:tc>
          <w:tcPr>
            <w:tcW w:w="50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2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Revolving credit facilities</w:t>
            </w:r>
          </w:p>
        </w:tc>
        <w:tc>
          <w:tcPr>
            <w:tcW w:w="27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libor +.65%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$163,000</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Term note with banks</w:t>
            </w:r>
          </w:p>
        </w:tc>
        <w:tc>
          <w:tcPr>
            <w:tcW w:w="27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libor +.75%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125,000</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Note issued in connection with</w:t>
            </w: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040" w:type="dxa"/>
            <w:vAlign w:val="bottom"/>
          </w:tcPr>
          <w:p>
            <w:pPr>
              <w:ind w:left="2160"/>
              <w:spacing w:after="0"/>
              <w:rPr>
                <w:sz w:val="20"/>
                <w:szCs w:val="20"/>
                <w:color w:val="auto"/>
              </w:rPr>
            </w:pPr>
            <w:r>
              <w:rPr>
                <w:rFonts w:ascii="Courier New" w:cs="Courier New" w:eastAsia="Courier New" w:hAnsi="Courier New"/>
                <w:sz w:val="14"/>
                <w:szCs w:val="14"/>
                <w:color w:val="auto"/>
              </w:rPr>
              <w:t>tenant buyout at Queen Anne Plaza</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01/15/06</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8.875%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1,011</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Note issued in connection with</w:t>
            </w: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040" w:type="dxa"/>
            <w:vAlign w:val="bottom"/>
          </w:tcPr>
          <w:p>
            <w:pPr>
              <w:ind w:left="2160"/>
              <w:spacing w:after="0"/>
              <w:rPr>
                <w:sz w:val="20"/>
                <w:szCs w:val="20"/>
                <w:color w:val="auto"/>
              </w:rPr>
            </w:pPr>
            <w:r>
              <w:rPr>
                <w:rFonts w:ascii="Courier New" w:cs="Courier New" w:eastAsia="Courier New" w:hAnsi="Courier New"/>
                <w:sz w:val="14"/>
                <w:szCs w:val="14"/>
                <w:color w:val="auto"/>
              </w:rPr>
              <w:t>renovation of Perring Plaza</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01/31/13</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2,673</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various</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various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w:t>
            </w:r>
          </w:p>
        </w:tc>
        <w:tc>
          <w:tcPr>
            <w:tcW w:w="82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50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$291,875</w:t>
            </w:r>
          </w:p>
        </w:tc>
        <w:tc>
          <w:tcPr>
            <w:tcW w:w="820" w:type="dxa"/>
            <w:vAlign w:val="bottom"/>
          </w:tcPr>
          <w:p>
            <w:pPr>
              <w:spacing w:after="0"/>
              <w:rPr>
                <w:sz w:val="24"/>
                <w:szCs w:val="24"/>
                <w:color w:val="auto"/>
              </w:rPr>
            </w:pPr>
          </w:p>
        </w:tc>
      </w:tr>
      <w:tr>
        <w:trPr>
          <w:trHeight w:val="166"/>
        </w:trPr>
        <w:tc>
          <w:tcPr>
            <w:tcW w:w="5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497"/>
        </w:trPr>
        <w:tc>
          <w:tcPr>
            <w:tcW w:w="504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2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5 1/4% Convertible subordinated</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04/30/02</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5.250%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w:t>
            </w:r>
          </w:p>
        </w:tc>
        <w:tc>
          <w:tcPr>
            <w:tcW w:w="820" w:type="dxa"/>
            <w:vAlign w:val="bottom"/>
          </w:tcPr>
          <w:p>
            <w:pPr>
              <w:spacing w:after="0"/>
              <w:rPr>
                <w:sz w:val="14"/>
                <w:szCs w:val="14"/>
                <w:color w:val="auto"/>
              </w:rPr>
            </w:pPr>
          </w:p>
        </w:tc>
      </w:tr>
      <w:tr>
        <w:trPr>
          <w:trHeight w:val="166"/>
        </w:trPr>
        <w:tc>
          <w:tcPr>
            <w:tcW w:w="5040" w:type="dxa"/>
            <w:vAlign w:val="bottom"/>
          </w:tcPr>
          <w:p>
            <w:pPr>
              <w:ind w:left="2160"/>
              <w:spacing w:after="0"/>
              <w:rPr>
                <w:sz w:val="20"/>
                <w:szCs w:val="20"/>
                <w:color w:val="auto"/>
              </w:rPr>
            </w:pPr>
            <w:r>
              <w:rPr>
                <w:rFonts w:ascii="Courier New" w:cs="Courier New" w:eastAsia="Courier New" w:hAnsi="Courier New"/>
                <w:sz w:val="14"/>
                <w:szCs w:val="14"/>
                <w:color w:val="auto"/>
              </w:rPr>
              <w:t>debentures</w:t>
            </w: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5 1/4% Convertible subordinated</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10/28/03</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5.250%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820" w:type="dxa"/>
            <w:vAlign w:val="bottom"/>
          </w:tcPr>
          <w:p>
            <w:pPr>
              <w:spacing w:after="0"/>
              <w:rPr>
                <w:sz w:val="14"/>
                <w:szCs w:val="14"/>
                <w:color w:val="auto"/>
              </w:rPr>
            </w:pPr>
          </w:p>
        </w:tc>
      </w:tr>
      <w:tr>
        <w:trPr>
          <w:trHeight w:val="166"/>
        </w:trPr>
        <w:tc>
          <w:tcPr>
            <w:tcW w:w="5040" w:type="dxa"/>
            <w:vAlign w:val="bottom"/>
          </w:tcPr>
          <w:p>
            <w:pPr>
              <w:ind w:left="2160"/>
              <w:spacing w:after="0"/>
              <w:rPr>
                <w:sz w:val="20"/>
                <w:szCs w:val="20"/>
                <w:color w:val="auto"/>
              </w:rPr>
            </w:pPr>
            <w:r>
              <w:rPr>
                <w:rFonts w:ascii="Courier New" w:cs="Courier New" w:eastAsia="Courier New" w:hAnsi="Courier New"/>
                <w:sz w:val="14"/>
                <w:szCs w:val="14"/>
                <w:color w:val="auto"/>
              </w:rPr>
              <w:t>debentures</w:t>
            </w: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8 7/8% Notes (fixed)</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01/15/00</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8.875%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8 7/8% Notes (fixed) *</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01/15/00</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7.530%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8% Notes (fixed)</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04/21/02</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8.000%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6 5/8% Notes (fixed)</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12/01/05</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6.625%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7.48% Debentures</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08/15/26</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7.480%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6.82% Medium Term Notes</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08/01/27</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6.820%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6.74% Medium Term Notes *</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03/10/04</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6.370%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39,500</w:t>
            </w:r>
          </w:p>
        </w:tc>
        <w:tc>
          <w:tcPr>
            <w:tcW w:w="820" w:type="dxa"/>
            <w:vAlign w:val="bottom"/>
          </w:tcPr>
          <w:p>
            <w:pPr>
              <w:spacing w:after="0"/>
              <w:rPr>
                <w:sz w:val="14"/>
                <w:szCs w:val="14"/>
                <w:color w:val="auto"/>
              </w:rPr>
            </w:pPr>
          </w:p>
        </w:tc>
      </w:tr>
      <w:tr>
        <w:trPr>
          <w:trHeight w:val="166"/>
        </w:trPr>
        <w:tc>
          <w:tcPr>
            <w:tcW w:w="5040" w:type="dxa"/>
            <w:vAlign w:val="bottom"/>
          </w:tcPr>
          <w:p>
            <w:pPr>
              <w:ind w:left="1900"/>
              <w:spacing w:after="0"/>
              <w:rPr>
                <w:sz w:val="20"/>
                <w:szCs w:val="20"/>
                <w:color w:val="auto"/>
              </w:rPr>
            </w:pPr>
            <w:r>
              <w:rPr>
                <w:rFonts w:ascii="Courier New" w:cs="Courier New" w:eastAsia="Courier New" w:hAnsi="Courier New"/>
                <w:sz w:val="14"/>
                <w:szCs w:val="14"/>
                <w:color w:val="auto"/>
              </w:rPr>
              <w:t>6.99% Medium Term Notes *</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03/10/06</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6.894%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40,500</w:t>
            </w:r>
          </w:p>
        </w:tc>
        <w:tc>
          <w:tcPr>
            <w:tcW w:w="820" w:type="dxa"/>
            <w:vAlign w:val="bottom"/>
          </w:tcPr>
          <w:p>
            <w:pPr>
              <w:spacing w:after="0"/>
              <w:rPr>
                <w:sz w:val="14"/>
                <w:szCs w:val="14"/>
                <w:color w:val="auto"/>
              </w:rPr>
            </w:pPr>
          </w:p>
        </w:tc>
      </w:tr>
      <w:tr>
        <w:trPr>
          <w:trHeight w:val="331"/>
        </w:trPr>
        <w:tc>
          <w:tcPr>
            <w:tcW w:w="50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$410,289</w:t>
            </w:r>
          </w:p>
        </w:tc>
        <w:tc>
          <w:tcPr>
            <w:tcW w:w="820" w:type="dxa"/>
            <w:vAlign w:val="bottom"/>
          </w:tcPr>
          <w:p>
            <w:pPr>
              <w:spacing w:after="0"/>
              <w:rPr>
                <w:sz w:val="24"/>
                <w:szCs w:val="24"/>
                <w:color w:val="auto"/>
              </w:rPr>
            </w:pPr>
          </w:p>
        </w:tc>
      </w:tr>
      <w:tr>
        <w:trPr>
          <w:trHeight w:val="166"/>
        </w:trPr>
        <w:tc>
          <w:tcPr>
            <w:tcW w:w="5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504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Total fixed rate debt</w:t>
            </w:r>
          </w:p>
        </w:tc>
        <w:tc>
          <w:tcPr>
            <w:tcW w:w="134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$455,715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60.51%</w:t>
            </w:r>
          </w:p>
        </w:tc>
      </w:tr>
      <w:tr>
        <w:trPr>
          <w:trHeight w:val="331"/>
        </w:trPr>
        <w:tc>
          <w:tcPr>
            <w:tcW w:w="504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Total variable rate debt</w:t>
            </w:r>
          </w:p>
        </w:tc>
        <w:tc>
          <w:tcPr>
            <w:tcW w:w="134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39.49%</w:t>
            </w:r>
          </w:p>
        </w:tc>
      </w:tr>
      <w:tr>
        <w:trPr>
          <w:trHeight w:val="166"/>
        </w:trPr>
        <w:tc>
          <w:tcPr>
            <w:tcW w:w="5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Total debt</w:t>
            </w:r>
          </w:p>
        </w:tc>
        <w:tc>
          <w:tcPr>
            <w:tcW w:w="1340" w:type="dxa"/>
            <w:vAlign w:val="bottom"/>
          </w:tcPr>
          <w:p>
            <w:pPr>
              <w:spacing w:after="0"/>
              <w:rPr>
                <w:sz w:val="24"/>
                <w:szCs w:val="2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$753,115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Weighted average interest rate:</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04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Fixed rate debt</w:t>
            </w:r>
          </w:p>
        </w:tc>
        <w:tc>
          <w:tcPr>
            <w:tcW w:w="13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7.19%</w:t>
            </w:r>
          </w:p>
        </w:tc>
        <w:tc>
          <w:tcPr>
            <w:tcW w:w="82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40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Variable on revolving facilities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c>
          <w:tcPr>
            <w:tcW w:w="82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4"/>
                <w:szCs w:val="14"/>
                <w:color w:val="auto"/>
              </w:rPr>
              <w:t>Variable on muncipal bonds</w:t>
            </w:r>
          </w:p>
        </w:tc>
        <w:tc>
          <w:tcPr>
            <w:tcW w:w="134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bl>
    <w:p>
      <w:pPr>
        <w:spacing w:after="0" w:line="335" w:lineRule="exact"/>
        <w:rPr>
          <w:sz w:val="20"/>
          <w:szCs w:val="20"/>
          <w:color w:val="auto"/>
        </w:rPr>
      </w:pPr>
    </w:p>
    <w:p>
      <w:pPr>
        <w:ind w:left="260" w:hanging="252"/>
        <w:spacing w:after="0"/>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or hedges on these notes, thereby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decreasing the effective interest.</w:t>
      </w:r>
    </w:p>
    <w:p>
      <w:pPr>
        <w:spacing w:after="0" w:line="7" w:lineRule="exact"/>
        <w:rPr>
          <w:sz w:val="20"/>
          <w:szCs w:val="20"/>
          <w:color w:val="auto"/>
        </w:rPr>
      </w:pPr>
    </w:p>
    <w:p>
      <w:pPr>
        <w:ind w:left="260" w:right="4920" w:hanging="259"/>
        <w:spacing w:after="0" w:line="250" w:lineRule="auto"/>
        <w:tabs>
          <w:tab w:leader="none" w:pos="240" w:val="left"/>
        </w:tabs>
        <w:rPr>
          <w:sz w:val="20"/>
          <w:szCs w:val="20"/>
          <w:color w:val="auto"/>
        </w:rPr>
      </w:pPr>
      <w:r>
        <w:rPr>
          <w:rFonts w:ascii="Courier New" w:cs="Courier New" w:eastAsia="Courier New" w:hAnsi="Courier New"/>
          <w:sz w:val="14"/>
          <w:szCs w:val="14"/>
          <w:color w:val="auto"/>
        </w:rPr>
        <w:t>**</w:t>
        <w:tab/>
        <w:t>Weighted average interest rate on revolving credit facilities for three months ended March 31, 1999.</w:t>
      </w:r>
    </w:p>
    <w:p>
      <w:pPr>
        <w:spacing w:after="0" w:line="1" w:lineRule="exact"/>
        <w:rPr>
          <w:sz w:val="20"/>
          <w:szCs w:val="20"/>
          <w:color w:val="auto"/>
        </w:rPr>
      </w:pPr>
    </w:p>
    <w:p>
      <w:pPr>
        <w:ind w:left="260" w:right="4480" w:hanging="252"/>
        <w:spacing w:after="0" w:line="252"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ectPr>
          <w:pgSz w:w="11900" w:h="16838" w:orient="portrait"/>
          <w:cols w:equalWidth="0" w:num="1">
            <w:col w:w="11300"/>
          </w:cols>
          <w:pgMar w:left="220" w:top="616"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31-Mar-99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Overall Occupancy</w:t>
      </w:r>
    </w:p>
    <w:p>
      <w:pPr>
        <w:sectPr>
          <w:pgSz w:w="11900" w:h="16838" w:orient="portrait"/>
          <w:cols w:equalWidth="0" w:num="1">
            <w:col w:w="11540"/>
          </w:cols>
          <w:pgMar w:left="220" w:top="451" w:right="139" w:bottom="1440" w:gutter="0" w:footer="0" w:header="0"/>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(Quarter to Quarter Analysis)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Courier New" w:cs="Courier New" w:eastAsia="Courier New" w:hAnsi="Courier New"/>
          <w:sz w:val="14"/>
          <w:szCs w:val="14"/>
          <w:color w:val="auto"/>
        </w:rPr>
        <w:t>March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tabs>
          <w:tab w:leader="none" w:pos="1440" w:val="left"/>
          <w:tab w:leader="none" w:pos="24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tab/>
        <w:t>------------</w:t>
        <w:tab/>
        <w:t>-----------</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Courier New" w:cs="Courier New" w:eastAsia="Courier New" w:hAnsi="Courier New"/>
          <w:sz w:val="14"/>
          <w:szCs w:val="14"/>
          <w:color w:val="auto"/>
        </w:rPr>
        <w:t>March 31,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360" w:val="left"/>
          <w:tab w:leader="none" w:pos="24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tab/>
        <w:t>------------</w:t>
        <w:tab/>
        <w:t>----------</w:t>
      </w:r>
    </w:p>
    <w:p>
      <w:pPr>
        <w:spacing w:after="0" w:line="173" w:lineRule="exact"/>
        <w:rPr>
          <w:sz w:val="20"/>
          <w:szCs w:val="20"/>
          <w:color w:val="auto"/>
        </w:rPr>
      </w:pPr>
    </w:p>
    <w:p>
      <w:pPr>
        <w:sectPr>
          <w:pgSz w:w="11900" w:h="16838" w:orient="portrait"/>
          <w:cols w:equalWidth="0" w:num="3">
            <w:col w:w="3620" w:space="100"/>
            <w:col w:w="3520" w:space="180"/>
            <w:col w:w="4120"/>
          </w:cols>
          <w:pgMar w:left="220" w:top="45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14,563,620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13,839,142</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13,518,261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12,923,203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460" w:space="340"/>
            <w:col w:w="860" w:space="340"/>
            <w:col w:w="860" w:space="600"/>
            <w:col w:w="320" w:space="720"/>
            <w:col w:w="860" w:space="340"/>
            <w:col w:w="860" w:space="520"/>
            <w:col w:w="1460"/>
          </w:cols>
          <w:pgMar w:left="220" w:top="451" w:right="1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Overall Occupancy</w:t>
      </w:r>
    </w:p>
    <w:p>
      <w:pPr>
        <w:sectPr>
          <w:pgSz w:w="11900" w:h="16838" w:orient="portrait"/>
          <w:cols w:equalWidth="0" w:num="1">
            <w:col w:w="11540"/>
          </w:cols>
          <w:pgMar w:left="220" w:top="451" w:right="139" w:bottom="1440" w:gutter="0" w:footer="0" w:header="0"/>
          <w:type w:val="continuous"/>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4"/>
          <w:szCs w:val="14"/>
          <w:color w:val="auto"/>
        </w:rPr>
        <w:t>March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tabs>
          <w:tab w:leader="none" w:pos="1360" w:val="left"/>
          <w:tab w:leader="none" w:pos="24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tab/>
        <w:t>------------</w:t>
        <w:tab/>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December 31,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360" w:val="left"/>
          <w:tab w:leader="none" w:pos="23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tab/>
        <w:t>------------</w:t>
        <w:tab/>
        <w:t>---------</w:t>
      </w:r>
    </w:p>
    <w:p>
      <w:pPr>
        <w:spacing w:after="0" w:line="173" w:lineRule="exact"/>
        <w:rPr>
          <w:sz w:val="20"/>
          <w:szCs w:val="20"/>
          <w:color w:val="auto"/>
        </w:rPr>
      </w:pPr>
    </w:p>
    <w:p>
      <w:pPr>
        <w:sectPr>
          <w:pgSz w:w="11900" w:h="16838" w:orient="portrait"/>
          <w:cols w:equalWidth="0" w:num="3">
            <w:col w:w="3420" w:space="720"/>
            <w:col w:w="3540" w:space="0"/>
            <w:col w:w="3860"/>
          </w:cols>
          <w:pgMar w:left="220" w:top="45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14,563,620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13,839,142</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14,497,898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13,803,336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500" w:space="720"/>
            <w:col w:w="880" w:space="240"/>
            <w:col w:w="880" w:space="600"/>
            <w:col w:w="260" w:space="680"/>
            <w:col w:w="860" w:space="340"/>
            <w:col w:w="860" w:space="520"/>
            <w:col w:w="1200"/>
          </w:cols>
          <w:pgMar w:left="220" w:top="451" w:right="139" w:bottom="1440" w:gutter="0" w:footer="0" w:header="0"/>
          <w:type w:val="continuous"/>
        </w:sectPr>
      </w:pPr>
    </w:p>
    <w:p>
      <w:pPr>
        <w:spacing w:after="0" w:line="30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Overall Occupancy</w:t>
      </w:r>
    </w:p>
    <w:p>
      <w:pPr>
        <w:sectPr>
          <w:pgSz w:w="11900" w:h="16838" w:orient="portrait"/>
          <w:cols w:equalWidth="0" w:num="1">
            <w:col w:w="11540"/>
          </w:cols>
          <w:pgMar w:left="220" w:top="451" w:right="139" w:bottom="1440" w:gutter="0" w:footer="0" w:header="0"/>
          <w:type w:val="continuous"/>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September 30,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tabs>
          <w:tab w:leader="none" w:pos="1440" w:val="left"/>
          <w:tab w:leader="none" w:pos="240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tab/>
        <w:t>------------</w:t>
        <w:tab/>
        <w:t>---------</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4"/>
          <w:szCs w:val="14"/>
          <w:color w:val="auto"/>
        </w:rPr>
        <w:t>June 30,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540" w:val="left"/>
          <w:tab w:leader="none" w:pos="24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1460" w:val="left"/>
          <w:tab w:leader="none" w:pos="2660" w:val="left"/>
        </w:tabs>
        <w:rPr>
          <w:sz w:val="20"/>
          <w:szCs w:val="20"/>
          <w:color w:val="auto"/>
        </w:rPr>
      </w:pPr>
      <w:r>
        <w:rPr>
          <w:rFonts w:ascii="Courier New" w:cs="Courier New" w:eastAsia="Courier New" w:hAnsi="Courier New"/>
          <w:sz w:val="14"/>
          <w:szCs w:val="14"/>
          <w:color w:val="auto"/>
        </w:rPr>
        <w:t>-------------</w:t>
        <w:tab/>
        <w:t>------------</w:t>
        <w:tab/>
        <w:t>----------</w:t>
      </w:r>
    </w:p>
    <w:p>
      <w:pPr>
        <w:spacing w:after="0" w:line="173" w:lineRule="exact"/>
        <w:rPr>
          <w:sz w:val="20"/>
          <w:szCs w:val="20"/>
          <w:color w:val="auto"/>
        </w:rPr>
      </w:pPr>
    </w:p>
    <w:p>
      <w:pPr>
        <w:sectPr>
          <w:pgSz w:w="11900" w:h="16838" w:orient="portrait"/>
          <w:cols w:equalWidth="0" w:num="3">
            <w:col w:w="3720" w:space="420"/>
            <w:col w:w="3360" w:space="80"/>
            <w:col w:w="3960"/>
          </w:cols>
          <w:pgMar w:left="220" w:top="451" w:right="139" w:bottom="1440" w:gutter="0" w:footer="0" w:header="0"/>
          <w:type w:val="continuous"/>
        </w:sectPr>
      </w:pPr>
    </w:p>
    <w:p>
      <w:pPr>
        <w:jc w:val="both"/>
        <w:ind w:right="940"/>
        <w:spacing w:after="0" w:line="250" w:lineRule="auto"/>
        <w:rPr>
          <w:sz w:val="20"/>
          <w:szCs w:val="20"/>
          <w:color w:val="auto"/>
        </w:rPr>
      </w:pPr>
      <w:r>
        <w:rPr>
          <w:rFonts w:ascii="Courier New" w:cs="Courier New" w:eastAsia="Courier New" w:hAnsi="Courier New"/>
          <w:sz w:val="14"/>
          <w:szCs w:val="14"/>
          <w:color w:val="auto"/>
        </w:rPr>
        <w:t>Retail Properties (leasable square feet) 14,419,458 13,739,610 95% 13,658,940 12,989,036 95% Rollingwood Apartments (# of units) 282 282 100% 282 281 99%</w:t>
      </w:r>
    </w:p>
    <w:p>
      <w:pPr>
        <w:sectPr>
          <w:pgSz w:w="11900" w:h="16838" w:orient="portrait"/>
          <w:cols w:equalWidth="0" w:num="1">
            <w:col w:w="11540"/>
          </w:cols>
          <w:pgMar w:left="220" w:top="451" w:right="1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451" w:right="139"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(Quarter to Quarter Comparison)</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Courier New" w:cs="Courier New" w:eastAsia="Courier New" w:hAnsi="Courier New"/>
          <w:sz w:val="14"/>
          <w:szCs w:val="14"/>
          <w:color w:val="auto"/>
        </w:rPr>
        <w:t>March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440" w:val="left"/>
          <w:tab w:leader="none" w:pos="24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tab/>
        <w:t>------------</w:t>
        <w:tab/>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March 31,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360" w:val="left"/>
          <w:tab w:leader="none" w:pos="23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tab/>
        <w:t>------------</w:t>
        <w:tab/>
        <w:t>---------</w:t>
      </w:r>
    </w:p>
    <w:p>
      <w:pPr>
        <w:spacing w:after="0" w:line="173" w:lineRule="exact"/>
        <w:rPr>
          <w:sz w:val="20"/>
          <w:szCs w:val="20"/>
          <w:color w:val="auto"/>
        </w:rPr>
      </w:pPr>
    </w:p>
    <w:p>
      <w:pPr>
        <w:sectPr>
          <w:pgSz w:w="11900" w:h="16838" w:orient="portrait"/>
          <w:cols w:equalWidth="0" w:num="3">
            <w:col w:w="3620" w:space="440"/>
            <w:col w:w="3520" w:space="100"/>
            <w:col w:w="3860"/>
          </w:cols>
          <w:pgMar w:left="220" w:top="45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13,091,729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12,404,610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12,977,817</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12,408,061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500" w:space="720"/>
            <w:col w:w="880" w:space="240"/>
            <w:col w:w="880" w:space="600"/>
            <w:col w:w="260" w:space="600"/>
            <w:col w:w="860" w:space="420"/>
            <w:col w:w="860" w:space="520"/>
            <w:col w:w="1200"/>
          </w:cols>
          <w:pgMar w:left="220" w:top="451" w:right="139" w:bottom="1440" w:gutter="0" w:footer="0" w:header="0"/>
          <w:type w:val="continuous"/>
        </w:sectPr>
      </w:pPr>
    </w:p>
    <w:p>
      <w:pPr>
        <w:spacing w:after="0" w:line="30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451" w:right="139" w:bottom="1440" w:gutter="0" w:footer="0" w:header="0"/>
          <w:type w:val="continuous"/>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4"/>
          <w:szCs w:val="14"/>
          <w:color w:val="auto"/>
        </w:rPr>
        <w:t>At March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tabs>
          <w:tab w:leader="none" w:pos="1460" w:val="left"/>
          <w:tab w:leader="none" w:pos="24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1360" w:val="left"/>
          <w:tab w:leader="none" w:pos="2580" w:val="left"/>
        </w:tabs>
        <w:rPr>
          <w:sz w:val="20"/>
          <w:szCs w:val="20"/>
          <w:color w:val="auto"/>
        </w:rPr>
      </w:pPr>
      <w:r>
        <w:rPr>
          <w:rFonts w:ascii="Courier New" w:cs="Courier New" w:eastAsia="Courier New" w:hAnsi="Courier New"/>
          <w:sz w:val="14"/>
          <w:szCs w:val="14"/>
          <w:color w:val="auto"/>
        </w:rPr>
        <w:t>------------</w:t>
        <w:tab/>
        <w:t>------------</w:t>
        <w:tab/>
        <w: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At December 31,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360" w:val="left"/>
          <w:tab w:leader="none" w:pos="240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1360" w:val="left"/>
          <w:tab w:leader="none" w:pos="2580" w:val="left"/>
        </w:tabs>
        <w:rPr>
          <w:sz w:val="20"/>
          <w:szCs w:val="20"/>
          <w:color w:val="auto"/>
        </w:rPr>
      </w:pPr>
      <w:r>
        <w:rPr>
          <w:rFonts w:ascii="Courier New" w:cs="Courier New" w:eastAsia="Courier New" w:hAnsi="Courier New"/>
          <w:sz w:val="14"/>
          <w:szCs w:val="14"/>
          <w:color w:val="auto"/>
        </w:rPr>
        <w:t>------------</w:t>
        <w:tab/>
        <w:t>------------</w:t>
        <w:tab/>
        <w:t>---------</w:t>
      </w:r>
    </w:p>
    <w:p>
      <w:pPr>
        <w:spacing w:after="0" w:line="173" w:lineRule="exact"/>
        <w:rPr>
          <w:sz w:val="20"/>
          <w:szCs w:val="20"/>
          <w:color w:val="auto"/>
        </w:rPr>
      </w:pPr>
    </w:p>
    <w:p>
      <w:pPr>
        <w:sectPr>
          <w:pgSz w:w="11900" w:h="16838" w:orient="portrait"/>
          <w:cols w:equalWidth="0" w:num="3">
            <w:col w:w="3620" w:space="600"/>
            <w:col w:w="3540" w:space="80"/>
            <w:col w:w="3700"/>
          </w:cols>
          <w:pgMar w:left="220" w:top="45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13,091,729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12,404,610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13,102,582</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12,451,743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500" w:space="720"/>
            <w:col w:w="880" w:space="420"/>
            <w:col w:w="860" w:space="600"/>
            <w:col w:w="260" w:space="700"/>
            <w:col w:w="860" w:space="340"/>
            <w:col w:w="860" w:space="520"/>
            <w:col w:w="1020"/>
          </w:cols>
          <w:pgMar w:left="220" w:top="451" w:right="139" w:bottom="1440" w:gutter="0" w:footer="0" w:header="0"/>
          <w:type w:val="continuous"/>
        </w:sectPr>
      </w:pPr>
    </w:p>
    <w:p>
      <w:pPr>
        <w:spacing w:after="0" w:line="1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451" w:right="139" w:bottom="1440" w:gutter="0" w:footer="0" w:header="0"/>
          <w:type w:val="continuous"/>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At September 30,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440" w:val="left"/>
          <w:tab w:leader="none" w:pos="240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tab/>
        <w:t>------------</w:t>
        <w:tab/>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At June 30,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tabs>
          <w:tab w:leader="none" w:pos="1260" w:val="left"/>
          <w:tab w:leader="none" w:pos="222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tabs>
          <w:tab w:leader="none" w:pos="1260" w:val="left"/>
        </w:tabs>
        <w:rPr>
          <w:sz w:val="20"/>
          <w:szCs w:val="20"/>
          <w:color w:val="auto"/>
        </w:rPr>
      </w:pPr>
      <w:r>
        <w:rPr>
          <w:rFonts w:ascii="Courier New" w:cs="Courier New" w:eastAsia="Courier New" w:hAnsi="Courier New"/>
          <w:sz w:val="14"/>
          <w:szCs w:val="14"/>
          <w:color w:val="auto"/>
        </w:rPr>
        <w:t>-----------</w:t>
        <w:tab/>
        <w:t>------------ ---------</w:t>
      </w:r>
    </w:p>
    <w:p>
      <w:pPr>
        <w:spacing w:after="0" w:line="173" w:lineRule="exact"/>
        <w:rPr>
          <w:sz w:val="20"/>
          <w:szCs w:val="20"/>
          <w:color w:val="auto"/>
        </w:rPr>
      </w:pPr>
    </w:p>
    <w:p>
      <w:pPr>
        <w:sectPr>
          <w:pgSz w:w="11900" w:h="16838" w:orient="portrait"/>
          <w:cols w:equalWidth="0" w:num="3">
            <w:col w:w="3620" w:space="520"/>
            <w:col w:w="3360" w:space="180"/>
            <w:col w:w="3860"/>
          </w:cols>
          <w:pgMar w:left="220" w:top="45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12,056,443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11,459,514</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11,938,810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11,358,594</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7">
            <w:col w:w="3500" w:space="720"/>
            <w:col w:w="880" w:space="340"/>
            <w:col w:w="860" w:space="420"/>
            <w:col w:w="360" w:space="600"/>
            <w:col w:w="860" w:space="260"/>
            <w:col w:w="860" w:space="420"/>
            <w:col w:w="1460"/>
          </w:cols>
          <w:pgMar w:left="220" w:top="451" w:right="139" w:bottom="1440" w:gutter="0" w:footer="0" w:header="0"/>
          <w:type w:val="continuous"/>
        </w:sectPr>
      </w:pPr>
    </w:p>
    <w:bookmarkStart w:id="6" w:name="page7"/>
    <w:bookmarkEnd w:id="6"/>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Overall Economic Occupancy</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(Quarter to Quarter Analysis)</w:t>
            </w:r>
          </w:p>
        </w:tc>
        <w:tc>
          <w:tcPr>
            <w:tcW w:w="258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March 31, 1999</w:t>
            </w:r>
          </w:p>
        </w:tc>
        <w:tc>
          <w:tcPr>
            <w:tcW w:w="1040" w:type="dxa"/>
            <w:vAlign w:val="bottom"/>
          </w:tcPr>
          <w:p>
            <w:pPr>
              <w:spacing w:after="0"/>
              <w:rPr>
                <w:sz w:val="14"/>
                <w:szCs w:val="14"/>
                <w:color w:val="auto"/>
              </w:rPr>
            </w:pPr>
          </w:p>
        </w:tc>
        <w:tc>
          <w:tcPr>
            <w:tcW w:w="2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March 31, 1998</w:t>
            </w:r>
          </w:p>
        </w:tc>
        <w:tc>
          <w:tcPr>
            <w:tcW w:w="11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1040" w:type="dxa"/>
            <w:vAlign w:val="bottom"/>
          </w:tcPr>
          <w:p>
            <w:pPr>
              <w:spacing w:after="0"/>
              <w:rPr>
                <w:sz w:val="14"/>
                <w:szCs w:val="14"/>
                <w:color w:val="auto"/>
              </w:rPr>
            </w:pPr>
          </w:p>
        </w:tc>
        <w:tc>
          <w:tcPr>
            <w:tcW w:w="3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Leases</w:t>
            </w:r>
          </w:p>
        </w:tc>
        <w:tc>
          <w:tcPr>
            <w:tcW w:w="11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3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14,563,620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13,594,814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13,518,261</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12,619,318</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278</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280</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99%</w:t>
            </w:r>
          </w:p>
        </w:tc>
      </w:tr>
      <w:tr>
        <w:trPr>
          <w:trHeight w:val="663"/>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Overall Economic Occupancy</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March 31, 1999</w:t>
            </w:r>
          </w:p>
        </w:tc>
        <w:tc>
          <w:tcPr>
            <w:tcW w:w="1040" w:type="dxa"/>
            <w:vAlign w:val="bottom"/>
          </w:tcPr>
          <w:p>
            <w:pPr>
              <w:spacing w:after="0"/>
              <w:rPr>
                <w:sz w:val="14"/>
                <w:szCs w:val="14"/>
                <w:color w:val="auto"/>
              </w:rPr>
            </w:pPr>
          </w:p>
        </w:tc>
        <w:tc>
          <w:tcPr>
            <w:tcW w:w="26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December 31, 1998</w:t>
            </w:r>
          </w:p>
        </w:tc>
        <w:tc>
          <w:tcPr>
            <w:tcW w:w="11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1040" w:type="dxa"/>
            <w:vAlign w:val="bottom"/>
          </w:tcPr>
          <w:p>
            <w:pPr>
              <w:spacing w:after="0"/>
              <w:rPr>
                <w:sz w:val="14"/>
                <w:szCs w:val="14"/>
                <w:color w:val="auto"/>
              </w:rPr>
            </w:pPr>
          </w:p>
        </w:tc>
        <w:tc>
          <w:tcPr>
            <w:tcW w:w="3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Leases</w:t>
            </w:r>
          </w:p>
        </w:tc>
        <w:tc>
          <w:tcPr>
            <w:tcW w:w="11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3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14,563,620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13,594,814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14,497,898</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13,626,536</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94%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278</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281</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99%</w:t>
            </w:r>
          </w:p>
        </w:tc>
      </w:tr>
      <w:tr>
        <w:trPr>
          <w:trHeight w:val="497"/>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Overall Economic Occupancy</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258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September 30, 1998</w:t>
            </w:r>
          </w:p>
        </w:tc>
        <w:tc>
          <w:tcPr>
            <w:tcW w:w="1040" w:type="dxa"/>
            <w:vAlign w:val="bottom"/>
          </w:tcPr>
          <w:p>
            <w:pPr>
              <w:spacing w:after="0"/>
              <w:rPr>
                <w:sz w:val="14"/>
                <w:szCs w:val="14"/>
                <w:color w:val="auto"/>
              </w:rPr>
            </w:pPr>
          </w:p>
        </w:tc>
        <w:tc>
          <w:tcPr>
            <w:tcW w:w="26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June 30, 1998</w:t>
            </w:r>
          </w:p>
        </w:tc>
        <w:tc>
          <w:tcPr>
            <w:tcW w:w="11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1040" w:type="dxa"/>
            <w:vAlign w:val="bottom"/>
          </w:tcPr>
          <w:p>
            <w:pPr>
              <w:spacing w:after="0"/>
              <w:rPr>
                <w:sz w:val="14"/>
                <w:szCs w:val="14"/>
                <w:color w:val="auto"/>
              </w:rPr>
            </w:pPr>
          </w:p>
        </w:tc>
        <w:tc>
          <w:tcPr>
            <w:tcW w:w="3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Leases</w:t>
            </w:r>
          </w:p>
        </w:tc>
        <w:tc>
          <w:tcPr>
            <w:tcW w:w="11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3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14,419,458</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13,578,116</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13,658,940</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12,778,700</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94%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274</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97%</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(Quarter to Quarter Comparison)</w:t>
            </w: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March 31, 1999</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March 31, 1998</w:t>
            </w:r>
          </w:p>
        </w:tc>
        <w:tc>
          <w:tcPr>
            <w:tcW w:w="9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1040" w:type="dxa"/>
            <w:vAlign w:val="bottom"/>
          </w:tcPr>
          <w:p>
            <w:pPr>
              <w:spacing w:after="0"/>
              <w:rPr>
                <w:sz w:val="14"/>
                <w:szCs w:val="14"/>
                <w:color w:val="auto"/>
              </w:rPr>
            </w:pPr>
          </w:p>
        </w:tc>
        <w:tc>
          <w:tcPr>
            <w:tcW w:w="36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Leases</w:t>
            </w:r>
          </w:p>
        </w:tc>
        <w:tc>
          <w:tcPr>
            <w:tcW w:w="9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4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ind w:left="1120"/>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Size</w:t>
            </w:r>
          </w:p>
        </w:tc>
        <w:tc>
          <w:tcPr>
            <w:tcW w:w="14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Income</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13,091,729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12,170,282</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12,977,817</w:t>
            </w:r>
          </w:p>
        </w:tc>
        <w:tc>
          <w:tcPr>
            <w:tcW w:w="1420" w:type="dxa"/>
            <w:vAlign w:val="bottom"/>
          </w:tcPr>
          <w:p>
            <w:pPr>
              <w:ind w:left="140"/>
              <w:spacing w:after="0"/>
              <w:rPr>
                <w:sz w:val="20"/>
                <w:szCs w:val="20"/>
                <w:color w:val="auto"/>
              </w:rPr>
            </w:pPr>
            <w:r>
              <w:rPr>
                <w:rFonts w:ascii="Courier New" w:cs="Courier New" w:eastAsia="Courier New" w:hAnsi="Courier New"/>
                <w:sz w:val="14"/>
                <w:szCs w:val="14"/>
                <w:color w:val="auto"/>
              </w:rPr>
              <w:t>12,104,176</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278</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99%</w:t>
            </w:r>
          </w:p>
        </w:tc>
      </w:tr>
      <w:tr>
        <w:trPr>
          <w:trHeight w:val="6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242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At March 31, 1999</w:t>
            </w:r>
          </w:p>
        </w:tc>
        <w:tc>
          <w:tcPr>
            <w:tcW w:w="26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At December 31, 1998</w:t>
            </w:r>
          </w:p>
        </w:tc>
        <w:tc>
          <w:tcPr>
            <w:tcW w:w="9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1040" w:type="dxa"/>
            <w:vAlign w:val="bottom"/>
          </w:tcPr>
          <w:p>
            <w:pPr>
              <w:spacing w:after="0"/>
              <w:rPr>
                <w:sz w:val="14"/>
                <w:szCs w:val="14"/>
                <w:color w:val="auto"/>
              </w:rPr>
            </w:pPr>
          </w:p>
        </w:tc>
        <w:tc>
          <w:tcPr>
            <w:tcW w:w="36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Leases</w:t>
            </w:r>
          </w:p>
        </w:tc>
        <w:tc>
          <w:tcPr>
            <w:tcW w:w="9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4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ind w:left="1120"/>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Size</w:t>
            </w:r>
          </w:p>
        </w:tc>
        <w:tc>
          <w:tcPr>
            <w:tcW w:w="14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Income</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13,091,729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12,170,282</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13,102,582</w:t>
            </w:r>
          </w:p>
        </w:tc>
        <w:tc>
          <w:tcPr>
            <w:tcW w:w="1420" w:type="dxa"/>
            <w:vAlign w:val="bottom"/>
          </w:tcPr>
          <w:p>
            <w:pPr>
              <w:ind w:left="140"/>
              <w:spacing w:after="0"/>
              <w:rPr>
                <w:sz w:val="20"/>
                <w:szCs w:val="20"/>
                <w:color w:val="auto"/>
              </w:rPr>
            </w:pPr>
            <w:r>
              <w:rPr>
                <w:rFonts w:ascii="Courier New" w:cs="Courier New" w:eastAsia="Courier New" w:hAnsi="Courier New"/>
                <w:sz w:val="14"/>
                <w:szCs w:val="14"/>
                <w:color w:val="auto"/>
              </w:rPr>
              <w:t>12,274,943</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278</w:t>
            </w:r>
          </w:p>
        </w:tc>
        <w:tc>
          <w:tcPr>
            <w:tcW w:w="10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281</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3620" w:type="dxa"/>
            <w:vAlign w:val="bottom"/>
            <w:gridSpan w:val="3"/>
          </w:tcPr>
          <w:p>
            <w:pPr>
              <w:ind w:left="1040"/>
              <w:spacing w:after="0"/>
              <w:rPr>
                <w:sz w:val="20"/>
                <w:szCs w:val="20"/>
                <w:color w:val="auto"/>
              </w:rPr>
            </w:pPr>
            <w:r>
              <w:rPr>
                <w:rFonts w:ascii="Courier New" w:cs="Courier New" w:eastAsia="Courier New" w:hAnsi="Courier New"/>
                <w:sz w:val="14"/>
                <w:szCs w:val="14"/>
                <w:color w:val="auto"/>
              </w:rPr>
              <w:t>At September 30, 1998</w:t>
            </w:r>
          </w:p>
        </w:tc>
        <w:tc>
          <w:tcPr>
            <w:tcW w:w="26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At June 30, 1998</w:t>
            </w:r>
          </w:p>
        </w:tc>
        <w:tc>
          <w:tcPr>
            <w:tcW w:w="9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1040" w:type="dxa"/>
            <w:vAlign w:val="bottom"/>
          </w:tcPr>
          <w:p>
            <w:pPr>
              <w:spacing w:after="0"/>
              <w:rPr>
                <w:sz w:val="14"/>
                <w:szCs w:val="14"/>
                <w:color w:val="auto"/>
              </w:rPr>
            </w:pPr>
          </w:p>
        </w:tc>
        <w:tc>
          <w:tcPr>
            <w:tcW w:w="36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Leases</w:t>
            </w:r>
          </w:p>
        </w:tc>
        <w:tc>
          <w:tcPr>
            <w:tcW w:w="960" w:type="dxa"/>
            <w:vAlign w:val="bottom"/>
          </w:tcPr>
          <w:p>
            <w:pPr>
              <w:spacing w:after="0"/>
              <w:rPr>
                <w:sz w:val="24"/>
                <w:szCs w:val="24"/>
                <w:color w:val="auto"/>
              </w:rPr>
            </w:pPr>
          </w:p>
        </w:tc>
      </w:tr>
    </w:tbl>
    <w:p>
      <w:pPr>
        <w:sectPr>
          <w:pgSz w:w="11900" w:h="16880" w:orient="portrait"/>
          <w:cols w:equalWidth="0" w:num="1">
            <w:col w:w="10940"/>
          </w:cols>
          <w:pgMar w:left="220" w:top="1113" w:right="7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Generating</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4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1560" w:type="dxa"/>
            <w:vAlign w:val="bottom"/>
          </w:tcPr>
          <w:p>
            <w:pPr>
              <w:ind w:left="1120"/>
              <w:spacing w:after="0"/>
              <w:rPr>
                <w:sz w:val="20"/>
                <w:szCs w:val="20"/>
                <w:color w:val="auto"/>
              </w:rPr>
            </w:pPr>
            <w:r>
              <w:rPr>
                <w:rFonts w:ascii="Courier New" w:cs="Courier New" w:eastAsia="Courier New" w:hAnsi="Courier New"/>
                <w:sz w:val="14"/>
                <w:szCs w:val="14"/>
                <w:color w:val="auto"/>
              </w:rPr>
              <w:t>Type</w:t>
            </w:r>
          </w:p>
        </w:tc>
        <w:tc>
          <w:tcPr>
            <w:tcW w:w="19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Size</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Income</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(leasable square feet)</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12,056,443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11,315,875</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11,938,810</w:t>
            </w:r>
          </w:p>
        </w:tc>
        <w:tc>
          <w:tcPr>
            <w:tcW w:w="14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11,167,083</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274</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97%</w:t>
            </w:r>
          </w:p>
        </w:tc>
      </w:tr>
    </w:tbl>
    <w:p>
      <w:pPr>
        <w:sectPr>
          <w:pgSz w:w="11900" w:h="16838" w:orient="portrait"/>
          <w:cols w:equalWidth="0" w:num="1">
            <w:col w:w="10780"/>
          </w:cols>
          <w:pgMar w:left="220" w:top="141" w:right="89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4"/>
                <w:szCs w:val="2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20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Footage</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03/31/99</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6,207,060</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95.5%</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5,687,041</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96.7%</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921,549</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94.4%</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635,890</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74.5%</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1,072,505</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96.1%</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39,575</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497"/>
        </w:trPr>
        <w:tc>
          <w:tcPr>
            <w:tcW w:w="2200" w:type="dxa"/>
            <w:vAlign w:val="bottom"/>
          </w:tcPr>
          <w:p>
            <w:pPr>
              <w:spacing w:after="0"/>
              <w:rPr>
                <w:sz w:val="24"/>
                <w:szCs w:val="2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20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Footage</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03/31/99</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6,207,060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95.5%</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3,757,950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97.5%</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2,449,110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92.6%</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5,687,041</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96.7%</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2,760,806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98.8%</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2,926,235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94.7%</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921,549</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94.4%</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585,651</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97.7%</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335,898</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88.6%</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635,890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74.5%</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304,894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67.5%</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330,996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80.9%</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1,072,505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96.1%</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232,338</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840,167</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95.0%</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39,575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92.3%</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39,575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92.3%</w:t>
            </w:r>
          </w:p>
        </w:tc>
      </w:tr>
    </w:tbl>
    <w:p>
      <w:pPr>
        <w:sectPr>
          <w:pgSz w:w="11900" w:h="16838" w:orient="portrait"/>
          <w:cols w:equalWidth="0" w:num="1">
            <w:col w:w="10239"/>
          </w:cols>
          <w:pgMar w:left="220" w:top="94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 Realty</w:t>
            </w:r>
          </w:p>
        </w:tc>
        <w:tc>
          <w:tcPr>
            <w:tcW w:w="22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Investment Trust</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Leasing Activity</w:t>
            </w: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 1999</w:t>
            </w: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63"/>
        </w:trPr>
        <w:tc>
          <w:tcPr>
            <w:tcW w:w="776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Weighted</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Average Prior</w:t>
            </w:r>
          </w:p>
        </w:tc>
      </w:tr>
      <w:tr>
        <w:trPr>
          <w:trHeight w:val="166"/>
        </w:trPr>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Square</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Lease</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194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Rolling 12 Months</w:t>
            </w:r>
          </w:p>
        </w:tc>
        <w:tc>
          <w:tcPr>
            <w:tcW w:w="1600" w:type="dxa"/>
            <w:vAlign w:val="bottom"/>
          </w:tcPr>
          <w:p>
            <w:pPr>
              <w:ind w:left="140"/>
              <w:spacing w:after="0"/>
              <w:rPr>
                <w:sz w:val="20"/>
                <w:szCs w:val="20"/>
                <w:color w:val="auto"/>
              </w:rPr>
            </w:pPr>
            <w:r>
              <w:rPr>
                <w:rFonts w:ascii="Courier New" w:cs="Courier New" w:eastAsia="Courier New" w:hAnsi="Courier New"/>
                <w:sz w:val="14"/>
                <w:szCs w:val="14"/>
                <w:color w:val="auto"/>
              </w:rPr>
              <w:t>Leases Signed</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Feet</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Term (Years)</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w w:val="95"/>
              </w:rPr>
              <w:t>- ----------------------</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1st Quarter</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90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$16.88</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4th Quarter</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314,603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9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$15.52</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3rd Quarter</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230,114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c>
          <w:tcPr>
            <w:tcW w:w="9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$14.04</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2nd Quarter</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241,132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9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$15.33</w:t>
            </w:r>
          </w:p>
        </w:tc>
      </w:tr>
      <w:tr>
        <w:trPr>
          <w:trHeight w:val="166"/>
        </w:trPr>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Total</w:t>
            </w:r>
          </w:p>
        </w:tc>
        <w:tc>
          <w:tcPr>
            <w:tcW w:w="64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985,046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c>
          <w:tcPr>
            <w:tcW w:w="9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$15.40</w:t>
            </w:r>
          </w:p>
        </w:tc>
      </w:tr>
      <w:tr>
        <w:trPr>
          <w:trHeight w:val="497"/>
        </w:trPr>
        <w:tc>
          <w:tcPr>
            <w:tcW w:w="776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Estimated</w:t>
            </w:r>
          </w:p>
        </w:tc>
        <w:tc>
          <w:tcPr>
            <w:tcW w:w="1600" w:type="dxa"/>
            <w:vAlign w:val="bottom"/>
          </w:tcPr>
          <w:p>
            <w:pPr>
              <w:spacing w:after="0"/>
              <w:rPr>
                <w:sz w:val="24"/>
                <w:szCs w:val="24"/>
                <w:color w:val="auto"/>
              </w:rPr>
            </w:pPr>
          </w:p>
        </w:tc>
      </w:tr>
      <w:tr>
        <w:trPr>
          <w:trHeight w:val="166"/>
        </w:trPr>
        <w:tc>
          <w:tcPr>
            <w:tcW w:w="194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Average Current</w:t>
            </w:r>
          </w:p>
        </w:tc>
        <w:tc>
          <w:tcPr>
            <w:tcW w:w="16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Percentage</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Tenant</w:t>
            </w:r>
          </w:p>
        </w:tc>
        <w:tc>
          <w:tcPr>
            <w:tcW w:w="1600" w:type="dxa"/>
            <w:vAlign w:val="bottom"/>
          </w:tcPr>
          <w:p>
            <w:pPr>
              <w:spacing w:after="0"/>
              <w:rPr>
                <w:sz w:val="14"/>
                <w:szCs w:val="14"/>
                <w:color w:val="auto"/>
              </w:rPr>
            </w:pPr>
          </w:p>
        </w:tc>
      </w:tr>
      <w:tr>
        <w:trPr>
          <w:trHeight w:val="166"/>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w w:val="98"/>
              </w:rPr>
              <w:t>Rent Per</w:t>
            </w:r>
          </w:p>
        </w:tc>
        <w:tc>
          <w:tcPr>
            <w:tcW w:w="64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Annualized</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Increase</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Improvement</w:t>
            </w:r>
          </w:p>
        </w:tc>
        <w:tc>
          <w:tcPr>
            <w:tcW w:w="1600" w:type="dxa"/>
            <w:vAlign w:val="bottom"/>
          </w:tcPr>
          <w:p>
            <w:pPr>
              <w:spacing w:after="0"/>
              <w:rPr>
                <w:sz w:val="14"/>
                <w:szCs w:val="14"/>
                <w:color w:val="auto"/>
              </w:rPr>
            </w:pPr>
          </w:p>
        </w:tc>
      </w:tr>
      <w:tr>
        <w:trPr>
          <w:trHeight w:val="166"/>
        </w:trPr>
        <w:tc>
          <w:tcPr>
            <w:tcW w:w="194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Square Foot</w:t>
            </w:r>
          </w:p>
        </w:tc>
        <w:tc>
          <w:tcPr>
            <w:tcW w:w="1600" w:type="dxa"/>
            <w:vAlign w:val="bottom"/>
          </w:tcPr>
          <w:p>
            <w:pPr>
              <w:ind w:left="140"/>
              <w:spacing w:after="0"/>
              <w:rPr>
                <w:sz w:val="20"/>
                <w:szCs w:val="20"/>
                <w:color w:val="auto"/>
              </w:rPr>
            </w:pPr>
            <w:r>
              <w:rPr>
                <w:rFonts w:ascii="Courier New" w:cs="Courier New" w:eastAsia="Courier New" w:hAnsi="Courier New"/>
                <w:sz w:val="14"/>
                <w:szCs w:val="14"/>
                <w:color w:val="auto"/>
              </w:rPr>
              <w:t>Increase in Rent</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over Prior Rent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Costs</w:t>
            </w:r>
          </w:p>
        </w:tc>
        <w:tc>
          <w:tcPr>
            <w:tcW w:w="1600" w:type="dxa"/>
            <w:vAlign w:val="bottom"/>
          </w:tcPr>
          <w:p>
            <w:pPr>
              <w:spacing w:after="0"/>
              <w:rPr>
                <w:sz w:val="14"/>
                <w:szCs w:val="14"/>
                <w:color w:val="auto"/>
              </w:rPr>
            </w:pP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3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 ----------------</w:t>
            </w:r>
          </w:p>
        </w:tc>
        <w:tc>
          <w:tcPr>
            <w:tcW w:w="250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$20.27</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$675,482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$935,000</w:t>
            </w:r>
          </w:p>
        </w:tc>
        <w:tc>
          <w:tcPr>
            <w:tcW w:w="1600" w:type="dxa"/>
            <w:vAlign w:val="bottom"/>
          </w:tcPr>
          <w:p>
            <w:pPr>
              <w:spacing w:after="0"/>
              <w:rPr>
                <w:sz w:val="24"/>
                <w:szCs w:val="24"/>
                <w:color w:val="auto"/>
              </w:rPr>
            </w:pPr>
          </w:p>
        </w:tc>
      </w:tr>
      <w:tr>
        <w:trPr>
          <w:trHeight w:val="166"/>
        </w:trPr>
        <w:tc>
          <w:tcPr>
            <w:tcW w:w="13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$17.45</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$607,238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$588,000</w:t>
            </w:r>
          </w:p>
        </w:tc>
        <w:tc>
          <w:tcPr>
            <w:tcW w:w="16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$15.47</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$330,680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$333,000</w:t>
            </w:r>
          </w:p>
        </w:tc>
        <w:tc>
          <w:tcPr>
            <w:tcW w:w="16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$20.14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$1,160,247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$933,000</w:t>
            </w:r>
          </w:p>
        </w:tc>
        <w:tc>
          <w:tcPr>
            <w:tcW w:w="16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$18.22</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$2,773,647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$2,789,000</w:t>
            </w:r>
          </w:p>
        </w:tc>
        <w:tc>
          <w:tcPr>
            <w:tcW w:w="16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Non-Comparable</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Weighted</w:t>
            </w:r>
          </w:p>
        </w:tc>
        <w:tc>
          <w:tcPr>
            <w:tcW w:w="168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w:t>
            </w:r>
          </w:p>
        </w:tc>
        <w:tc>
          <w:tcPr>
            <w:tcW w:w="168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Number of</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Square</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Lease</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Average Rent</w:t>
            </w:r>
          </w:p>
        </w:tc>
      </w:tr>
      <w:tr>
        <w:trPr>
          <w:trHeight w:val="166"/>
        </w:trPr>
        <w:tc>
          <w:tcPr>
            <w:tcW w:w="20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Rolling 12 Months</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Leases Signed</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Feet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Term (Years)</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 Square Foot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1st Quarter 1999</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120,121</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14.7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$20.91</w:t>
            </w:r>
          </w:p>
        </w:tc>
      </w:tr>
      <w:tr>
        <w:trPr>
          <w:trHeight w:val="166"/>
        </w:trPr>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4th Quarter 1998</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19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130,798</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10.6</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$21.47</w:t>
            </w:r>
          </w:p>
        </w:tc>
      </w:tr>
      <w:tr>
        <w:trPr>
          <w:trHeight w:val="166"/>
        </w:trPr>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3rd Quarter 1998</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57,613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16.9</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$22.15</w:t>
            </w:r>
          </w:p>
        </w:tc>
      </w:tr>
      <w:tr>
        <w:trPr>
          <w:trHeight w:val="166"/>
        </w:trPr>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2nd Quarter 1998</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15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63,474</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9.3</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w:t>
            </w:r>
          </w:p>
        </w:tc>
      </w:tr>
      <w:tr>
        <w:trPr>
          <w:trHeight w:val="166"/>
        </w:trPr>
        <w:tc>
          <w:tcPr>
            <w:tcW w:w="20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9"/>
              </w:rPr>
              <w:t>Total</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54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372,006</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13.6</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$20.17</w:t>
            </w:r>
          </w:p>
        </w:tc>
      </w:tr>
      <w:tr>
        <w:trPr>
          <w:trHeight w:val="497"/>
        </w:trPr>
        <w:tc>
          <w:tcPr>
            <w:tcW w:w="2080" w:type="dxa"/>
            <w:vAlign w:val="bottom"/>
          </w:tcPr>
          <w:p>
            <w:pPr>
              <w:spacing w:after="0"/>
              <w:rPr>
                <w:sz w:val="24"/>
                <w:szCs w:val="24"/>
                <w:color w:val="auto"/>
              </w:rPr>
            </w:pPr>
          </w:p>
        </w:tc>
        <w:tc>
          <w:tcPr>
            <w:tcW w:w="1540" w:type="dxa"/>
            <w:vAlign w:val="bottom"/>
          </w:tcPr>
          <w:p>
            <w:pPr>
              <w:ind w:left="680"/>
              <w:spacing w:after="0"/>
              <w:rPr>
                <w:sz w:val="20"/>
                <w:szCs w:val="20"/>
                <w:color w:val="auto"/>
              </w:rPr>
            </w:pPr>
            <w:r>
              <w:rPr>
                <w:rFonts w:ascii="Courier New" w:cs="Courier New" w:eastAsia="Courier New" w:hAnsi="Courier New"/>
                <w:sz w:val="14"/>
                <w:szCs w:val="14"/>
                <w:color w:val="auto"/>
              </w:rPr>
              <w:t>Estimated</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Annualized</w:t>
            </w:r>
          </w:p>
        </w:tc>
        <w:tc>
          <w:tcPr>
            <w:tcW w:w="1540" w:type="dxa"/>
            <w:vAlign w:val="bottom"/>
          </w:tcPr>
          <w:p>
            <w:pPr>
              <w:ind w:left="780"/>
              <w:spacing w:after="0"/>
              <w:rPr>
                <w:sz w:val="20"/>
                <w:szCs w:val="20"/>
                <w:color w:val="auto"/>
              </w:rPr>
            </w:pPr>
            <w:r>
              <w:rPr>
                <w:rFonts w:ascii="Courier New" w:cs="Courier New" w:eastAsia="Courier New" w:hAnsi="Courier New"/>
                <w:sz w:val="14"/>
                <w:szCs w:val="14"/>
                <w:color w:val="auto"/>
              </w:rPr>
              <w:t>Tenant</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Current</w:t>
            </w: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w w:val="99"/>
              </w:rPr>
              <w:t>Improvement</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Rent</w:t>
            </w:r>
          </w:p>
        </w:tc>
        <w:tc>
          <w:tcPr>
            <w:tcW w:w="1540" w:type="dxa"/>
            <w:vAlign w:val="bottom"/>
          </w:tcPr>
          <w:p>
            <w:pPr>
              <w:ind w:left="940"/>
              <w:spacing w:after="0"/>
              <w:rPr>
                <w:sz w:val="20"/>
                <w:szCs w:val="20"/>
                <w:color w:val="auto"/>
              </w:rPr>
            </w:pPr>
            <w:r>
              <w:rPr>
                <w:rFonts w:ascii="Courier New" w:cs="Courier New" w:eastAsia="Courier New" w:hAnsi="Courier New"/>
                <w:sz w:val="14"/>
                <w:szCs w:val="14"/>
                <w:color w:val="auto"/>
              </w:rPr>
              <w:t>Costs</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$2,511,594</w:t>
            </w:r>
          </w:p>
        </w:tc>
        <w:tc>
          <w:tcPr>
            <w:tcW w:w="25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$494,000</w:t>
            </w: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$2,808,414</w:t>
            </w:r>
          </w:p>
        </w:tc>
        <w:tc>
          <w:tcPr>
            <w:tcW w:w="25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$1,276,091</w:t>
            </w:r>
          </w:p>
        </w:tc>
        <w:tc>
          <w:tcPr>
            <w:tcW w:w="25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$121,000</w:t>
            </w: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$907,455</w:t>
            </w:r>
          </w:p>
        </w:tc>
        <w:tc>
          <w:tcPr>
            <w:tcW w:w="25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$78,000</w:t>
            </w: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$7,503,554</w:t>
            </w:r>
          </w:p>
        </w:tc>
        <w:tc>
          <w:tcPr>
            <w:tcW w:w="25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$973,000</w:t>
            </w: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ectPr>
          <w:pgSz w:w="11900" w:h="16838" w:orient="portrait"/>
          <w:cols w:equalWidth="0" w:num="1">
            <w:col w:w="10239"/>
          </w:cols>
          <w:pgMar w:left="220" w:top="45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Sales/Occupancy Costs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Average</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5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Occupancy Costs</w:t>
            </w:r>
          </w:p>
        </w:tc>
      </w:tr>
      <w:tr>
        <w:trPr>
          <w:trHeight w:val="166"/>
        </w:trPr>
        <w:tc>
          <w:tcPr>
            <w:tcW w:w="250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Sales Per</w:t>
            </w:r>
          </w:p>
        </w:tc>
        <w:tc>
          <w:tcPr>
            <w:tcW w:w="1280" w:type="dxa"/>
            <w:vAlign w:val="bottom"/>
          </w:tcPr>
          <w:p>
            <w:pPr>
              <w:ind w:left="240"/>
              <w:spacing w:after="0"/>
              <w:rPr>
                <w:sz w:val="20"/>
                <w:szCs w:val="20"/>
                <w:color w:val="auto"/>
              </w:rPr>
            </w:pPr>
            <w:r>
              <w:rPr>
                <w:rFonts w:ascii="Courier New" w:cs="Courier New" w:eastAsia="Courier New" w:hAnsi="Courier New"/>
                <w:sz w:val="14"/>
                <w:szCs w:val="14"/>
                <w:color w:val="auto"/>
              </w:rPr>
              <w:t>Cost per</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as Percentage</w:t>
            </w:r>
          </w:p>
        </w:tc>
      </w:tr>
      <w:tr>
        <w:trPr>
          <w:trHeight w:val="166"/>
        </w:trPr>
        <w:tc>
          <w:tcPr>
            <w:tcW w:w="25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Square Foot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Square Foot</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of Sales</w:t>
            </w:r>
          </w:p>
        </w:tc>
      </w:tr>
      <w:tr>
        <w:trPr>
          <w:trHeight w:val="166"/>
        </w:trPr>
        <w:tc>
          <w:tcPr>
            <w:tcW w:w="25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Reporting Tenants*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$280.67</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$15.61</w:t>
            </w: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5.5%</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Reporting Anchor Tenants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$289.44</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$10.79</w:t>
            </w: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3.7%</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Reporting Small Shop Tenants</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$265.78</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$23.82</w:t>
            </w: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9.0%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Includes only those tenants that have 12 months of reported sales in 1998.</w:t>
      </w:r>
    </w:p>
    <w:p>
      <w:pPr>
        <w:sectPr>
          <w:pgSz w:w="11900" w:h="16838" w:orient="portrait"/>
          <w:cols w:equalWidth="0" w:num="1">
            <w:col w:w="10239"/>
          </w:cols>
          <w:pgMar w:left="220" w:top="948" w:right="1440" w:bottom="1440" w:gutter="0" w:footer="0" w:header="0"/>
        </w:sectPr>
      </w:pPr>
    </w:p>
    <w:bookmarkStart w:id="11" w:name="page12"/>
    <w:bookmarkEnd w:id="11"/>
    <w:p>
      <w:pPr>
        <w:ind w:left="4660"/>
        <w:spacing w:after="0"/>
        <w:rPr>
          <w:sz w:val="20"/>
          <w:szCs w:val="20"/>
          <w:color w:val="auto"/>
        </w:rPr>
      </w:pPr>
      <w:r>
        <w:rPr>
          <w:rFonts w:ascii="Courier New" w:cs="Courier New" w:eastAsia="Courier New" w:hAnsi="Courier New"/>
          <w:sz w:val="14"/>
          <w:szCs w:val="14"/>
          <w:color w:val="auto"/>
        </w:rPr>
        <w:t>Kathy Klein</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Corporate Communications</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301/998-8211</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FIRST QUARTER 1999 OPERATING RESULTS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first quarter of 1999 increased 11% to $23.7 million from $21.2 million in the first quarter of 1998. On a per share basis, funds from operations rose 9% to $.58 in the first quarter of 1999 from $.53 in the comparable quarter of 1998.</w:t>
      </w:r>
    </w:p>
    <w:p>
      <w:pPr>
        <w:spacing w:after="0" w:line="16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first quarter of 1999 versus the first quarter of 1998 shows the following:</w:t>
      </w:r>
    </w:p>
    <w:p>
      <w:pPr>
        <w:spacing w:after="0" w:line="160" w:lineRule="exact"/>
        <w:rPr>
          <w:sz w:val="20"/>
          <w:szCs w:val="20"/>
          <w:color w:val="auto"/>
        </w:rPr>
      </w:pPr>
    </w:p>
    <w:p>
      <w:pPr>
        <w:ind w:left="700" w:right="3419" w:hanging="261"/>
        <w:spacing w:after="0" w:line="252"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13% to $59.4 million in 1999 from $52.5 million in 1998. When adjusted to exclude properties acquired and sold during 1998 and 1999, rental income increased 7% to $56.2 million in 1999 from $52.5 million in 1998.</w:t>
      </w:r>
    </w:p>
    <w:p>
      <w:pPr>
        <w:spacing w:after="0" w:line="162" w:lineRule="exact"/>
        <w:rPr>
          <w:sz w:val="20"/>
          <w:szCs w:val="20"/>
          <w:color w:val="auto"/>
        </w:rPr>
      </w:pPr>
    </w:p>
    <w:p>
      <w:pPr>
        <w:ind w:left="700" w:right="3419" w:hanging="261"/>
        <w:spacing w:after="0" w:line="251" w:lineRule="auto"/>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first quarter of 1999, the Trust signed leases for a total 319,318 square feet of retail space. On a same space basis, the Trust re-leased 199,197 square feet of retail space at an average increase in rent per square foot of 20%. The weighted average rent on these leases was $20.27 per square foot compared to the previous average rent of $16.88 per square foot.</w:t>
      </w:r>
    </w:p>
    <w:p>
      <w:pPr>
        <w:spacing w:after="0" w:line="164" w:lineRule="exact"/>
        <w:rPr>
          <w:sz w:val="20"/>
          <w:szCs w:val="20"/>
          <w:color w:val="auto"/>
        </w:rPr>
      </w:pPr>
    </w:p>
    <w:p>
      <w:pPr>
        <w:ind w:left="700" w:right="3519" w:hanging="261"/>
        <w:spacing w:after="0" w:line="252" w:lineRule="auto"/>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March 31, 1999, the Trust's overall portfolio was 95.0% leased compared to 95.6% a year ago. Same property occupancy was 94.8% leased at March 31, 1999 compared to 95.6% a year ago.</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Commenting on the results, Steven Guttman, President and Chief Executive Officer stated, "We are pleased with our strong first quarter results. The 9.4% increase in funds from operations per share reflects solid revenue and income growth from our core portfolio combined with tight operating expense control resulting from our comprehensive reengineering efforts."</w:t>
      </w:r>
    </w:p>
    <w:p>
      <w:pPr>
        <w:sectPr>
          <w:pgSz w:w="11900" w:h="16838" w:orient="portrait"/>
          <w:cols w:equalWidth="0" w:num="1">
            <w:col w:w="10239"/>
          </w:cols>
          <w:pgMar w:left="220" w:top="616" w:right="1440" w:bottom="1440" w:gutter="0" w:footer="0" w:header="0"/>
        </w:sectPr>
      </w:pPr>
    </w:p>
    <w:bookmarkStart w:id="12" w:name="page13"/>
    <w:bookmarkEnd w:id="12"/>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121 retail properties, consisting of neighborhood and community shopping centers and main street retail properties, located in strategic metropolitan markets across the United States. These markets include Boston, New York, Philadelphia, Washington D.C., Chicago, San Antonio, Portland, San Francisco, Los Angeles, San Jose and San Diego.</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31 consecutive years. Shares of the Trust are traded on the New York Stock Exchange under the symbol:FRT.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3" w:name="page14"/>
    <w:bookmarkEnd w:id="13"/>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ind w:left="1820"/>
              <w:spacing w:after="0"/>
              <w:rPr>
                <w:sz w:val="20"/>
                <w:szCs w:val="20"/>
                <w:color w:val="auto"/>
              </w:rPr>
            </w:pPr>
            <w:r>
              <w:rPr>
                <w:rFonts w:ascii="Courier New" w:cs="Courier New" w:eastAsia="Courier New" w:hAnsi="Courier New"/>
                <w:sz w:val="14"/>
                <w:szCs w:val="14"/>
                <w:color w:val="auto"/>
              </w:rPr>
              <w:t>(in thousands, except per share data)</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28"/>
        </w:trPr>
        <w:tc>
          <w:tcPr>
            <w:tcW w:w="6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6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8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Rental Income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59,433</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52,481</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Other property income</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2,272</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2,102</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1,594</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63,583</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56,177</w:t>
            </w:r>
          </w:p>
        </w:tc>
      </w:tr>
      <w:tr>
        <w:trPr>
          <w:trHeight w:val="331"/>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Rental</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13,648</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11,922</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Real estate taxes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6,012</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5,472</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15,133</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12,693</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2,254</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1,841</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12,281</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10,769</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49,328</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42,697</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Operating income before investors' share of operations</w:t>
            </w:r>
          </w:p>
        </w:tc>
        <w:tc>
          <w:tcPr>
            <w:tcW w:w="8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14,255</w:t>
            </w:r>
          </w:p>
        </w:tc>
        <w:tc>
          <w:tcPr>
            <w:tcW w:w="6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13,480</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Investor's share of operations</w:t>
            </w:r>
          </w:p>
        </w:tc>
        <w:tc>
          <w:tcPr>
            <w:tcW w:w="8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(701)</w:t>
            </w:r>
          </w:p>
        </w:tc>
        <w:tc>
          <w:tcPr>
            <w:tcW w:w="6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(786)</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13,554</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12,694</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Dividends on preferred stock</w:t>
            </w:r>
          </w:p>
        </w:tc>
        <w:tc>
          <w:tcPr>
            <w:tcW w:w="8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c>
          <w:tcPr>
            <w:tcW w:w="6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11,566</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10,706</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Earnings per common share, basic</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0.29</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0.27</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Earnings per common share, diluted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0.29</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0.27</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shares outstanding, basic</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39,435</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38,949</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40,545</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39,870</w:t>
            </w:r>
          </w:p>
        </w:tc>
      </w:tr>
      <w:tr>
        <w:trPr>
          <w:trHeight w:val="331"/>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Funds from Operations</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080" w:type="dxa"/>
            <w:vAlign w:val="bottom"/>
          </w:tcPr>
          <w:p>
            <w:pPr>
              <w:ind w:left="52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11,566</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10,706</w:t>
            </w:r>
          </w:p>
        </w:tc>
      </w:tr>
      <w:tr>
        <w:trPr>
          <w:trHeight w:val="166"/>
        </w:trPr>
        <w:tc>
          <w:tcPr>
            <w:tcW w:w="6080" w:type="dxa"/>
            <w:vAlign w:val="bottom"/>
          </w:tcPr>
          <w:p>
            <w:pPr>
              <w:ind w:left="520"/>
              <w:spacing w:after="0"/>
              <w:rPr>
                <w:sz w:val="20"/>
                <w:szCs w:val="20"/>
                <w:color w:val="auto"/>
              </w:rPr>
            </w:pPr>
            <w:r>
              <w:rPr>
                <w:rFonts w:ascii="Courier New" w:cs="Courier New" w:eastAsia="Courier New" w:hAnsi="Courier New"/>
                <w:sz w:val="14"/>
                <w:szCs w:val="14"/>
                <w:color w:val="auto"/>
              </w:rPr>
              <w:t>Add: depreciation and amortization of real estate assets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11,128</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9,738</w:t>
            </w:r>
          </w:p>
        </w:tc>
      </w:tr>
      <w:tr>
        <w:trPr>
          <w:trHeight w:val="166"/>
        </w:trPr>
        <w:tc>
          <w:tcPr>
            <w:tcW w:w="6080" w:type="dxa"/>
            <w:vAlign w:val="bottom"/>
          </w:tcPr>
          <w:p>
            <w:pPr>
              <w:ind w:left="520"/>
              <w:spacing w:after="0"/>
              <w:rPr>
                <w:sz w:val="20"/>
                <w:szCs w:val="20"/>
                <w:color w:val="auto"/>
              </w:rPr>
            </w:pPr>
            <w:r>
              <w:rPr>
                <w:rFonts w:ascii="Courier New" w:cs="Courier New" w:eastAsia="Courier New" w:hAnsi="Courier New"/>
                <w:sz w:val="14"/>
                <w:szCs w:val="14"/>
                <w:color w:val="auto"/>
              </w:rPr>
              <w:t>Add: amortization of initial direct costs of leases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718</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593</w:t>
            </w:r>
          </w:p>
        </w:tc>
      </w:tr>
      <w:tr>
        <w:trPr>
          <w:trHeight w:val="166"/>
        </w:trPr>
        <w:tc>
          <w:tcPr>
            <w:tcW w:w="6080" w:type="dxa"/>
            <w:vAlign w:val="bottom"/>
          </w:tcPr>
          <w:p>
            <w:pPr>
              <w:ind w:left="520"/>
              <w:spacing w:after="0"/>
              <w:rPr>
                <w:sz w:val="20"/>
                <w:szCs w:val="20"/>
                <w:color w:val="auto"/>
              </w:rPr>
            </w:pPr>
            <w:r>
              <w:rPr>
                <w:rFonts w:ascii="Courier New" w:cs="Courier New" w:eastAsia="Courier New" w:hAnsi="Courier New"/>
                <w:sz w:val="14"/>
                <w:szCs w:val="14"/>
                <w:color w:val="auto"/>
              </w:rPr>
              <w:t>Add: income attributable to operating partnership units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Funds from operations, diluted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23,676</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21,244</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Funds from operations per share, diluted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6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c>
          <w:tcPr>
            <w:tcW w:w="15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8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Assets</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Real estate, at cost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$1,676,270</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$1,642,136</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8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(297,221)</w:t>
            </w:r>
          </w:p>
        </w:tc>
        <w:tc>
          <w:tcPr>
            <w:tcW w:w="6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(286,053)</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1,379,049</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1,356,083</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Mortgage notes receivable</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55,551</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51,154</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Cash and investments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12,547</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17,230</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Receivables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17,492</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17,873</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Other assets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38,457</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41,977</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$1,503,096</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$1,484,317</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Liabilities and Shareholders' Equity</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173,262</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173,480</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Notes payable</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291,875</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263,159</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Senior Notes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335,000</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335,000</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080" w:type="dxa"/>
            <w:vAlign w:val="bottom"/>
          </w:tcPr>
          <w:p>
            <w:pPr>
              <w:ind w:left="360"/>
              <w:spacing w:after="0"/>
              <w:rPr>
                <w:sz w:val="20"/>
                <w:szCs w:val="20"/>
                <w:color w:val="auto"/>
              </w:rPr>
            </w:pPr>
            <w:r>
              <w:rPr>
                <w:rFonts w:ascii="Courier New" w:cs="Courier New" w:eastAsia="Courier New" w:hAnsi="Courier New"/>
                <w:sz w:val="14"/>
                <w:szCs w:val="14"/>
                <w:color w:val="auto"/>
              </w:rPr>
              <w:t>Other liabilities</w:t>
            </w:r>
          </w:p>
        </w:tc>
        <w:tc>
          <w:tcPr>
            <w:tcW w:w="8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102,378</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107,442</w:t>
            </w:r>
          </w:p>
        </w:tc>
      </w:tr>
      <w:tr>
        <w:trPr>
          <w:trHeight w:val="331"/>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8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525,292</w:t>
            </w:r>
          </w:p>
        </w:tc>
        <w:tc>
          <w:tcPr>
            <w:tcW w:w="6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529,947</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$1,503,096</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$1,484,317</w:t>
            </w:r>
          </w:p>
        </w:tc>
      </w:tr>
      <w:tr>
        <w:trPr>
          <w:trHeight w:val="166"/>
        </w:trPr>
        <w:tc>
          <w:tcPr>
            <w:tcW w:w="608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14" w:name="page15"/>
    <w:bookmarkEnd w:id="14"/>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2019-12-13T00:59:37Z</dcterms:created>
  <dcterms:modified xsi:type="dcterms:W3CDTF">2019-12-13T00:59:37Z</dcterms:modified>
</cp:coreProperties>
</file>