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333-203999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Shares of Beneficial Interest, $0.01 par value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$300,000,000</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$34,860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20" w:hanging="452"/>
        <w:spacing w:after="0" w:line="259"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is calculated in accordance with Rule 457(o) under the Securities Act, based on the proposed maximum aggregate offering price, and Rule 457(r) under the Securities Act. Pursuant to Rule 457(p) under the Securities Act, the Registrant is offsetting the registration fee of $34,860 by $9,772 , which represents the portion of the registration fee previously paid by the Registrant with respect to the unsold securities registered on the Registration Statement on Form S-3 (File No. 333-181236) and offered by means of a prospectus supplement dated February 12, 2014.</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8, 2015)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179070</wp:posOffset>
            </wp:positionV>
            <wp:extent cx="218694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have entered into separate equity distribution agreements with each of Wells Fargo Securities, LLC and Merrill Lynch, Pierce, Fenner &amp; Smith Incorporated, or the Agents, relating to our common shares of beneficial interest, par value $0.01 per share, offered by this prospectus supplement and the accompanying prospectus pursuant to a continuous offering program. In accordance with the terms of the equity distribution agreements, we may from time to time offer and sell common shares having an aggregate offering price of up to $300,000,000 through the Agents as our sales agents. Upon entering into these equity distribution agreements, we simultaneously terminated the equity distribution agreements we entered into with the Agents in connection with a prior “at the market” offering program established in February 2014.</w:t>
      </w:r>
    </w:p>
    <w:p>
      <w:pPr>
        <w:spacing w:after="0" w:line="188" w:lineRule="exact"/>
        <w:rPr>
          <w:sz w:val="24"/>
          <w:szCs w:val="24"/>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or the NYSE, under the symbol “FRT.” On May 7, 2015, the last reported sale price of our common shares on the NYSE was $134.00 per share.</w:t>
      </w:r>
    </w:p>
    <w:p>
      <w:pPr>
        <w:spacing w:after="0" w:line="162" w:lineRule="exact"/>
        <w:rPr>
          <w:sz w:val="24"/>
          <w:szCs w:val="24"/>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The Agents are not required to sell any specific number or dollar amount of common shares, but as instructed by us will make all sales using commercially reasonable efforts, as our sales agents and subject to the terms of the equity distribution agreements. Our common shares to which this prospectus supplement relates will be sold through only one Agent on any given day. The offering of common shares pursuant to the equity distribution agreements will terminate upon the earlier of (1) the sale of common shares having an aggregate offering price of $300,000,000 and (2) with respect to a particular equity distribution agreement, the termination of such equity distribution agreement.</w:t>
      </w:r>
    </w:p>
    <w:p>
      <w:pPr>
        <w:spacing w:after="0" w:line="189" w:lineRule="exact"/>
        <w:rPr>
          <w:sz w:val="24"/>
          <w:szCs w:val="24"/>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will pay each of the Agents a commission that will not exceed, but may be lower than, 2.0% of the gross sales price per common share sold through it under the applicable equity distribution agreement.</w:t>
      </w:r>
    </w:p>
    <w:p>
      <w:pPr>
        <w:spacing w:after="0" w:line="149" w:lineRule="exact"/>
        <w:rPr>
          <w:sz w:val="24"/>
          <w:szCs w:val="24"/>
          <w:color w:val="auto"/>
        </w:rPr>
      </w:pPr>
    </w:p>
    <w:p>
      <w:pPr>
        <w:ind w:right="320" w:firstLine="456"/>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shares involves risks. See “</w:t>
      </w:r>
      <w:hyperlink w:anchor="page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S-3 of this prospectus supplement and in our Annual Report on Form 10-K for the year ended December 31, 2014, filed with the Securities and Exchange Commission, or the SEC, on February 10, 2015.</w:t>
      </w:r>
    </w:p>
    <w:p>
      <w:pPr>
        <w:sectPr>
          <w:pgSz w:w="11900" w:h="16838" w:orient="portrait"/>
          <w:cols w:equalWidth="0" w:num="1">
            <w:col w:w="11420"/>
          </w:cols>
          <w:pgMar w:left="240" w:top="226" w:right="239" w:bottom="1440" w:gutter="0" w:footer="0" w:header="0"/>
        </w:sectPr>
      </w:pPr>
    </w:p>
    <w:bookmarkStart w:id="1" w:name="page2"/>
    <w:bookmarkEnd w:id="1"/>
    <w:p>
      <w:pPr>
        <w:ind w:firstLine="456"/>
        <w:spacing w:after="0" w:line="282"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tabs>
          <w:tab w:leader="none" w:pos="8500" w:val="left"/>
        </w:tabs>
        <w:rPr>
          <w:sz w:val="20"/>
          <w:szCs w:val="20"/>
          <w:color w:val="auto"/>
        </w:rPr>
      </w:pPr>
      <w:r>
        <w:rPr>
          <w:rFonts w:ascii="Times New Roman" w:cs="Times New Roman" w:eastAsia="Times New Roman" w:hAnsi="Times New Roman"/>
          <w:sz w:val="29"/>
          <w:szCs w:val="29"/>
          <w:b w:val="1"/>
          <w:bCs w:val="1"/>
          <w:color w:val="auto"/>
        </w:rPr>
        <w:t>Wells Fargo Securities</w:t>
      </w:r>
      <w:r>
        <w:rPr>
          <w:sz w:val="20"/>
          <w:szCs w:val="20"/>
          <w:color w:val="auto"/>
        </w:rPr>
        <w:tab/>
      </w:r>
      <w:r>
        <w:rPr>
          <w:rFonts w:ascii="Times New Roman" w:cs="Times New Roman" w:eastAsia="Times New Roman" w:hAnsi="Times New Roman"/>
          <w:sz w:val="28"/>
          <w:szCs w:val="28"/>
          <w:b w:val="1"/>
          <w:bCs w:val="1"/>
          <w:color w:val="auto"/>
        </w:rPr>
        <w:t>BofA Merrill Lynch</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11, 2015.</w:t>
      </w:r>
    </w:p>
    <w:p>
      <w:pPr>
        <w:sectPr>
          <w:pgSz w:w="11900" w:h="16838" w:orient="portrait"/>
          <w:cols w:equalWidth="0" w:num="1">
            <w:col w:w="11360"/>
          </w:cols>
          <w:pgMar w:left="240" w:top="121"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6"/>
            <w:vMerge w:val="restart"/>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About this Prospectus Supplement</w:t>
              </w:r>
            </w:hyperlink>
          </w:p>
        </w:tc>
        <w:tc>
          <w:tcPr>
            <w:tcW w:w="2180" w:type="dxa"/>
            <w:vAlign w:val="bottom"/>
            <w:gridSpan w:val="3"/>
            <w:vMerge w:val="restart"/>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6"/>
            <w:vMerge w:val="continue"/>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63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Cautionary Statement Concerning Forward-Looking Statements</w:t>
              </w:r>
            </w:hyperlink>
          </w:p>
        </w:tc>
        <w:tc>
          <w:tcPr>
            <w:tcW w:w="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304"/>
        </w:trPr>
        <w:tc>
          <w:tcPr>
            <w:tcW w:w="2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Prospectus Supplement Summary</w:t>
              </w:r>
            </w:hyperlink>
          </w:p>
        </w:tc>
        <w:tc>
          <w:tcPr>
            <w:tcW w:w="2240" w:type="dxa"/>
            <w:vAlign w:val="bottom"/>
            <w:gridSpan w:val="4"/>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Risk Factors</w:t>
              </w:r>
            </w:hyperlink>
          </w:p>
        </w:tc>
        <w:tc>
          <w:tcPr>
            <w:tcW w:w="3760" w:type="dxa"/>
            <w:vAlign w:val="bottom"/>
            <w:gridSpan w:val="7"/>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Use of Proceeds</w:t>
              </w:r>
            </w:hyperlink>
          </w:p>
        </w:tc>
        <w:tc>
          <w:tcPr>
            <w:tcW w:w="3500" w:type="dxa"/>
            <w:vAlign w:val="bottom"/>
            <w:gridSpan w:val="5"/>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4680" w:type="dxa"/>
            <w:vAlign w:val="bottom"/>
            <w:gridSpan w:val="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Plan of Distribution (Conflicts of Interest)</w:t>
              </w:r>
            </w:hyperlink>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304"/>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Experts</w:t>
              </w:r>
            </w:hyperlink>
          </w:p>
        </w:tc>
        <w:tc>
          <w:tcPr>
            <w:tcW w:w="2480" w:type="dxa"/>
            <w:vAlign w:val="bottom"/>
            <w:tcBorders>
              <w:top w:val="single" w:sz="8" w:color="0000EE"/>
            </w:tcBorders>
            <w:gridSpan w:val="6"/>
          </w:tcPr>
          <w:p>
            <w:pPr>
              <w:spacing w:after="0"/>
              <w:rPr>
                <w:sz w:val="24"/>
                <w:szCs w:val="24"/>
                <w:color w:val="auto"/>
              </w:rPr>
            </w:pPr>
          </w:p>
        </w:tc>
        <w:tc>
          <w:tcPr>
            <w:tcW w:w="1640" w:type="dxa"/>
            <w:vAlign w:val="bottom"/>
            <w:gridSpan w:val="2"/>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Legal Matters</w:t>
              </w:r>
            </w:hyperlink>
          </w:p>
        </w:tc>
        <w:tc>
          <w:tcPr>
            <w:tcW w:w="3660" w:type="dxa"/>
            <w:vAlign w:val="bottom"/>
            <w:gridSpan w:val="6"/>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About this Prospectus</w:t>
              </w:r>
            </w:hyperlink>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7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60" w:type="dxa"/>
            <w:vAlign w:val="bottom"/>
            <w:gridSpan w:val="12"/>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Forward-Looking Statements</w:t>
              </w:r>
            </w:hyperlink>
          </w:p>
        </w:tc>
        <w:tc>
          <w:tcPr>
            <w:tcW w:w="7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Prospectus Summary</w:t>
              </w:r>
            </w:hyperlink>
          </w:p>
        </w:tc>
        <w:tc>
          <w:tcPr>
            <w:tcW w:w="540" w:type="dxa"/>
            <w:vAlign w:val="bottom"/>
            <w:tcBorders>
              <w:top w:val="single" w:sz="8" w:color="0000EE"/>
            </w:tcBorders>
          </w:tcPr>
          <w:p>
            <w:pPr>
              <w:spacing w:after="0"/>
              <w:rPr>
                <w:sz w:val="24"/>
                <w:szCs w:val="24"/>
                <w:color w:val="auto"/>
              </w:rPr>
            </w:pPr>
          </w:p>
        </w:tc>
        <w:tc>
          <w:tcPr>
            <w:tcW w:w="2140" w:type="dxa"/>
            <w:vAlign w:val="bottom"/>
            <w:gridSpan w:val="5"/>
          </w:tcPr>
          <w:p>
            <w:pPr>
              <w:spacing w:after="0"/>
              <w:rPr>
                <w:sz w:val="24"/>
                <w:szCs w:val="24"/>
                <w:color w:val="auto"/>
              </w:rPr>
            </w:pPr>
          </w:p>
        </w:tc>
        <w:tc>
          <w:tcPr>
            <w:tcW w:w="7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Risk Factors</w:t>
              </w:r>
            </w:hyperlink>
          </w:p>
        </w:tc>
        <w:tc>
          <w:tcPr>
            <w:tcW w:w="3340" w:type="dxa"/>
            <w:vAlign w:val="bottom"/>
            <w:gridSpan w:val="10"/>
          </w:tcPr>
          <w:p>
            <w:pPr>
              <w:spacing w:after="0"/>
              <w:rPr>
                <w:sz w:val="24"/>
                <w:szCs w:val="24"/>
                <w:color w:val="auto"/>
              </w:rPr>
            </w:pPr>
          </w:p>
        </w:tc>
        <w:tc>
          <w:tcPr>
            <w:tcW w:w="7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Use of Proceeds</w:t>
              </w:r>
            </w:hyperlink>
          </w:p>
        </w:tc>
        <w:tc>
          <w:tcPr>
            <w:tcW w:w="3080" w:type="dxa"/>
            <w:vAlign w:val="bottom"/>
            <w:gridSpan w:val="8"/>
          </w:tcPr>
          <w:p>
            <w:pPr>
              <w:spacing w:after="0"/>
              <w:rPr>
                <w:sz w:val="24"/>
                <w:szCs w:val="24"/>
                <w:color w:val="auto"/>
              </w:rPr>
            </w:pPr>
          </w:p>
        </w:tc>
        <w:tc>
          <w:tcPr>
            <w:tcW w:w="7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Description of Debt Securities</w:t>
              </w:r>
            </w:hyperlink>
          </w:p>
        </w:tc>
        <w:tc>
          <w:tcPr>
            <w:tcW w:w="2060" w:type="dxa"/>
            <w:vAlign w:val="bottom"/>
            <w:gridSpan w:val="4"/>
          </w:tcPr>
          <w:p>
            <w:pPr>
              <w:spacing w:after="0"/>
              <w:rPr>
                <w:sz w:val="24"/>
                <w:szCs w:val="24"/>
                <w:color w:val="auto"/>
              </w:rPr>
            </w:pPr>
          </w:p>
        </w:tc>
        <w:tc>
          <w:tcPr>
            <w:tcW w:w="7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Description of Shares of Beneficial Interest</w:t>
              </w:r>
            </w:hyperlink>
          </w:p>
        </w:tc>
        <w:tc>
          <w:tcPr>
            <w:tcW w:w="1120" w:type="dxa"/>
            <w:vAlign w:val="bottom"/>
            <w:gridSpan w:val="2"/>
          </w:tcPr>
          <w:p>
            <w:pPr>
              <w:spacing w:after="0"/>
              <w:rPr>
                <w:sz w:val="24"/>
                <w:szCs w:val="24"/>
                <w:color w:val="auto"/>
              </w:rPr>
            </w:pP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60" w:type="dxa"/>
            <w:vAlign w:val="bottom"/>
            <w:gridSpan w:val="1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Material Federal Income Tax Considerations</w:t>
              </w:r>
            </w:hyperlink>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1040" w:type="dxa"/>
            <w:vAlign w:val="bottom"/>
          </w:tcPr>
          <w:p>
            <w:pPr>
              <w:spacing w:after="0"/>
              <w:rPr>
                <w:sz w:val="24"/>
                <w:szCs w:val="24"/>
                <w:color w:val="auto"/>
              </w:rPr>
            </w:pP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Legal Matters</w:t>
              </w:r>
            </w:hyperlink>
          </w:p>
        </w:tc>
        <w:tc>
          <w:tcPr>
            <w:tcW w:w="3240" w:type="dxa"/>
            <w:vAlign w:val="bottom"/>
            <w:gridSpan w:val="9"/>
          </w:tcPr>
          <w:p>
            <w:pPr>
              <w:spacing w:after="0"/>
              <w:rPr>
                <w:sz w:val="24"/>
                <w:szCs w:val="24"/>
                <w:color w:val="auto"/>
              </w:rPr>
            </w:pP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Experts</w:t>
              </w:r>
            </w:hyperlink>
          </w:p>
        </w:tc>
        <w:tc>
          <w:tcPr>
            <w:tcW w:w="3700" w:type="dxa"/>
            <w:vAlign w:val="bottom"/>
            <w:gridSpan w:val="11"/>
          </w:tcPr>
          <w:p>
            <w:pPr>
              <w:spacing w:after="0"/>
              <w:rPr>
                <w:sz w:val="24"/>
                <w:szCs w:val="24"/>
                <w:color w:val="auto"/>
              </w:rPr>
            </w:pP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Where You Can Find More Information</w:t>
              </w:r>
            </w:hyperlink>
          </w:p>
        </w:tc>
        <w:tc>
          <w:tcPr>
            <w:tcW w:w="1380" w:type="dxa"/>
            <w:vAlign w:val="bottom"/>
            <w:gridSpan w:val="3"/>
          </w:tcPr>
          <w:p>
            <w:pPr>
              <w:spacing w:after="0"/>
              <w:rPr>
                <w:sz w:val="24"/>
                <w:szCs w:val="24"/>
                <w:color w:val="auto"/>
              </w:rPr>
            </w:pP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8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authorized any other person to provide you with additional or different information. If anyone provides you with additional or different information, you should not rely on it. We are not, nor are the Agents,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in our Annual Report on Form 10-K for the year ended December 31, 2014, filed with the Securities and Exchange Commission, or the SEC, on February 10, 2015,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5" w:lineRule="exact"/>
        <w:rPr>
          <w:sz w:val="20"/>
          <w:szCs w:val="20"/>
          <w:color w:val="auto"/>
        </w:rPr>
      </w:pPr>
    </w:p>
    <w:p>
      <w:pPr>
        <w:ind w:left="900" w:right="22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may not pay rent, may vacate early or may file for bankruptcy, or that we may be unable to renew leases or re-let space at favorable rents as leases expire;</w:t>
      </w:r>
    </w:p>
    <w:p>
      <w:pPr>
        <w:spacing w:after="0" w:line="67"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1"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incorporated by reference into this prospectus supplement and the accompanying prospectus. We also make no promise to update any of the forward-looking statements, or to publicly release the results if we revise any of them.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665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665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200" w:right="18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200" w:right="20" w:firstLine="443"/>
        <w:spacing w:after="0" w:line="266" w:lineRule="auto"/>
        <w:rPr>
          <w:sz w:val="20"/>
          <w:szCs w:val="20"/>
          <w:color w:val="auto"/>
        </w:rPr>
      </w:pPr>
      <w:r>
        <w:rPr>
          <w:rFonts w:ascii="Times New Roman" w:cs="Times New Roman" w:eastAsia="Times New Roman" w:hAnsi="Times New Roman"/>
          <w:sz w:val="18"/>
          <w:szCs w:val="18"/>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w:t>
      </w:r>
    </w:p>
    <w:p>
      <w:pPr>
        <w:spacing w:after="0" w:line="176" w:lineRule="exact"/>
        <w:rPr>
          <w:sz w:val="20"/>
          <w:szCs w:val="20"/>
          <w:color w:val="auto"/>
        </w:rPr>
      </w:pPr>
    </w:p>
    <w:p>
      <w:pPr>
        <w:ind w:left="200" w:right="80" w:firstLine="443"/>
        <w:spacing w:after="0" w:line="255" w:lineRule="auto"/>
        <w:rPr>
          <w:sz w:val="20"/>
          <w:szCs w:val="20"/>
          <w:color w:val="auto"/>
        </w:rPr>
      </w:pPr>
      <w:r>
        <w:rPr>
          <w:rFonts w:ascii="Times New Roman" w:cs="Times New Roman" w:eastAsia="Times New Roman" w:hAnsi="Times New Roman"/>
          <w:sz w:val="18"/>
          <w:szCs w:val="18"/>
          <w:color w:val="auto"/>
        </w:rPr>
        <w:t>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w:t>
      </w:r>
    </w:p>
    <w:p>
      <w:pPr>
        <w:spacing w:after="0" w:line="3" w:lineRule="exact"/>
        <w:rPr>
          <w:sz w:val="20"/>
          <w:szCs w:val="20"/>
          <w:color w:val="auto"/>
        </w:rPr>
      </w:pPr>
    </w:p>
    <w:p>
      <w:pPr>
        <w:ind w:left="200" w:right="240"/>
        <w:spacing w:after="0" w:line="261" w:lineRule="auto"/>
        <w:rPr>
          <w:sz w:val="20"/>
          <w:szCs w:val="20"/>
          <w:color w:val="auto"/>
        </w:rPr>
      </w:pPr>
      <w:r>
        <w:rPr>
          <w:rFonts w:ascii="Times New Roman" w:cs="Times New Roman" w:eastAsia="Times New Roman" w:hAnsi="Times New Roman"/>
          <w:sz w:val="18"/>
          <w:szCs w:val="18"/>
          <w:color w:val="auto"/>
        </w:rPr>
        <w:t>85.4% occupied at March 31, 2015. We have paid quarterly dividends to our shareholders continuously since our founding in 1962 and have increased our dividends per common share for 47 consecutive years.</w:t>
      </w:r>
    </w:p>
    <w:p>
      <w:pPr>
        <w:spacing w:after="0" w:line="180"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supplement or the accompanying prospectus and is not incorporated herein or therein by reference.</w:t>
      </w: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008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200" w:right="200" w:firstLine="443"/>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shares offered</w:t>
            </w: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shares with an aggregate offering price of up to $300,000,000.</w:t>
            </w:r>
          </w:p>
        </w:tc>
      </w:tr>
      <w:tr>
        <w:trPr>
          <w:trHeight w:val="35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Stock Exchange symbol</w:t>
            </w: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FRT.</w:t>
            </w:r>
          </w:p>
        </w:tc>
      </w:tr>
      <w:tr>
        <w:trPr>
          <w:trHeight w:val="333"/>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fund potential acquisition opportunities,</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 our development or redevelopment pipeline, repay amounts outstanding under our</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credit facility and/or for general corporate purposes. See “Use of Proceeds” on page</w:t>
            </w:r>
          </w:p>
        </w:tc>
      </w:tr>
      <w:tr>
        <w:trPr>
          <w:trHeight w:val="234"/>
        </w:trPr>
        <w:tc>
          <w:tcPr>
            <w:tcW w:w="4020" w:type="dxa"/>
            <w:vAlign w:val="bottom"/>
          </w:tcPr>
          <w:p>
            <w:pPr>
              <w:spacing w:after="0"/>
              <w:rPr>
                <w:sz w:val="20"/>
                <w:szCs w:val="20"/>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S-3 for more information.</w:t>
            </w:r>
          </w:p>
        </w:tc>
      </w:tr>
      <w:tr>
        <w:trPr>
          <w:trHeight w:val="31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a description of material U.S. federal income tax considerations of an investment in our</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shares, please review the disclosure in the accompanying prospectus under “Material</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Income Tax Considerations,” as may be updated from time to time in filings we make</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 the SEC after the date of this prospectus supplement that are incorporated by reference</w:t>
            </w:r>
          </w:p>
        </w:tc>
      </w:tr>
      <w:tr>
        <w:trPr>
          <w:trHeight w:val="234"/>
        </w:trPr>
        <w:tc>
          <w:tcPr>
            <w:tcW w:w="4020" w:type="dxa"/>
            <w:vAlign w:val="bottom"/>
          </w:tcPr>
          <w:p>
            <w:pPr>
              <w:spacing w:after="0"/>
              <w:rPr>
                <w:sz w:val="20"/>
                <w:szCs w:val="20"/>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herein.</w:t>
            </w:r>
          </w:p>
        </w:tc>
      </w:tr>
      <w:tr>
        <w:trPr>
          <w:trHeight w:val="31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Investing in our common shares involves risks. Please review the risk factors discussed</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on page S-3 of this prospectus supplement and in our Annual Report on Form 10-K</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the year ended December 31, 2014, filed with the SEC on February 10, 2015, and the other</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contained in or incorporated by reference into this prospectus supplement and the</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 should consider before deciding to</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 in our common shares. You may obtain a copy of our Annual Report on Form 10-K and</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other documents incorporated by reference into this prospectus supplement and the</w:t>
            </w:r>
          </w:p>
        </w:tc>
      </w:tr>
      <w:tr>
        <w:trPr>
          <w:trHeight w:val="216"/>
        </w:trPr>
        <w:tc>
          <w:tcPr>
            <w:tcW w:w="4020" w:type="dxa"/>
            <w:vAlign w:val="bottom"/>
          </w:tcPr>
          <w:p>
            <w:pPr>
              <w:spacing w:after="0"/>
              <w:rPr>
                <w:sz w:val="18"/>
                <w:szCs w:val="18"/>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accompanying prospectus by following the procedures described under “Where You Can Find</w:t>
            </w:r>
          </w:p>
        </w:tc>
      </w:tr>
      <w:tr>
        <w:trPr>
          <w:trHeight w:val="234"/>
        </w:trPr>
        <w:tc>
          <w:tcPr>
            <w:tcW w:w="4020" w:type="dxa"/>
            <w:vAlign w:val="bottom"/>
          </w:tcPr>
          <w:p>
            <w:pPr>
              <w:spacing w:after="0"/>
              <w:rPr>
                <w:sz w:val="20"/>
                <w:szCs w:val="20"/>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More Information” on page 47 of the accompanying prospectus.</w:t>
            </w:r>
          </w:p>
        </w:tc>
      </w:tr>
      <w:tr>
        <w:trPr>
          <w:trHeight w:val="159"/>
        </w:trPr>
        <w:tc>
          <w:tcPr>
            <w:tcW w:w="4020" w:type="dxa"/>
            <w:vAlign w:val="bottom"/>
            <w:tcBorders>
              <w:bottom w:val="single" w:sz="8" w:color="auto"/>
            </w:tcBorders>
          </w:tcPr>
          <w:p>
            <w:pPr>
              <w:spacing w:after="0"/>
              <w:rPr>
                <w:sz w:val="13"/>
                <w:szCs w:val="13"/>
                <w:color w:val="auto"/>
              </w:rPr>
            </w:pPr>
          </w:p>
        </w:tc>
        <w:tc>
          <w:tcPr>
            <w:tcW w:w="7440" w:type="dxa"/>
            <w:vAlign w:val="bottom"/>
            <w:tcBorders>
              <w:bottom w:val="single" w:sz="8" w:color="auto"/>
            </w:tcBorders>
          </w:tcPr>
          <w:p>
            <w:pPr>
              <w:spacing w:after="0"/>
              <w:rPr>
                <w:sz w:val="13"/>
                <w:szCs w:val="13"/>
                <w:color w:val="auto"/>
              </w:rPr>
            </w:pPr>
          </w:p>
        </w:tc>
      </w:tr>
      <w:tr>
        <w:trPr>
          <w:trHeight w:val="361"/>
        </w:trPr>
        <w:tc>
          <w:tcPr>
            <w:tcW w:w="4020" w:type="dxa"/>
            <w:vAlign w:val="bottom"/>
          </w:tcPr>
          <w:p>
            <w:pPr>
              <w:spacing w:after="0"/>
              <w:rPr>
                <w:sz w:val="24"/>
                <w:szCs w:val="24"/>
                <w:color w:val="auto"/>
              </w:rPr>
            </w:pPr>
          </w:p>
        </w:tc>
        <w:tc>
          <w:tcPr>
            <w:tcW w:w="7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460"/>
          </w:cols>
          <w:pgMar w:left="240" w:top="455" w:right="1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significant degree of risk. Before you decide to purchase our common shares, you should carefully consider the following risk factors, together with all of the other information contained in or incorporated by reference into this prospectus supplement, including the additional risk factors in our Annual Report on Form 10-K for the year ended December 31, 2014, filed with the SEC on February 10, 2015.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You may experience significant dilution as a result of this offering and additional issuances of our securities, which could harm the market price of our common shares</w:t>
      </w:r>
    </w:p>
    <w:p>
      <w:pPr>
        <w:spacing w:after="0" w:line="5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through the Agents, based on market conditions and other factors that may be beyond our control.</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or otherwise, or as a result of the perception or expectation that such sales could occur.</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15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As of March 31, 2015, we had approximately $2.6 billion of debt outstanding, and 399,896 shares of our 5.417% Series 1 Cumulative Convertible Preferred Shares, or the Series 1 Preferred Shares,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potential acquisition opportunities, fund our development or redevelopment pipeline, repay amounts outstanding under our revolving credit facility, and/or for general corporate purposes. Our revolving credit facility bears interest at LIBOR plus 90 basis points and matures on April 21, 2017. Affiliates of the Agents are lenders under our revolving credit facility and will receive a pro rata portion of any proceeds used to repay amounts outstanding under our revolving credit facility.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separate equity distribution agreements, each dated as of May 11, 2015, with each of the Agents under which we may from time to time offer and sell common shares having an aggregate offering price of up to $300,000,000. 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As our sales agents, the Agents will not engage in any transactions that stabilize the price of our common shares.</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Upon its acceptance of written instructions from us, each Agent will use its commercially reasonable efforts, consistent with its sales and trading practices, to solicit offers to purchase our common shares under the terms and subject to the conditions set forth in the applicable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agreements will be sold through only one of the Agents on any given day. We or the Agents may suspend the offering of common shares upon proper notice and subject to other conditions.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relevant Agent will provide written confirmation to us no later than the opening of the NYSE on the trading day following the trading day in which common shares were sold under the applicable equity distribution agreement. Each confirmation will include the number of common shares sold on the preceding day, the net proceeds to us and the compensation payable by us to the Agent in connection with the sales.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will pay each Agent commissions for its services in acting as sales agent and/or principal in the sale of common shares. Each Agent will be entitled to compensation that will not exceed, but may be lower than, 2.0% of the gross sales price of all common shares sold through it under the applicable equity distribution agreement. We estimate that the total expenses for the offering, excluding compensation payable to the Agents under the terms of the equity distribution agreements, will be approximately $150,000. In connection with the sale of common shares on our behalf, the Agents may be deemed to be “underwriters” within the meaning of the Securities Act, and the compensation paid to the Agents may be deemed to be underwriting commissions and discounts.</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Settlement of sales of common shares will occur on the third business day following the date on which any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common shares sold through the Agents under the equity distribution agreements, the net proceeds to us and the compensation paid by us to the Agents in connection with the sales of common shares.</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Agents have determined that our common shares are “actively-traded securities” excepted from the requirements of Rule 101 of Regulation M under the Exchange Act by Rule 101(c)(1) under the Exchange Act. If either Agent has, or we have, reason to believe that the exemptive provisions set forth in Rule 101(c)(1) of Regulation M under the Exchange Act are not satisfied, the party will promptly notify the other parties, and sales of common shares under the equity distribution agreements will be suspended until that or other exemptive provisions have been satisfied in the judgment of the Agents and us.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offering of common shares pursuant to the equity distribution agreements will terminate upon the earlier of (1) the sale of common shares having an aggregate offering price of $300,000,000 pursuant to this offering and (2) with respect to a particular equity distribution agreement, the termination of such equity distribution agreement. Each equity distribution agreement may be terminated by the applicable Agent or us at any time upon three days’ notice, and by the applicable Agent at any time in certain circumstances, including our failure to maintain a listing of our common shares on the NYSE or the occurrence of a material adverse change in our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described above under “Use of Proceeds,” some of the net proceeds of this offering may be used to repay amounts outstanding under our revolving credit facility. Affiliates of the Agents are lenders under our revolving credit facility. Because affiliates of the Agents are lenders under our credit facility,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New York Stock Exchange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NYSE under the symbol “FRT.”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Pursuant to the equity distribution agreements, we have agreed to indemnify the Agents against certain liabilities, including liabilities under the Securities Act, or to contribute to payments the Agents may be required to make because of any of those liabilities.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schedules and management’s assessment of effectiveness of the internal control over financial reporting incorporated by reference into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New York, New York, will act as counsel to the Agents.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36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174625</wp:posOffset>
            </wp:positionV>
            <wp:extent cx="2255520" cy="909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risks. See “</w:t>
      </w:r>
      <w:hyperlink w:anchor="page1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207010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8, 2015.</w:t>
      </w:r>
    </w:p>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right="2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in a manner intended to enable us to qualify as a REIT pursuant to provisions of the Internal Revenue Code of 1986, as amended,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historical ratios of earnings to fixed charges and preferred share dividends for the periods indicated:</w:t>
      </w:r>
    </w:p>
    <w:p>
      <w:pPr>
        <w:spacing w:after="0" w:line="24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ind w:left="7160"/>
        <w:spacing w:after="0"/>
        <w:tabs>
          <w:tab w:leader="none" w:pos="8900" w:val="left"/>
        </w:tabs>
        <w:rPr>
          <w:sz w:val="20"/>
          <w:szCs w:val="20"/>
          <w:color w:val="auto"/>
        </w:rPr>
      </w:pPr>
      <w:r>
        <w:rPr>
          <w:rFonts w:ascii="Times New Roman" w:cs="Times New Roman" w:eastAsia="Times New Roman" w:hAnsi="Times New Roman"/>
          <w:sz w:val="14"/>
          <w:szCs w:val="14"/>
          <w:b w:val="1"/>
          <w:bCs w:val="1"/>
          <w:color w:val="auto"/>
        </w:rPr>
        <w:t>Ended March 31,</w:t>
      </w:r>
      <w:r>
        <w:rPr>
          <w:sz w:val="20"/>
          <w:szCs w:val="20"/>
          <w:color w:val="auto"/>
        </w:rPr>
        <w:tab/>
      </w: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line="233" w:lineRule="auto"/>
        <w:tabs>
          <w:tab w:leader="none" w:pos="8640" w:val="left"/>
          <w:tab w:leader="none" w:pos="9240" w:val="left"/>
          <w:tab w:leader="none" w:pos="9840" w:val="left"/>
          <w:tab w:leader="none" w:pos="10420" w:val="left"/>
          <w:tab w:leader="none" w:pos="1102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r>
        <w:rPr>
          <w:sz w:val="20"/>
          <w:szCs w:val="20"/>
          <w:color w:val="auto"/>
        </w:rPr>
        <w:tab/>
      </w: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2011</w:t>
      </w:r>
      <w:r>
        <w:rPr>
          <w:sz w:val="20"/>
          <w:szCs w:val="20"/>
          <w:color w:val="auto"/>
        </w:rPr>
        <w:tab/>
      </w:r>
      <w:r>
        <w:rPr>
          <w:rFonts w:ascii="Times New Roman" w:cs="Times New Roman" w:eastAsia="Times New Roman" w:hAnsi="Times New Roman"/>
          <w:sz w:val="14"/>
          <w:szCs w:val="14"/>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w:t>
      </w:r>
    </w:p>
    <w:p>
      <w:pPr>
        <w:spacing w:after="0" w:line="27" w:lineRule="exact"/>
        <w:rPr>
          <w:sz w:val="20"/>
          <w:szCs w:val="20"/>
          <w:color w:val="auto"/>
        </w:rPr>
      </w:pPr>
    </w:p>
    <w:p>
      <w:pPr>
        <w:ind w:right="200" w:firstLine="8"/>
        <w:spacing w:after="0" w:line="254"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8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67"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78"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13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 determining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date or dates.</w:t>
      </w:r>
    </w:p>
    <w:p>
      <w:pPr>
        <w:spacing w:after="0" w:line="60" w:lineRule="exact"/>
        <w:rPr>
          <w:rFonts w:ascii="Times New Roman" w:cs="Times New Roman" w:eastAsia="Times New Roman" w:hAnsi="Times New Roman"/>
          <w:sz w:val="18"/>
          <w:szCs w:val="18"/>
          <w:color w:val="auto"/>
        </w:rPr>
      </w:pPr>
    </w:p>
    <w:p>
      <w:pPr>
        <w:ind w:left="900" w:right="30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such rate or rates.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900" w:right="52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900" w:right="4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jc w:val="both"/>
        <w:ind w:left="900" w:right="100" w:hanging="446"/>
        <w:spacing w:after="0" w:line="268"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900" w:right="360" w:hanging="446"/>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2" w:lineRule="exact"/>
        <w:rPr>
          <w:rFonts w:ascii="Times New Roman" w:cs="Times New Roman" w:eastAsia="Times New Roman" w:hAnsi="Times New Roman"/>
          <w:sz w:val="18"/>
          <w:szCs w:val="18"/>
          <w:color w:val="auto"/>
        </w:rPr>
      </w:pPr>
    </w:p>
    <w:p>
      <w:pPr>
        <w:ind w:left="900" w:right="12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 reference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900" w:right="52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900" w:right="62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900" w:right="100" w:hanging="446"/>
        <w:spacing w:after="0" w:line="28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 persons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taxes, assessments or similar charges.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8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debt securities.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900" w:right="22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 permanent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2" w:lineRule="exact"/>
        <w:rPr>
          <w:rFonts w:ascii="Times New Roman" w:cs="Times New Roman" w:eastAsia="Times New Roman" w:hAnsi="Times New Roman"/>
          <w:sz w:val="18"/>
          <w:szCs w:val="18"/>
          <w:color w:val="auto"/>
        </w:rPr>
      </w:pPr>
    </w:p>
    <w:p>
      <w:pPr>
        <w:ind w:left="900" w:right="180" w:hanging="446"/>
        <w:spacing w:after="0" w:line="268"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900" w:right="44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and the manner in which, or the person to whom, any interest on any bearer securities of the series will be payable.</w:t>
      </w:r>
    </w:p>
    <w:p>
      <w:pPr>
        <w:spacing w:after="0" w:line="60" w:lineRule="exact"/>
        <w:rPr>
          <w:rFonts w:ascii="Times New Roman" w:cs="Times New Roman" w:eastAsia="Times New Roman" w:hAnsi="Times New Roman"/>
          <w:sz w:val="18"/>
          <w:szCs w:val="18"/>
          <w:color w:val="auto"/>
        </w:rPr>
      </w:pPr>
    </w:p>
    <w:p>
      <w:pPr>
        <w:ind w:left="900" w:right="32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indenture, including, without limitation, the definition of “unrestricted subsidiary” to be used for such series.</w:t>
      </w:r>
    </w:p>
    <w:p>
      <w:pPr>
        <w:spacing w:after="0" w:line="60" w:lineRule="exact"/>
        <w:rPr>
          <w:rFonts w:ascii="Times New Roman" w:cs="Times New Roman" w:eastAsia="Times New Roman" w:hAnsi="Times New Roman"/>
          <w:sz w:val="18"/>
          <w:szCs w:val="18"/>
          <w:color w:val="auto"/>
        </w:rPr>
      </w:pPr>
    </w:p>
    <w:p>
      <w:pPr>
        <w:ind w:left="900" w:right="14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to or junior to other debt securities, whether currently outstanding or to be offered in the future, and to other debt, in right of payment.</w:t>
      </w:r>
    </w:p>
    <w:p>
      <w:pPr>
        <w:spacing w:after="0" w:line="60" w:lineRule="exact"/>
        <w:rPr>
          <w:rFonts w:ascii="Times New Roman" w:cs="Times New Roman" w:eastAsia="Times New Roman" w:hAnsi="Times New Roman"/>
          <w:sz w:val="18"/>
          <w:szCs w:val="18"/>
          <w:color w:val="auto"/>
        </w:rPr>
      </w:pPr>
    </w:p>
    <w:p>
      <w:pPr>
        <w:ind w:left="900" w:right="22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jc w:val="both"/>
        <w:ind w:left="900" w:right="180" w:hanging="446"/>
        <w:spacing w:after="0" w:line="268"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our common shares,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or advisable under U.S. laws or regulations or advisable, as we determine, in connection with marketing of securities of the series.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900" w:right="38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jc w:val="both"/>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 amounts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debt securities is U.S. Bank National Association, 214 North Tryon Street,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80"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series of debt securities;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5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dates by which we would have been required to file annual reports, quarterly reports and other documents with the SEC if we were so subject:</w:t>
      </w:r>
    </w:p>
    <w:p>
      <w:pPr>
        <w:spacing w:after="0" w:line="64" w:lineRule="exact"/>
        <w:rPr>
          <w:sz w:val="20"/>
          <w:szCs w:val="20"/>
          <w:color w:val="auto"/>
        </w:rPr>
      </w:pPr>
    </w:p>
    <w:p>
      <w:pPr>
        <w:jc w:val="both"/>
        <w:ind w:left="900" w:right="200" w:hanging="446"/>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13"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4"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460" w:right="140" w:hanging="547"/>
        <w:spacing w:after="0" w:line="266" w:lineRule="auto"/>
        <w:tabs>
          <w:tab w:leader="none" w:pos="1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900" w:right="140" w:hanging="446"/>
        <w:spacing w:after="0" w:line="26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2"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900" w:right="7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460" w:right="60" w:hanging="547"/>
        <w:spacing w:after="0" w:line="266"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1" w:lineRule="exact"/>
        <w:rPr>
          <w:rFonts w:ascii="Times New Roman" w:cs="Times New Roman" w:eastAsia="Times New Roman" w:hAnsi="Times New Roman"/>
          <w:sz w:val="18"/>
          <w:szCs w:val="18"/>
          <w:color w:val="auto"/>
        </w:rPr>
      </w:pPr>
    </w:p>
    <w:p>
      <w:pPr>
        <w:ind w:left="1460" w:right="80" w:hanging="547"/>
        <w:spacing w:after="0" w:line="282"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203"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not:</w:t>
      </w:r>
    </w:p>
    <w:p>
      <w:pPr>
        <w:spacing w:after="0" w:line="64"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5660" w:right="2000" w:hanging="5206"/>
        <w:spacing w:after="0" w:line="454" w:lineRule="auto"/>
        <w:tabs>
          <w:tab w:leader="none" w:pos="8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2"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right="140" w:firstLine="464"/>
        <w:spacing w:after="0" w:line="282" w:lineRule="auto"/>
        <w:tabs>
          <w:tab w:leader="none" w:pos="6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right="280" w:firstLine="464"/>
        <w:spacing w:after="0" w:line="282" w:lineRule="auto"/>
        <w:tabs>
          <w:tab w:leader="none" w:pos="6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225" w:lineRule="exact"/>
        <w:rPr>
          <w:rFonts w:ascii="Times New Roman" w:cs="Times New Roman" w:eastAsia="Times New Roman" w:hAnsi="Times New Roman"/>
          <w:sz w:val="18"/>
          <w:szCs w:val="18"/>
          <w:color w:val="auto"/>
        </w:rPr>
      </w:pPr>
    </w:p>
    <w:p>
      <w:pPr>
        <w:ind w:firstLine="464"/>
        <w:spacing w:after="0" w:line="266" w:lineRule="auto"/>
        <w:tabs>
          <w:tab w:leader="none" w:pos="6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700" w:hanging="23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55" w:lineRule="auto"/>
        <w:tabs>
          <w:tab w:leader="none" w:pos="6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8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54" w:lineRule="auto"/>
        <w:tabs>
          <w:tab w:leader="none" w:pos="7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 10</w:t>
      </w:r>
    </w:p>
    <w:p>
      <w:pPr>
        <w:sectPr>
          <w:pgSz w:w="11900" w:h="16838" w:orient="portrait"/>
          <w:cols w:equalWidth="0" w:num="1">
            <w:col w:w="11360"/>
          </w:cols>
          <w:pgMar w:left="240" w:top="455" w:right="2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 days.</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series.</w:t>
      </w:r>
    </w:p>
    <w:p>
      <w:pPr>
        <w:spacing w:after="0" w:line="221"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 waive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past default except for:</w:t>
      </w:r>
    </w:p>
    <w:p>
      <w:pPr>
        <w:spacing w:after="0" w:line="64"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80"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460" w:right="660" w:hanging="547"/>
        <w:spacing w:after="0" w:line="282" w:lineRule="auto"/>
        <w:tabs>
          <w:tab w:leader="none" w:pos="14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series and any related coupons,</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460" w:right="120" w:hanging="547"/>
        <w:spacing w:after="0" w:line="282" w:lineRule="auto"/>
        <w:tabs>
          <w:tab w:leader="none" w:pos="14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900" w:right="68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 than 120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 securities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2" w:lineRule="exact"/>
        <w:rPr>
          <w:sz w:val="20"/>
          <w:szCs w:val="20"/>
          <w:color w:val="auto"/>
        </w:rPr>
      </w:pPr>
    </w:p>
    <w:p>
      <w:pPr>
        <w:ind w:left="900" w:right="2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900" w:right="200" w:hanging="446"/>
        <w:spacing w:after="0" w:line="313"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series:</w:t>
      </w:r>
    </w:p>
    <w:p>
      <w:pPr>
        <w:spacing w:after="0" w:line="67"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w:t>
      </w:r>
    </w:p>
    <w:p>
      <w:pPr>
        <w:spacing w:after="0" w:line="27" w:lineRule="exact"/>
        <w:rPr>
          <w:rFonts w:ascii="Times New Roman" w:cs="Times New Roman" w:eastAsia="Times New Roman" w:hAnsi="Times New Roman"/>
          <w:sz w:val="18"/>
          <w:szCs w:val="18"/>
          <w:color w:val="auto"/>
        </w:rPr>
      </w:pPr>
    </w:p>
    <w:p>
      <w:pPr>
        <w:ind w:left="90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2"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2" w:lineRule="exact"/>
        <w:rPr>
          <w:sz w:val="20"/>
          <w:szCs w:val="20"/>
          <w:color w:val="auto"/>
        </w:rPr>
      </w:pPr>
    </w:p>
    <w:p>
      <w:pPr>
        <w:ind w:left="900" w:right="220" w:hanging="446"/>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64"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series of outstanding debt security;</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900" w:right="820" w:hanging="446"/>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ind w:left="900" w:right="140" w:hanging="446"/>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900" w:right="14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130"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67"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9" w:lineRule="exact"/>
        <w:rPr>
          <w:sz w:val="20"/>
          <w:szCs w:val="20"/>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72"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the following actions without approval by you or any shareholder:</w:t>
      </w:r>
    </w:p>
    <w:p>
      <w:pPr>
        <w:spacing w:after="0" w:line="64" w:lineRule="exact"/>
        <w:rPr>
          <w:sz w:val="20"/>
          <w:szCs w:val="20"/>
          <w:color w:val="auto"/>
        </w:rPr>
      </w:pPr>
    </w:p>
    <w:p>
      <w:pPr>
        <w:ind w:left="900" w:right="280" w:hanging="446"/>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8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2" w:lineRule="exact"/>
        <w:rPr>
          <w:sz w:val="20"/>
          <w:szCs w:val="20"/>
          <w:color w:val="auto"/>
        </w:rPr>
      </w:pPr>
    </w:p>
    <w:p>
      <w:pPr>
        <w:jc w:val="both"/>
        <w:ind w:left="900" w:right="120" w:hanging="446"/>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85"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6" w:lineRule="exact"/>
        <w:rPr>
          <w:sz w:val="20"/>
          <w:szCs w:val="20"/>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jc w:val="both"/>
        <w:ind w:right="2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LLC, New York,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7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prior to the common shares with respect to the payment of dividends and the distribution of assets upon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6"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purpose, cumulative preferential dividends payable in cash at a rate of 5.417% of the liquidation price of $25, which is equivalent to $1.35425 per annum.</w:t>
      </w:r>
    </w:p>
    <w:p>
      <w:pPr>
        <w:spacing w:after="0" w:line="155"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per share, plus all accrued and unpaid dividends, before any distribution shall be made with respect to the common shares.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Subject to other applicable provisions within the articles supplementary for the Series 1 preferred shares, from the date of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Series 1 preferred shares shall be convertible, at the option of each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2"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American Stock Transfer &amp; Trust Company,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 terms:</w:t>
      </w:r>
    </w:p>
    <w:p>
      <w:pPr>
        <w:spacing w:after="0" w:line="135"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6"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rights upon our liquidation, dissolution or winding up, rank:</w:t>
      </w:r>
    </w:p>
    <w:p>
      <w:pPr>
        <w:spacing w:after="0" w:line="64" w:lineRule="exact"/>
        <w:rPr>
          <w:sz w:val="20"/>
          <w:szCs w:val="20"/>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71"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supplement relating to the offering of those preferred shares. These terms typically will include:</w:t>
      </w:r>
    </w:p>
    <w:p>
      <w:pPr>
        <w:spacing w:after="0" w:line="64" w:lineRule="exact"/>
        <w:rPr>
          <w:sz w:val="20"/>
          <w:szCs w:val="20"/>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right="6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117"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 evidencing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3" w:lineRule="exact"/>
        <w:rPr>
          <w:sz w:val="20"/>
          <w:szCs w:val="20"/>
          <w:color w:val="auto"/>
        </w:rPr>
      </w:pPr>
    </w:p>
    <w:p>
      <w:pPr>
        <w:ind w:right="2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900" w:right="740" w:hanging="446"/>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a notice to us of its election to do so. Additionally,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77"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7"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 furnish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900" w:right="20" w:hanging="446"/>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1"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2"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460" w:right="580" w:hanging="547"/>
        <w:spacing w:after="0" w:line="282" w:lineRule="auto"/>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5620" w:right="2940" w:hanging="5166"/>
        <w:spacing w:after="0" w:line="454" w:lineRule="auto"/>
        <w:tabs>
          <w:tab w:leader="none" w:pos="8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 24</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71"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less than five or more than 10. Under Maryland law and our declaration of trust, trustees are elected for one-year terms.</w:t>
      </w:r>
    </w:p>
    <w:p>
      <w:pPr>
        <w:spacing w:after="0" w:line="155"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900" w:right="20" w:hanging="446"/>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88"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 are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of Liability of Trustees and Officers. </w:t>
      </w:r>
      <w:r>
        <w:rPr>
          <w:rFonts w:ascii="Times New Roman" w:cs="Times New Roman" w:eastAsia="Times New Roman" w:hAnsi="Times New Roman"/>
          <w:sz w:val="18"/>
          <w:szCs w:val="18"/>
          <w:color w:val="auto"/>
        </w:rPr>
        <w:t>Our declaration of trust, to the maximum extent permitted under Maryland law in effect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9"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right="220" w:firstLine="456"/>
        <w:spacing w:after="0" w:line="313" w:lineRule="auto"/>
        <w:rPr>
          <w:sz w:val="20"/>
          <w:szCs w:val="20"/>
          <w:color w:val="auto"/>
        </w:rPr>
      </w:pPr>
      <w:r>
        <w:rPr>
          <w:rFonts w:ascii="Times New Roman" w:cs="Times New Roman" w:eastAsia="Times New Roman" w:hAnsi="Times New Roman"/>
          <w:sz w:val="17"/>
          <w:szCs w:val="17"/>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38"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2" w:lineRule="exact"/>
        <w:rPr>
          <w:sz w:val="20"/>
          <w:szCs w:val="20"/>
          <w:color w:val="auto"/>
        </w:rPr>
      </w:pPr>
    </w:p>
    <w:p>
      <w:pPr>
        <w:ind w:left="900" w:right="34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any items of tax preference that we do not distribute or allocate to our shareholders;</w:t>
      </w:r>
    </w:p>
    <w:p>
      <w:pPr>
        <w:spacing w:after="0" w:line="130" w:lineRule="exact"/>
        <w:rPr>
          <w:rFonts w:ascii="Times New Roman" w:cs="Times New Roman" w:eastAsia="Times New Roman" w:hAnsi="Times New Roman"/>
          <w:sz w:val="18"/>
          <w:szCs w:val="18"/>
          <w:color w:val="auto"/>
        </w:rPr>
      </w:pPr>
    </w:p>
    <w:p>
      <w:pPr>
        <w:jc w:val="both"/>
        <w:ind w:left="900" w:right="60" w:hanging="446"/>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w:t>
      </w:r>
    </w:p>
    <w:p>
      <w:pPr>
        <w:spacing w:after="0" w:line="27" w:lineRule="exact"/>
        <w:rPr>
          <w:rFonts w:ascii="Times New Roman" w:cs="Times New Roman" w:eastAsia="Times New Roman" w:hAnsi="Times New Roman"/>
          <w:sz w:val="18"/>
          <w:szCs w:val="18"/>
          <w:color w:val="auto"/>
        </w:rPr>
      </w:pPr>
    </w:p>
    <w:p>
      <w:pPr>
        <w:ind w:left="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1"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1"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900" w:right="160" w:hanging="446"/>
        <w:spacing w:after="0" w:line="25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900" w:right="940" w:hanging="446"/>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900" w:right="80" w:hanging="446"/>
        <w:spacing w:after="0" w:line="25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93" w:lineRule="exact"/>
        <w:rPr>
          <w:rFonts w:ascii="Times New Roman" w:cs="Times New Roman" w:eastAsia="Times New Roman" w:hAnsi="Times New Roman"/>
          <w:sz w:val="18"/>
          <w:szCs w:val="18"/>
          <w:color w:val="auto"/>
        </w:rPr>
      </w:pPr>
    </w:p>
    <w:p>
      <w:pPr>
        <w:ind w:left="900" w:right="100" w:hanging="446"/>
        <w:spacing w:after="0" w:line="261"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There are various limitations on whether rent that we receive from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that we own and lease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900" w:hanging="446"/>
        <w:spacing w:after="0" w:line="277"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73" w:lineRule="exact"/>
        <w:rPr>
          <w:rFonts w:ascii="Times New Roman" w:cs="Times New Roman" w:eastAsia="Times New Roman" w:hAnsi="Times New Roman"/>
          <w:sz w:val="17"/>
          <w:szCs w:val="17"/>
          <w:color w:val="auto"/>
        </w:rPr>
      </w:pPr>
    </w:p>
    <w:p>
      <w:pPr>
        <w:ind w:left="900" w:hanging="446"/>
        <w:spacing w:after="0" w:line="253"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6" w:lineRule="exact"/>
        <w:rPr>
          <w:rFonts w:ascii="Times New Roman" w:cs="Times New Roman" w:eastAsia="Times New Roman" w:hAnsi="Times New Roman"/>
          <w:sz w:val="18"/>
          <w:szCs w:val="18"/>
          <w:color w:val="auto"/>
        </w:rPr>
      </w:pPr>
    </w:p>
    <w:p>
      <w:pPr>
        <w:ind w:left="900" w:right="100" w:hanging="446"/>
        <w:spacing w:after="0" w:line="256"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93" w:lineRule="exact"/>
        <w:rPr>
          <w:rFonts w:ascii="Times New Roman" w:cs="Times New Roman" w:eastAsia="Times New Roman" w:hAnsi="Times New Roman"/>
          <w:sz w:val="18"/>
          <w:szCs w:val="18"/>
          <w:color w:val="auto"/>
        </w:rPr>
      </w:pPr>
    </w:p>
    <w:p>
      <w:pPr>
        <w:ind w:left="900" w:right="60" w:hanging="446"/>
        <w:spacing w:after="0" w:line="255"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94" w:lineRule="exact"/>
        <w:rPr>
          <w:rFonts w:ascii="Times New Roman" w:cs="Times New Roman" w:eastAsia="Times New Roman" w:hAnsi="Times New Roman"/>
          <w:sz w:val="18"/>
          <w:szCs w:val="18"/>
          <w:color w:val="auto"/>
        </w:rPr>
      </w:pPr>
    </w:p>
    <w:p>
      <w:pPr>
        <w:ind w:left="900" w:right="140" w:hanging="446"/>
        <w:spacing w:after="0" w:line="254"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 indirectly,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81" w:lineRule="exact"/>
        <w:rPr>
          <w:sz w:val="20"/>
          <w:szCs w:val="20"/>
          <w:color w:val="auto"/>
        </w:rPr>
      </w:pPr>
    </w:p>
    <w:p>
      <w:pPr>
        <w:jc w:val="both"/>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Our share of any dividends received from any corporation (including any taxable REIT subsidiary, but excluding any REIT)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71"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2" w:lineRule="exact"/>
        <w:rPr>
          <w:sz w:val="20"/>
          <w:szCs w:val="20"/>
          <w:color w:val="auto"/>
        </w:rPr>
      </w:pPr>
    </w:p>
    <w:p>
      <w:pPr>
        <w:ind w:left="900" w:right="160" w:hanging="446"/>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jc w:val="both"/>
        <w:ind w:left="900" w:right="180" w:hanging="446"/>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900" w:right="140" w:hanging="446"/>
        <w:spacing w:after="0" w:line="266"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7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7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We may dispose of properties in transactions intended to qualify as like-kind exchanges under the Code. Such like-kind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Relief from Consequences of Failing to Meet Income Tests. </w:t>
      </w:r>
      <w:r>
        <w:rPr>
          <w:rFonts w:ascii="Times New Roman" w:cs="Times New Roman" w:eastAsia="Times New Roman" w:hAnsi="Times New Roman"/>
          <w:sz w:val="17"/>
          <w:szCs w:val="17"/>
          <w:color w:val="auto"/>
        </w:rPr>
        <w:t>If we fail to satisfy one or both of the 75% and 95% gross income tests for any taxable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ind w:right="360"/>
        <w:spacing w:after="0" w:line="261" w:lineRule="auto"/>
        <w:rPr>
          <w:sz w:val="20"/>
          <w:szCs w:val="20"/>
          <w:color w:val="auto"/>
        </w:rPr>
      </w:pPr>
      <w:r>
        <w:rPr>
          <w:rFonts w:ascii="Times New Roman" w:cs="Times New Roman" w:eastAsia="Times New Roman" w:hAnsi="Times New Roman"/>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Tests. </w:t>
      </w:r>
      <w:r>
        <w:rPr>
          <w:rFonts w:ascii="Times New Roman" w:cs="Times New Roman" w:eastAsia="Times New Roman" w:hAnsi="Times New Roman"/>
          <w:sz w:val="18"/>
          <w:szCs w:val="18"/>
          <w:color w:val="auto"/>
        </w:rPr>
        <w:t>To maintain our qualification as a REIT, we also must satisfy the following asset tests at the close of each quarter of each taxable year:</w:t>
      </w:r>
    </w:p>
    <w:p>
      <w:pPr>
        <w:spacing w:after="0" w:line="135" w:lineRule="exact"/>
        <w:rPr>
          <w:sz w:val="20"/>
          <w:szCs w:val="20"/>
          <w:color w:val="auto"/>
        </w:rPr>
      </w:pPr>
    </w:p>
    <w:p>
      <w:pPr>
        <w:ind w:left="900" w:right="400" w:hanging="446"/>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460" w:right="260" w:hanging="547"/>
        <w:spacing w:after="0" w:line="282" w:lineRule="auto"/>
        <w:tabs>
          <w:tab w:leader="none" w:pos="14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our properties qualify as real estate assets.</w:t>
      </w:r>
    </w:p>
    <w:p>
      <w:pPr>
        <w:spacing w:after="0" w:line="67" w:lineRule="exact"/>
        <w:rPr>
          <w:rFonts w:ascii="Times New Roman" w:cs="Times New Roman" w:eastAsia="Times New Roman" w:hAnsi="Times New Roman"/>
          <w:sz w:val="18"/>
          <w:szCs w:val="18"/>
          <w:color w:val="auto"/>
        </w:rPr>
      </w:pPr>
    </w:p>
    <w:p>
      <w:pPr>
        <w:jc w:val="both"/>
        <w:ind w:left="1460" w:right="80" w:hanging="547"/>
        <w:spacing w:after="0" w:line="266" w:lineRule="auto"/>
        <w:tabs>
          <w:tab w:leader="none" w:pos="14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460" w:right="180" w:hanging="547"/>
        <w:spacing w:after="0" w:line="282" w:lineRule="auto"/>
        <w:tabs>
          <w:tab w:leader="none" w:pos="14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900" w:hanging="446"/>
        <w:spacing w:after="0" w:line="253"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57"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spacing w:after="0" w:line="2" w:lineRule="exact"/>
        <w:rPr>
          <w:sz w:val="20"/>
          <w:szCs w:val="20"/>
          <w:color w:val="auto"/>
        </w:rPr>
      </w:pPr>
    </w:p>
    <w:p>
      <w:pPr>
        <w:ind w:right="300" w:firstLine="8"/>
        <w:spacing w:after="0" w:line="261"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8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89"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4"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right="40" w:firstLine="456"/>
        <w:spacing w:after="0" w:line="271" w:lineRule="auto"/>
        <w:rPr>
          <w:sz w:val="20"/>
          <w:szCs w:val="20"/>
          <w:color w:val="auto"/>
        </w:rPr>
      </w:pPr>
      <w:r>
        <w:rPr>
          <w:rFonts w:ascii="Times New Roman" w:cs="Times New Roman" w:eastAsia="Times New Roman" w:hAnsi="Times New Roman"/>
          <w:sz w:val="17"/>
          <w:szCs w:val="17"/>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7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 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5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ind w:firstLine="8"/>
        <w:spacing w:after="0" w:line="252" w:lineRule="auto"/>
        <w:tabs>
          <w:tab w:leader="none" w:pos="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9" w:lineRule="exact"/>
        <w:rPr>
          <w:sz w:val="20"/>
          <w:szCs w:val="20"/>
          <w:color w:val="auto"/>
        </w:rPr>
      </w:pPr>
    </w:p>
    <w:p>
      <w:pPr>
        <w:ind w:right="20" w:firstLine="456"/>
        <w:spacing w:after="0" w:line="272" w:lineRule="auto"/>
        <w:rPr>
          <w:sz w:val="20"/>
          <w:szCs w:val="20"/>
          <w:color w:val="auto"/>
        </w:rPr>
      </w:pPr>
      <w:r>
        <w:rPr>
          <w:rFonts w:ascii="Times New Roman" w:cs="Times New Roman" w:eastAsia="Times New Roman" w:hAnsi="Times New Roman"/>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7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8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4"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stock dividend.</w:t>
      </w:r>
    </w:p>
    <w:p>
      <w:pPr>
        <w:spacing w:after="0" w:line="18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2" w:lineRule="exact"/>
        <w:rPr>
          <w:sz w:val="20"/>
          <w:szCs w:val="20"/>
          <w:color w:val="auto"/>
        </w:rPr>
      </w:pPr>
    </w:p>
    <w:p>
      <w:pPr>
        <w:ind w:left="900" w:hanging="446"/>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2" w:lineRule="exact"/>
        <w:rPr>
          <w:sz w:val="20"/>
          <w:szCs w:val="20"/>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7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 States,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3" w:lineRule="exact"/>
        <w:rPr>
          <w:sz w:val="20"/>
          <w:szCs w:val="20"/>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30"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Certain foreign financial institutions and non-financial foreign entities are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State and Local Taxes. </w:t>
      </w:r>
      <w:r>
        <w:rPr>
          <w:rFonts w:ascii="Times New Roman" w:cs="Times New Roman" w:eastAsia="Times New Roman" w:hAnsi="Times New Roman"/>
          <w:sz w:val="17"/>
          <w:szCs w:val="17"/>
          <w:color w:val="auto"/>
        </w:rPr>
        <w:t>We and/or you may be subject to state and local tax in various states and localities, including those states and localities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w:t>
      </w:r>
    </w:p>
    <w:p>
      <w:pPr>
        <w:spacing w:after="0" w:line="27"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(3) in “at the market offerings” to or through a market maker or into an existing trading market or securities exchange or otherwise;</w:t>
      </w:r>
    </w:p>
    <w:p>
      <w:pPr>
        <w:spacing w:after="0" w:line="9" w:lineRule="exact"/>
        <w:rPr>
          <w:rFonts w:ascii="Times New Roman" w:cs="Times New Roman" w:eastAsia="Times New Roman" w:hAnsi="Times New Roman"/>
          <w:sz w:val="18"/>
          <w:szCs w:val="18"/>
          <w:color w:val="auto"/>
        </w:rPr>
      </w:pPr>
    </w:p>
    <w:p>
      <w:pPr>
        <w:ind w:right="20" w:firstLine="8"/>
        <w:spacing w:after="0" w:line="254"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8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62"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2014, filed with the SEC on February 10,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for our 2015 Annual Meeting of Shareholders, filed with the SEC on March 27,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2015, filed with the SEC on May 7,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10, 2015 (with disclosures under Item 5.02) and March 17, 2015;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color w:val="auto"/>
        </w:rPr>
        <w:t xml:space="preserve">Copies of our SEC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Set forth below are the amounts of fees and expenses (other than underwriting discounts and commissions) we will pay in connection with the offering of our securities.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Mailing Costs</w:t>
            </w:r>
          </w:p>
        </w:tc>
        <w:tc>
          <w:tcPr>
            <w:tcW w:w="2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p>
        </w:tc>
      </w:tr>
      <w:tr>
        <w:trPr>
          <w:trHeight w:val="20"/>
        </w:trPr>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we are deferring payment of the registration fee for the securities offered by this prospectus.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such fees and expenses are based on the securities offered and the number of issuances and accordingly are presently unknown.</w:t>
      </w:r>
    </w:p>
    <w:p>
      <w:pPr>
        <w:spacing w:after="0" w:line="3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91" w:lineRule="exact"/>
        <w:rPr>
          <w:sz w:val="20"/>
          <w:szCs w:val="20"/>
          <w:color w:val="auto"/>
        </w:rPr>
      </w:pPr>
    </w:p>
    <w:p>
      <w:pPr>
        <w:ind w:right="68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as noted, are filed herewith, previously have been filed, or will be filed by amendment.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80" w:type="dxa"/>
            <w:vAlign w:val="bottom"/>
          </w:tcPr>
          <w:p>
            <w:pPr>
              <w:spacing w:after="0"/>
              <w:rPr>
                <w:sz w:val="16"/>
                <w:szCs w:val="16"/>
                <w:color w:val="auto"/>
              </w:rPr>
            </w:pPr>
          </w:p>
        </w:tc>
      </w:tr>
      <w:tr>
        <w:trPr>
          <w:trHeight w:val="30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Underwriting Agreement for Debt Securities*</w:t>
            </w:r>
          </w:p>
        </w:tc>
      </w:tr>
      <w:tr>
        <w:trPr>
          <w:trHeight w:val="32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1.2</w:t>
            </w: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Underwriting Agreement for Equity Securities*</w:t>
            </w:r>
          </w:p>
        </w:tc>
      </w:tr>
      <w:tr>
        <w:trPr>
          <w:trHeight w:val="306"/>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3.1</w:t>
            </w: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of Trust of Federal Realty Investment Trust dated May 6, 2009 (previously filed as Exhibit 3.1 to the Trust’s Registration Statement on</w:t>
            </w:r>
          </w:p>
        </w:tc>
      </w:tr>
      <w:tr>
        <w:trPr>
          <w:trHeight w:val="234"/>
        </w:trPr>
        <w:tc>
          <w:tcPr>
            <w:tcW w:w="720" w:type="dxa"/>
            <w:vAlign w:val="bottom"/>
          </w:tcPr>
          <w:p>
            <w:pPr>
              <w:spacing w:after="0"/>
              <w:rPr>
                <w:sz w:val="20"/>
                <w:szCs w:val="20"/>
                <w:color w:val="auto"/>
              </w:rPr>
            </w:pPr>
          </w:p>
        </w:tc>
        <w:tc>
          <w:tcPr>
            <w:tcW w:w="105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S-3 (File No. 333-160009) and incorporated herein by reference)</w:t>
            </w:r>
          </w:p>
        </w:tc>
      </w:tr>
      <w:tr>
        <w:trPr>
          <w:trHeight w:val="365"/>
        </w:trPr>
        <w:tc>
          <w:tcPr>
            <w:tcW w:w="720" w:type="dxa"/>
            <w:vAlign w:val="bottom"/>
          </w:tcPr>
          <w:p>
            <w:pPr>
              <w:spacing w:after="0"/>
              <w:rPr>
                <w:sz w:val="24"/>
                <w:szCs w:val="24"/>
                <w:color w:val="auto"/>
              </w:rPr>
            </w:pPr>
          </w:p>
        </w:tc>
        <w:tc>
          <w:tcPr>
            <w:tcW w:w="53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80" w:type="dxa"/>
            <w:vAlign w:val="bottom"/>
          </w:tcPr>
          <w:p>
            <w:pPr>
              <w:spacing w:after="0"/>
              <w:rPr>
                <w:sz w:val="16"/>
                <w:szCs w:val="16"/>
                <w:color w:val="auto"/>
              </w:rPr>
            </w:pPr>
          </w:p>
        </w:tc>
      </w:tr>
      <w:tr>
        <w:trPr>
          <w:trHeight w:val="28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3.2</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February 17, 2006 and May 6, 2009 (previously filed as Exhibit 3.2 to the Trust’s Registration Statement on Form S-3 (File No. 333-</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160009)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Specimen Common Share certificate (previously filed as Exhibit 4(i) to the Trust’s Annual Report on Form 10-K for the year ended</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December 31, 1999 (File No. 1-07533)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4.2</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as Exhibit 4.1 to the Trust’s Current Report on Form 8-K filed on March 13, 2007, (File No. 1-07533) and incorporated herein by</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4.3</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August 1, 2027; (previously filed as Exhibit 4(a) to the Trust’s Registration Statement on Form S-3 (File No. 33-51029), and amended on</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S-3 (File No. 33-63687), filed on December 13, 1993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4.4</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Indenture dated September 1, 1998 related to the Trust’s 5.90% Notes due 2020; 3.00% Notes due 2022; 2.75% Notes due 2023; 3.95%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Notes due 2024 and 4.50% Notes due 2044 (previously filed as Exhibit 4(a) to the Trust’s Registration Statement on Form S-3 (File</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 333-63619) filed on September 17, 1998 and incorporated herein by reference)</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4.5</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Subordinated Indenture*</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4.6</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4.7</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Certificate for Preferred Shares*</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4.8</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Deposit Agreement and Depositary Receipt*</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8.1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12.1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Statement of Computation of Ratios of Earnings to Fixed Charges and Preferred Share Dividends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23.1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Consent of Grant Thornton LLP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23.2</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Consent of Pillsbury Winthrop Shaw Pittman LLP (included in Exhibits 5.1 and 8.1).</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24.1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Power of Attorney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25.1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620" w:right="3140" w:hanging="5612"/>
        <w:spacing w:after="0" w:line="454" w:lineRule="auto"/>
        <w:tabs>
          <w:tab w:leader="none" w:pos="2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offered securities. 51</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17" w:lineRule="exact"/>
        <w:rPr>
          <w:rFonts w:ascii="Times New Roman" w:cs="Times New Roman" w:eastAsia="Times New Roman" w:hAnsi="Times New Roman"/>
          <w:sz w:val="18"/>
          <w:szCs w:val="18"/>
          <w:color w:val="auto"/>
        </w:rPr>
      </w:pPr>
    </w:p>
    <w:p>
      <w:pPr>
        <w:ind w:left="920" w:firstLine="421"/>
        <w:spacing w:after="0" w:line="255" w:lineRule="auto"/>
        <w:tabs>
          <w:tab w:leader="none" w:pos="1605"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8"/>
          <w:szCs w:val="18"/>
          <w:color w:val="auto"/>
        </w:rPr>
      </w:pPr>
    </w:p>
    <w:p>
      <w:pPr>
        <w:ind w:left="920" w:right="60" w:firstLine="421"/>
        <w:spacing w:after="0" w:line="282" w:lineRule="auto"/>
        <w:tabs>
          <w:tab w:leader="none" w:pos="1655"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2" w:lineRule="exact"/>
        <w:rPr>
          <w:sz w:val="20"/>
          <w:szCs w:val="20"/>
          <w:color w:val="auto"/>
        </w:rPr>
      </w:pPr>
    </w:p>
    <w:p>
      <w:pPr>
        <w:jc w:val="both"/>
        <w:ind w:left="460" w:right="40" w:firstLine="443"/>
        <w:spacing w:after="0" w:line="266" w:lineRule="auto"/>
        <w:tabs>
          <w:tab w:leader="none" w:pos="11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8" w:lineRule="exact"/>
        <w:rPr>
          <w:rFonts w:ascii="Times New Roman" w:cs="Times New Roman" w:eastAsia="Times New Roman" w:hAnsi="Times New Roman"/>
          <w:sz w:val="18"/>
          <w:szCs w:val="18"/>
          <w:color w:val="auto"/>
        </w:rPr>
      </w:pPr>
    </w:p>
    <w:p>
      <w:pPr>
        <w:ind w:left="460" w:right="560" w:firstLine="443"/>
        <w:spacing w:after="0" w:line="282" w:lineRule="auto"/>
        <w:tabs>
          <w:tab w:leader="none" w:pos="11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as amended, to any purchaser:</w:t>
      </w:r>
    </w:p>
    <w:p>
      <w:pPr>
        <w:spacing w:after="0" w:line="117" w:lineRule="exact"/>
        <w:rPr>
          <w:rFonts w:ascii="Times New Roman" w:cs="Times New Roman" w:eastAsia="Times New Roman" w:hAnsi="Times New Roman"/>
          <w:sz w:val="18"/>
          <w:szCs w:val="18"/>
          <w:color w:val="auto"/>
        </w:rPr>
      </w:pPr>
    </w:p>
    <w:p>
      <w:pPr>
        <w:ind w:left="920" w:right="160" w:firstLine="421"/>
        <w:spacing w:after="0" w:line="282" w:lineRule="auto"/>
        <w:tabs>
          <w:tab w:leader="none" w:pos="15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920" w:right="240" w:firstLine="421"/>
        <w:spacing w:after="0" w:line="261" w:lineRule="auto"/>
        <w:tabs>
          <w:tab w:leader="none" w:pos="160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6" w:lineRule="exact"/>
        <w:rPr>
          <w:rFonts w:ascii="Times New Roman" w:cs="Times New Roman" w:eastAsia="Times New Roman" w:hAnsi="Times New Roman"/>
          <w:sz w:val="18"/>
          <w:szCs w:val="18"/>
          <w:color w:val="auto"/>
        </w:rPr>
      </w:pPr>
    </w:p>
    <w:p>
      <w:pPr>
        <w:ind w:left="460" w:right="320" w:firstLine="443"/>
        <w:spacing w:after="0" w:line="282" w:lineRule="auto"/>
        <w:tabs>
          <w:tab w:leader="none" w:pos="11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as amended, to any purchaser in the initial distribution of the securities:</w:t>
      </w:r>
    </w:p>
    <w:p>
      <w:pPr>
        <w:spacing w:after="0" w:line="16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0" w:lineRule="exact"/>
        <w:rPr>
          <w:sz w:val="20"/>
          <w:szCs w:val="20"/>
          <w:color w:val="auto"/>
        </w:rPr>
      </w:pPr>
    </w:p>
    <w:p>
      <w:pPr>
        <w:ind w:left="5620" w:right="80" w:hanging="4279"/>
        <w:spacing w:after="0" w:line="454" w:lineRule="auto"/>
        <w:tabs>
          <w:tab w:leader="none" w:pos="15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52</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0" w:firstLine="421"/>
        <w:spacing w:after="0" w:line="282" w:lineRule="auto"/>
        <w:tabs>
          <w:tab w:leader="none" w:pos="160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920" w:firstLine="421"/>
        <w:spacing w:after="0" w:line="282" w:lineRule="auto"/>
        <w:tabs>
          <w:tab w:leader="none" w:pos="165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40" w:firstLine="464"/>
        <w:spacing w:after="0" w:line="258" w:lineRule="auto"/>
        <w:tabs>
          <w:tab w:leader="none" w:pos="7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right="20" w:firstLine="464"/>
        <w:spacing w:after="0" w:line="255" w:lineRule="auto"/>
        <w:tabs>
          <w:tab w:leader="none" w:pos="7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85" w:lineRule="exact"/>
        <w:rPr>
          <w:rFonts w:ascii="Times New Roman" w:cs="Times New Roman" w:eastAsia="Times New Roman" w:hAnsi="Times New Roman"/>
          <w:sz w:val="18"/>
          <w:szCs w:val="18"/>
          <w:color w:val="auto"/>
        </w:rPr>
      </w:pPr>
    </w:p>
    <w:p>
      <w:pPr>
        <w:ind w:right="120" w:firstLine="464"/>
        <w:spacing w:after="0" w:line="266" w:lineRule="auto"/>
        <w:tabs>
          <w:tab w:leader="none" w:pos="7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8, 2015.</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President-General Counsel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and Secretary</w:t>
      </w:r>
    </w:p>
    <w:p>
      <w:pPr>
        <w:spacing w:after="0" w:line="22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680" w:type="dxa"/>
            <w:vAlign w:val="bottom"/>
          </w:tcPr>
          <w:p>
            <w:pPr>
              <w:spacing w:after="0"/>
              <w:rPr>
                <w:sz w:val="16"/>
                <w:szCs w:val="16"/>
                <w:color w:val="auto"/>
              </w:rPr>
            </w:pPr>
          </w:p>
        </w:tc>
        <w:tc>
          <w:tcPr>
            <w:tcW w:w="10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 and Trustee (principal executive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President-Chief Financial Officer and Treasurer</w:t>
            </w: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M. Taylor, Jr.</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5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Non-Executive Chairman</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Joseph S. Vassalluzzo</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27"/>
        </w:trPr>
        <w:tc>
          <w:tcPr>
            <w:tcW w:w="25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Jon E. Bortz</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27"/>
        </w:trPr>
        <w:tc>
          <w:tcPr>
            <w:tcW w:w="25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27"/>
        </w:trPr>
        <w:tc>
          <w:tcPr>
            <w:tcW w:w="25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Kristin Gamble</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27"/>
        </w:trPr>
        <w:tc>
          <w:tcPr>
            <w:tcW w:w="25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Gail P. Steinel</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27"/>
        </w:trPr>
        <w:tc>
          <w:tcPr>
            <w:tcW w:w="25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May 8, 2015</w:t>
            </w:r>
          </w:p>
        </w:tc>
      </w:tr>
      <w:tr>
        <w:trPr>
          <w:trHeight w:val="228"/>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Warren M. Thompson</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80" w:type="dxa"/>
            <w:vAlign w:val="bottom"/>
          </w:tcPr>
          <w:p>
            <w:pPr>
              <w:spacing w:after="0"/>
              <w:rPr>
                <w:sz w:val="16"/>
                <w:szCs w:val="16"/>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Underwriting Agreement for Debt Securities*</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1.2</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Underwriting Agreement for Equity Securities*</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of Trust of Federal Realty Investment Trust dated May 6, 2009 (previously filed as Exhibit 3.1 to the Trust’s Registration Statement on</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S-3 (File No. 333-160009)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3.2</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February 17, 2006 and May 6, 2009 (previously filed as Exhibit 3.2 to the Trust’s Registration Statement on Form S-3 (File No. 333-</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160009)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Specimen Common Share certificate (previously filed as Exhibit 4(i) to the Trust’s Annual Report on Form 10-K for the year ended</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December 31, 1999 (File No. 1-07533)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4.2</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as Exhibit 4.1 to the Trust’s Current Report on Form 8-K filed on March 13, 2007, (File No. 1-07533) and incorporated herein by</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4.3</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August 1, 2027; (previously filed as Exhibit 4(a) to the Trust’s Registration Statement on Form S-3 (File No. 33-51029), and amended on</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S-3 (File No. 33-63687), filed on December 13, 1993 and incorporated herein by reference)</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4.4</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Indenture dated September 1, 1998 related to the Trust’s 5.90% Notes due 2020; 3.00% Notes due 2022; 2.75% Notes due 2023; 3.95%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Notes due 2024 and 4.50% Notes due 2044 (previously filed as Exhibit 4(a) to the Trust’s Registration Statement on Form S-3 (File</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 333-63619) filed on September 17, 1998 and incorporated herein by reference)</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4.5</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Subordinated Indenture*</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4.6</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4.7</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Certificate for Preferred Shares*</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4.8</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Form of Deposit Agreement and Depositary Receipt*</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8.1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12.1</w:t>
            </w:r>
          </w:p>
        </w:tc>
        <w:tc>
          <w:tcPr>
            <w:tcW w:w="106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Statement of Computation of Ratios of Earnings to Fixed Charges and Preferred Share Dividends (filed herewith)</w:t>
            </w:r>
          </w:p>
        </w:tc>
      </w:tr>
      <w:tr>
        <w:trPr>
          <w:trHeight w:val="365"/>
        </w:trPr>
        <w:tc>
          <w:tcPr>
            <w:tcW w:w="720" w:type="dxa"/>
            <w:vAlign w:val="bottom"/>
          </w:tcPr>
          <w:p>
            <w:pPr>
              <w:spacing w:after="0"/>
              <w:rPr>
                <w:sz w:val="24"/>
                <w:szCs w:val="24"/>
                <w:color w:val="auto"/>
              </w:rPr>
            </w:pPr>
          </w:p>
        </w:tc>
        <w:tc>
          <w:tcPr>
            <w:tcW w:w="53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Pr>
          <w:p>
            <w:pPr>
              <w:spacing w:after="0"/>
              <w:rPr>
                <w:sz w:val="16"/>
                <w:szCs w:val="16"/>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9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Consent of Grant Thornton LLP (filed herewith)</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9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9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Power of Attorney (filed herewith)</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69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620" w:right="1959" w:hanging="5612"/>
        <w:spacing w:after="0" w:line="454" w:lineRule="auto"/>
        <w:tabs>
          <w:tab w:leader="none" w:pos="2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offered securities. 56</w:t>
      </w:r>
    </w:p>
    <w:p>
      <w:pPr>
        <w:sectPr>
          <w:pgSz w:w="11900" w:h="16838" w:orient="portrait"/>
          <w:cols w:equalWidth="0" w:num="1">
            <w:col w:w="10219"/>
          </w:cols>
          <w:pgMar w:left="240" w:top="455" w:right="1440" w:bottom="1440" w:gutter="0" w:footer="0" w:header="0"/>
        </w:sectPr>
      </w:pPr>
    </w:p>
    <w:bookmarkStart w:id="68" w:name="page69"/>
    <w:bookmarkEnd w:id="6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187325</wp:posOffset>
            </wp:positionV>
            <wp:extent cx="2195195" cy="866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951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410210</wp:posOffset>
            </wp:positionV>
            <wp:extent cx="15176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4220" w:type="dxa"/>
            <w:vAlign w:val="bottom"/>
          </w:tcPr>
          <w:p>
            <w:pPr>
              <w:ind w:left="460"/>
              <w:spacing w:after="0"/>
              <w:rPr>
                <w:sz w:val="20"/>
                <w:szCs w:val="20"/>
                <w:color w:val="auto"/>
              </w:rPr>
            </w:pPr>
            <w:r>
              <w:rPr>
                <w:rFonts w:ascii="Times New Roman" w:cs="Times New Roman" w:eastAsia="Times New Roman" w:hAnsi="Times New Roman"/>
                <w:sz w:val="29"/>
                <w:szCs w:val="29"/>
                <w:b w:val="1"/>
                <w:bCs w:val="1"/>
                <w:color w:val="auto"/>
              </w:rPr>
              <w:t>Wells Fargo Securities</w:t>
            </w:r>
          </w:p>
        </w:tc>
        <w:tc>
          <w:tcPr>
            <w:tcW w:w="7200" w:type="dxa"/>
            <w:vAlign w:val="bottom"/>
          </w:tcPr>
          <w:p>
            <w:pPr>
              <w:ind w:left="4300"/>
              <w:spacing w:after="0"/>
              <w:rPr>
                <w:sz w:val="20"/>
                <w:szCs w:val="20"/>
                <w:color w:val="auto"/>
              </w:rPr>
            </w:pPr>
            <w:r>
              <w:rPr>
                <w:rFonts w:ascii="Times New Roman" w:cs="Times New Roman" w:eastAsia="Times New Roman" w:hAnsi="Times New Roman"/>
                <w:sz w:val="29"/>
                <w:szCs w:val="29"/>
                <w:b w:val="1"/>
                <w:bCs w:val="1"/>
                <w:color w:val="auto"/>
              </w:rPr>
              <w:t>BofA Merrill Lynch</w:t>
            </w:r>
          </w:p>
        </w:tc>
      </w:tr>
      <w:tr>
        <w:trPr>
          <w:trHeight w:val="641"/>
        </w:trPr>
        <w:tc>
          <w:tcPr>
            <w:tcW w:w="4220" w:type="dxa"/>
            <w:vAlign w:val="bottom"/>
          </w:tcPr>
          <w:p>
            <w:pPr>
              <w:spacing w:after="0"/>
              <w:rPr>
                <w:sz w:val="24"/>
                <w:szCs w:val="24"/>
                <w:color w:val="auto"/>
              </w:rPr>
            </w:pPr>
          </w:p>
        </w:tc>
        <w:tc>
          <w:tcPr>
            <w:tcW w:w="72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May 11, 2015</w:t>
            </w:r>
          </w:p>
        </w:tc>
      </w:tr>
      <w:tr>
        <w:trPr>
          <w:trHeight w:val="3417"/>
        </w:trPr>
        <w:tc>
          <w:tcPr>
            <w:tcW w:w="42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r>
        <w:trPr>
          <w:trHeight w:val="41"/>
        </w:trPr>
        <w:tc>
          <w:tcPr>
            <w:tcW w:w="4220" w:type="dxa"/>
            <w:vAlign w:val="bottom"/>
            <w:tcBorders>
              <w:bottom w:val="single" w:sz="8" w:color="auto"/>
            </w:tcBorders>
          </w:tcPr>
          <w:p>
            <w:pPr>
              <w:spacing w:after="0"/>
              <w:rPr>
                <w:sz w:val="3"/>
                <w:szCs w:val="3"/>
                <w:color w:val="auto"/>
              </w:rPr>
            </w:pPr>
          </w:p>
        </w:tc>
        <w:tc>
          <w:tcPr>
            <w:tcW w:w="7200" w:type="dxa"/>
            <w:vAlign w:val="bottom"/>
            <w:tcBorders>
              <w:bottom w:val="single" w:sz="8" w:color="auto"/>
            </w:tcBorders>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420"/>
      </w:cols>
      <w:pgMar w:left="240" w:top="4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lvl w:ilvl="1">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1)"/>
      <w:numFmt w:val="lowerLetter"/>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lvl w:ilvl="1">
      <w:lvlJc w:val="left"/>
      <w:lvlText w:val="•"/>
      <w:numFmt w:val="bullet"/>
      <w:start w:val="1"/>
    </w:lvl>
  </w:abstractNum>
  <w:abstractNum w:abstractNumId="17">
    <w:nsid w:val="75C6C33A"/>
    <w:multiLevelType w:val="hybridMultilevel"/>
    <w:lvl w:ilvl="0">
      <w:lvlJc w:val="left"/>
      <w:lvlText w:val="•"/>
      <w:numFmt w:val="bullet"/>
      <w:start w:val="1"/>
    </w:lvl>
    <w:lvl w:ilvl="1">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lowerLetter"/>
      <w:start w:val="1"/>
    </w:lvl>
  </w:abstractNum>
  <w:abstractNum w:abstractNumId="25">
    <w:nsid w:val="275AC794"/>
    <w:multiLevelType w:val="hybridMultilevel"/>
    <w:lvl w:ilvl="0">
      <w:lvlJc w:val="left"/>
      <w:lvlText w:val="%1."/>
      <w:numFmt w:val="decimal"/>
      <w:start w:val="5"/>
    </w:lvl>
  </w:abstractNum>
  <w:abstractNum w:abstractNumId="26">
    <w:nsid w:val="39386575"/>
    <w:multiLevelType w:val="hybridMultilevel"/>
    <w:lvl w:ilvl="0">
      <w:lvlJc w:val="left"/>
      <w:lvlText w:val="(%1)"/>
      <w:numFmt w:val="lowerLetter"/>
      <w:start w:val="1"/>
    </w:lvl>
  </w:abstractNum>
  <w:abstractNum w:abstractNumId="27">
    <w:nsid w:val="1CF10FD8"/>
    <w:multiLevelType w:val="hybridMultilevel"/>
    <w:lvl w:ilvl="0">
      <w:lvlJc w:val="left"/>
      <w:lvlText w:val="(%1)"/>
      <w:numFmt w:val="lowerLetter"/>
      <w:start w:val="2"/>
    </w:lvl>
  </w:abstractNum>
  <w:abstractNum w:abstractNumId="28">
    <w:nsid w:val="180115BE"/>
    <w:multiLevelType w:val="hybridMultilevel"/>
    <w:lvl w:ilvl="0">
      <w:lvlJc w:val="left"/>
      <w:lvlText w:val="(%1)"/>
      <w:numFmt w:val="lowerLetter"/>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lvl w:ilvl="1">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lvl w:ilvl="1">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lvl w:ilvl="1">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lvl w:ilvl="1">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emdash "/>
      <w:numFmt w:val="bullet"/>
      <w:start w:val="1"/>
    </w:lvl>
  </w:abstractNum>
  <w:abstractNum w:abstractNumId="67">
    <w:nsid w:val="11447B73"/>
    <w:multiLevelType w:val="hybridMultilevel"/>
    <w:lvl w:ilvl="0">
      <w:lvlJc w:val="left"/>
      <w:lvlText w:val="•"/>
      <w:numFmt w:val="bullet"/>
      <w:start w:val="1"/>
    </w:lvl>
    <w:lvl w:ilvl="1">
      <w:lvlJc w:val="left"/>
      <w:lvlText w:val="•"/>
      <w:numFmt w:val="bullet"/>
      <w:start w:val="1"/>
    </w:lvl>
  </w:abstractNum>
  <w:abstractNum w:abstractNumId="68">
    <w:nsid w:val="42963E5A"/>
    <w:multiLevelType w:val="hybridMultilevel"/>
    <w:lvl w:ilvl="0">
      <w:lvlJc w:val="left"/>
      <w:lvlText w:val="(%1)"/>
      <w:numFmt w:val="lowerRoman"/>
      <w:start w:val="2"/>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lowerRoman"/>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1)"/>
      <w:numFmt w:val="decimal"/>
      <w:start w:val="2"/>
    </w:lvl>
  </w:abstractNum>
  <w:abstractNum w:abstractNumId="75">
    <w:nsid w:val="60B6DF70"/>
    <w:multiLevelType w:val="hybridMultilevel"/>
    <w:lvl w:ilvl="0">
      <w:lvlJc w:val="left"/>
      <w:lvlText w:val="(%1)"/>
      <w:numFmt w:val="decimal"/>
      <w:start w:val="4"/>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100F59DC"/>
    <w:multiLevelType w:val="hybridMultilevel"/>
    <w:lvl w:ilvl="0">
      <w:lvlJc w:val="left"/>
      <w:lvlText w:val="(%1)"/>
      <w:numFmt w:val="decimal"/>
      <w:start w:val="2"/>
    </w:lvl>
    <w:lvl w:ilvl="1">
      <w:lvlJc w:val="left"/>
      <w:lvlText w:val="(%2)"/>
      <w:numFmt w:val="lowerRoman"/>
      <w:start w:val="1"/>
    </w:lvl>
  </w:abstractNum>
  <w:abstractNum w:abstractNumId="82">
    <w:nsid w:val="7FB7E0AA"/>
    <w:multiLevelType w:val="hybridMultilevel"/>
    <w:lvl w:ilvl="0">
      <w:lvlJc w:val="left"/>
      <w:lvlText w:val="(%1)"/>
      <w:numFmt w:val="lowerRoman"/>
      <w:start w:val="1"/>
    </w:lvl>
  </w:abstractNum>
  <w:abstractNum w:abstractNumId="83">
    <w:nsid w:val="6EB5BD4"/>
    <w:multiLevelType w:val="hybridMultilevel"/>
    <w:lvl w:ilvl="0">
      <w:lvlJc w:val="left"/>
      <w:lvlText w:val="%1"/>
      <w:numFmt w:val="lowerLetter"/>
      <w:start w:val="1"/>
    </w:lvl>
    <w:lvl w:ilvl="1">
      <w:lvlJc w:val="left"/>
      <w:lvlText w:val="(%2)"/>
      <w:numFmt w:val="lowerRoman"/>
      <w:start w:val="2"/>
    </w:lvl>
  </w:abstractNum>
  <w:abstractNum w:abstractNumId="84">
    <w:nsid w:val="6F6DD9AC"/>
    <w:multiLevelType w:val="hybridMultilevel"/>
    <w:lvl w:ilvl="0">
      <w:lvlJc w:val="left"/>
      <w:lvlText w:val="(%1)"/>
      <w:numFmt w:val="lowerLetter"/>
      <w:start w:val="2"/>
    </w:lvl>
    <w:lvl w:ilvl="1">
      <w:lvlJc w:val="left"/>
      <w:lvlText w:val="%2"/>
      <w:numFmt w:val="lowerRoman"/>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2019-12-05T09:44:52Z</dcterms:created>
  <dcterms:modified xsi:type="dcterms:W3CDTF">2019-12-05T09:44:52Z</dcterms:modified>
</cp:coreProperties>
</file>