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200" w:lineRule="exact"/>
        <w:rPr>
          <w:sz w:val="24"/>
          <w:szCs w:val="24"/>
          <w:color w:val="auto"/>
        </w:rPr>
      </w:pPr>
    </w:p>
    <w:p>
      <w:pPr>
        <w:spacing w:after="0" w:line="303"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9" w:lineRule="exact"/>
        <w:rPr>
          <w:sz w:val="24"/>
          <w:szCs w:val="24"/>
          <w:color w:val="auto"/>
        </w:rPr>
      </w:pPr>
    </w:p>
    <w:p>
      <w:pPr>
        <w:ind w:left="540" w:right="3759" w:hanging="174"/>
        <w:spacing w:after="0" w:line="261"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September 30, 2001</w:t>
      </w:r>
    </w:p>
    <w:p>
      <w:pPr>
        <w:spacing w:after="0" w:line="200" w:lineRule="exact"/>
        <w:rPr>
          <w:sz w:val="24"/>
          <w:szCs w:val="24"/>
          <w:color w:val="auto"/>
        </w:rPr>
      </w:pPr>
    </w:p>
    <w:p>
      <w:pPr>
        <w:spacing w:after="0" w:line="29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2640" w:type="dxa"/>
            <w:vAlign w:val="bottom"/>
          </w:tcPr>
          <w:p>
            <w:pPr>
              <w:ind w:left="540"/>
              <w:spacing w:after="0"/>
              <w:rPr>
                <w:sz w:val="20"/>
                <w:szCs w:val="20"/>
                <w:color w:val="auto"/>
              </w:rPr>
            </w:pPr>
            <w:r>
              <w:rPr>
                <w:rFonts w:ascii="Courier New" w:cs="Courier New" w:eastAsia="Courier New" w:hAnsi="Courier New"/>
                <w:sz w:val="15"/>
                <w:szCs w:val="15"/>
                <w:color w:val="auto"/>
              </w:rPr>
              <w:t>Maryland</w:t>
            </w:r>
          </w:p>
        </w:tc>
        <w:tc>
          <w:tcPr>
            <w:tcW w:w="16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1-07533</w:t>
            </w:r>
          </w:p>
        </w:tc>
        <w:tc>
          <w:tcPr>
            <w:tcW w:w="2240" w:type="dxa"/>
            <w:vAlign w:val="bottom"/>
          </w:tcPr>
          <w:p>
            <w:pPr>
              <w:ind w:left="580"/>
              <w:spacing w:after="0"/>
              <w:rPr>
                <w:sz w:val="20"/>
                <w:szCs w:val="20"/>
                <w:color w:val="auto"/>
              </w:rPr>
            </w:pPr>
            <w:r>
              <w:rPr>
                <w:rFonts w:ascii="Courier New" w:cs="Courier New" w:eastAsia="Courier New" w:hAnsi="Courier New"/>
                <w:sz w:val="15"/>
                <w:szCs w:val="15"/>
                <w:color w:val="auto"/>
              </w:rPr>
              <w:t>52-0782497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w:t>
            </w:r>
          </w:p>
        </w:tc>
        <w:tc>
          <w:tcPr>
            <w:tcW w:w="1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(Commission</w:t>
            </w:r>
          </w:p>
        </w:tc>
        <w:tc>
          <w:tcPr>
            <w:tcW w:w="2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of incorporation)</w:t>
            </w:r>
          </w:p>
        </w:tc>
        <w:tc>
          <w:tcPr>
            <w:tcW w:w="1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File Number)</w:t>
            </w:r>
          </w:p>
        </w:tc>
        <w:tc>
          <w:tcPr>
            <w:tcW w:w="2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505"/>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w w:val="99"/>
              </w:rPr>
              <w:t>1626 East Jefferson Street, Rockville, Maryland</w:t>
            </w:r>
          </w:p>
        </w:tc>
        <w:tc>
          <w:tcPr>
            <w:tcW w:w="2240" w:type="dxa"/>
            <w:vAlign w:val="bottom"/>
          </w:tcPr>
          <w:p>
            <w:pPr>
              <w:ind w:left="1020"/>
              <w:spacing w:after="0"/>
              <w:rPr>
                <w:sz w:val="20"/>
                <w:szCs w:val="20"/>
                <w:color w:val="auto"/>
              </w:rPr>
            </w:pPr>
            <w:r>
              <w:rPr>
                <w:rFonts w:ascii="Courier New" w:cs="Courier New" w:eastAsia="Courier New" w:hAnsi="Courier New"/>
                <w:sz w:val="15"/>
                <w:szCs w:val="15"/>
                <w:color w:val="auto"/>
              </w:rPr>
              <w:t>20852-4041</w:t>
            </w:r>
          </w:p>
        </w:tc>
      </w:tr>
      <w:tr>
        <w:trPr>
          <w:trHeight w:val="168"/>
        </w:trPr>
        <w:tc>
          <w:tcPr>
            <w:tcW w:w="6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2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335" w:lineRule="exact"/>
        <w:rPr>
          <w:sz w:val="24"/>
          <w:szCs w:val="24"/>
          <w:color w:val="auto"/>
        </w:rPr>
      </w:pPr>
    </w:p>
    <w:p>
      <w:pPr>
        <w:ind w:left="620"/>
        <w:spacing w:after="0"/>
        <w:tabs>
          <w:tab w:leader="none" w:pos="516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301/998-8100</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ectPr>
          <w:pgSz w:w="11900" w:h="16838" w:orient="portrait"/>
          <w:cols w:equalWidth="0" w:num="1">
            <w:col w:w="10239"/>
          </w:cols>
          <w:pgMar w:left="220" w:top="561" w:right="1440" w:bottom="1440" w:gutter="0" w:footer="0" w:header="0"/>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jc w:val="both"/>
        <w:ind w:right="3939" w:firstLine="875"/>
        <w:spacing w:after="0" w:line="235" w:lineRule="auto"/>
        <w:rPr>
          <w:sz w:val="20"/>
          <w:szCs w:val="20"/>
          <w:color w:val="auto"/>
        </w:rPr>
      </w:pPr>
      <w:r>
        <w:rPr>
          <w:rFonts w:ascii="Courier New" w:cs="Courier New" w:eastAsia="Courier New" w:hAnsi="Courier New"/>
          <w:sz w:val="15"/>
          <w:szCs w:val="15"/>
          <w:color w:val="auto"/>
        </w:rPr>
        <w:t>Federal Realty Investment Trust hereby files as exhibit 99 the following supplemental data pertaining to its portfolio of properties at September 30, 2001.</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ind w:left="880" w:hanging="520"/>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3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   Supplemental portfolio information at September 30, 2001</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w:t>
      </w:r>
    </w:p>
    <w:p>
      <w:pPr>
        <w:spacing w:after="0" w:line="237" w:lineRule="auto"/>
        <w:rPr>
          <w:sz w:val="20"/>
          <w:szCs w:val="20"/>
          <w:color w:val="auto"/>
        </w:rPr>
      </w:pPr>
      <w:r>
        <w:rPr>
          <w:rFonts w:ascii="Courier New" w:cs="Courier New" w:eastAsia="Courier New" w:hAnsi="Courier New"/>
          <w:sz w:val="15"/>
          <w:szCs w:val="15"/>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178" w:lineRule="exact"/>
        <w:rPr>
          <w:sz w:val="20"/>
          <w:szCs w:val="20"/>
          <w:color w:val="auto"/>
        </w:rPr>
      </w:pPr>
    </w:p>
    <w:p>
      <w:pPr>
        <w:sectPr>
          <w:pgSz w:w="11900" w:h="16838" w:orient="portrait"/>
          <w:cols w:equalWidth="0" w:num="3">
            <w:col w:w="440" w:space="180"/>
            <w:col w:w="1400" w:space="360"/>
            <w:col w:w="785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7" w:right="1440" w:bottom="1440" w:gutter="0" w:footer="0" w:header="0"/>
          <w:type w:val="continuous"/>
        </w:sectPr>
      </w:pPr>
    </w:p>
    <w:bookmarkStart w:id="2" w:name="page3"/>
    <w:bookmarkEnd w:id="2"/>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4" w:right="1440" w:bottom="1440" w:gutter="0" w:footer="0" w:header="0"/>
        </w:sectPr>
      </w:pPr>
    </w:p>
    <w:p>
      <w:pPr>
        <w:spacing w:after="0" w:line="346"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Exh No.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620" w:space="260"/>
            <w:col w:w="4700" w:space="720"/>
            <w:col w:w="3939"/>
          </w:cols>
          <w:pgMar w:left="220" w:top="624" w:right="1440" w:bottom="1440" w:gutter="0" w:footer="0" w:header="0"/>
          <w:type w:val="continuous"/>
        </w:sectPr>
      </w:pPr>
    </w:p>
    <w:p>
      <w:pPr>
        <w:ind w:left="100"/>
        <w:spacing w:after="0"/>
        <w:tabs>
          <w:tab w:leader="none" w:pos="8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September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4</w:t>
      </w:r>
    </w:p>
    <w:p>
      <w:pPr>
        <w:spacing w:after="0" w:line="200" w:lineRule="exact"/>
        <w:rPr>
          <w:sz w:val="20"/>
          <w:szCs w:val="20"/>
          <w:color w:val="auto"/>
        </w:rPr>
      </w:pPr>
    </w:p>
    <w:p>
      <w:pPr>
        <w:sectPr>
          <w:pgSz w:w="11900" w:h="16838" w:orient="portrait"/>
          <w:cols w:equalWidth="0" w:num="2">
            <w:col w:w="6120" w:space="720"/>
            <w:col w:w="3399"/>
          </w:cols>
          <w:pgMar w:left="220" w:top="624"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4" w:right="1440" w:bottom="1440" w:gutter="0" w:footer="0" w:header="0"/>
          <w:type w:val="continuous"/>
        </w:sectPr>
      </w:pPr>
    </w:p>
    <w:bookmarkStart w:id="3" w:name="page4"/>
    <w:bookmarkEnd w:id="3"/>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Supplemental Information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September 30, 2001</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420" w:val="left"/>
          <w:tab w:leader="none" w:pos="6640" w:val="left"/>
        </w:tabs>
        <w:rPr>
          <w:sz w:val="20"/>
          <w:szCs w:val="20"/>
          <w:color w:val="auto"/>
        </w:rPr>
      </w:pPr>
      <w:r>
        <w:rPr>
          <w:rFonts w:ascii="Courier New" w:cs="Courier New" w:eastAsia="Courier New" w:hAnsi="Courier New"/>
          <w:sz w:val="15"/>
          <w:szCs w:val="15"/>
          <w:color w:val="auto"/>
        </w:rPr>
        <w:t>1.</w:t>
        <w:tab/>
        <w:t>Debt Summary.........................................................</w:t>
      </w:r>
      <w:r>
        <w:rPr>
          <w:sz w:val="20"/>
          <w:szCs w:val="20"/>
          <w:color w:val="auto"/>
        </w:rPr>
        <w:tab/>
      </w:r>
      <w:r>
        <w:rPr>
          <w:rFonts w:ascii="Courier New" w:cs="Courier New" w:eastAsia="Courier New" w:hAnsi="Courier New"/>
          <w:sz w:val="14"/>
          <w:szCs w:val="14"/>
          <w:color w:val="auto"/>
        </w:rPr>
        <w:t>E-2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2.   Occupancy</w:t>
            </w:r>
          </w:p>
        </w:tc>
        <w:tc>
          <w:tcPr>
            <w:tcW w:w="360" w:type="dxa"/>
            <w:vAlign w:val="bottom"/>
          </w:tcPr>
          <w:p>
            <w:pPr>
              <w:spacing w:after="0"/>
              <w:rPr>
                <w:sz w:val="14"/>
                <w:szCs w:val="14"/>
                <w:color w:val="auto"/>
              </w:rPr>
            </w:pPr>
          </w:p>
        </w:tc>
      </w:tr>
      <w:tr>
        <w:trPr>
          <w:trHeight w:val="168"/>
        </w:trPr>
        <w:tc>
          <w:tcPr>
            <w:tcW w:w="6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8"/>
              </w:rPr>
              <w:t>Percentage Leased..............................................</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E-3</w:t>
            </w:r>
          </w:p>
        </w:tc>
      </w:tr>
      <w:tr>
        <w:trPr>
          <w:trHeight w:val="168"/>
        </w:trPr>
        <w:tc>
          <w:tcPr>
            <w:tcW w:w="6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8"/>
              </w:rPr>
              <w:t>Regional Breakdown.............................................</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E-4</w:t>
            </w:r>
          </w:p>
        </w:tc>
      </w:tr>
    </w:tbl>
    <w:p>
      <w:pPr>
        <w:spacing w:after="0" w:line="166"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Signed Analysis</w:t>
      </w: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6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Comparable and Non-Comparable..................................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E-5</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4.</w:t>
            </w:r>
          </w:p>
        </w:tc>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Development Pipeline.................................................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E-6</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5.</w:t>
            </w:r>
          </w:p>
        </w:tc>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Second Quarter Earnings Press Release, November 1, 2001..............</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E-7</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6.</w:t>
            </w:r>
          </w:p>
        </w:tc>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Glossary of Terms....................................................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E-12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1626 East Jefferson Street</w:t>
      </w:r>
    </w:p>
    <w:p>
      <w:pPr>
        <w:ind w:left="2100"/>
        <w:spacing w:after="0"/>
        <w:tabs>
          <w:tab w:leader="none" w:pos="392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20852-4041</w:t>
      </w:r>
    </w:p>
    <w:p>
      <w:pPr>
        <w:ind w:left="2980"/>
        <w:spacing w:after="0" w:line="238" w:lineRule="auto"/>
        <w:rPr>
          <w:sz w:val="20"/>
          <w:szCs w:val="20"/>
          <w:color w:val="auto"/>
        </w:rPr>
      </w:pPr>
      <w:r>
        <w:rPr>
          <w:rFonts w:ascii="Courier New" w:cs="Courier New" w:eastAsia="Courier New" w:hAnsi="Courier New"/>
          <w:sz w:val="15"/>
          <w:szCs w:val="15"/>
          <w:color w:val="auto"/>
        </w:rPr>
        <w:t>301/998-8100</w:t>
      </w:r>
    </w:p>
    <w:p>
      <w:pPr>
        <w:sectPr>
          <w:pgSz w:w="11900" w:h="16838" w:orient="portrait"/>
          <w:cols w:equalWidth="0" w:num="1">
            <w:col w:w="10239"/>
          </w:cols>
          <w:pgMar w:left="220" w:top="47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DEBT ANALYSIS (excluding capital leases and interest rate swaps)</w:t>
      </w:r>
    </w:p>
    <w:p>
      <w:pPr>
        <w:spacing w:after="0" w:line="238" w:lineRule="auto"/>
        <w:rPr>
          <w:sz w:val="20"/>
          <w:szCs w:val="20"/>
          <w:color w:val="auto"/>
        </w:rPr>
      </w:pPr>
      <w:r>
        <w:rPr>
          <w:rFonts w:ascii="Courier New" w:cs="Courier New" w:eastAsia="Courier New" w:hAnsi="Courier New"/>
          <w:sz w:val="15"/>
          <w:szCs w:val="15"/>
          <w:color w:val="auto"/>
        </w:rPr>
        <w:t>September 30,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Balance</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Maturity</w:t>
            </w:r>
          </w:p>
        </w:tc>
        <w:tc>
          <w:tcPr>
            <w:tcW w:w="13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Rate</w:t>
            </w:r>
          </w:p>
        </w:tc>
        <w:tc>
          <w:tcPr>
            <w:tcW w:w="400" w:type="dxa"/>
            <w:vAlign w:val="bottom"/>
          </w:tcPr>
          <w:p>
            <w:pPr>
              <w:spacing w:after="0"/>
              <w:rPr>
                <w:sz w:val="14"/>
                <w:szCs w:val="14"/>
                <w:color w:val="auto"/>
              </w:rPr>
            </w:pPr>
          </w:p>
        </w:tc>
        <w:tc>
          <w:tcPr>
            <w:tcW w:w="1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Mortgages</w:t>
            </w: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Leesburg Plaza</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10/01/08</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6.510%</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Federal Plaza</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06/01/11</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6.750%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36,387</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Tysons Station</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09/01/01</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7.400%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6,992</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164 E Houston Street</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10/06/08</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7.500%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312</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Barracks Road</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11/01/15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7.950%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44,300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Hauppauge</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11/01/15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7.950%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16,700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Lawrence Park</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11/01/15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7.950%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31,400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Wildwood</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11/01/15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7.950%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27,600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Wynnewood</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11/01/15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7.950%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32,000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Brick Plaza</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11/01/15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7.415%</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33,000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Friendship Center</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09/22/03</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libor + 1.35%</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17,000</w:t>
            </w:r>
          </w:p>
        </w:tc>
        <w:tc>
          <w:tcPr>
            <w:tcW w:w="1000" w:type="dxa"/>
            <w:vAlign w:val="bottom"/>
          </w:tcPr>
          <w:p>
            <w:pPr>
              <w:spacing w:after="0"/>
              <w:rPr>
                <w:sz w:val="14"/>
                <w:szCs w:val="14"/>
                <w:color w:val="auto"/>
              </w:rPr>
            </w:pPr>
          </w:p>
        </w:tc>
      </w:tr>
      <w:tr>
        <w:trPr>
          <w:trHeight w:val="168"/>
        </w:trPr>
        <w:tc>
          <w:tcPr>
            <w:tcW w:w="6400" w:type="dxa"/>
            <w:vAlign w:val="bottom"/>
            <w:gridSpan w:val="2"/>
          </w:tcPr>
          <w:p>
            <w:pPr>
              <w:ind w:left="2280"/>
              <w:spacing w:after="0" w:line="168" w:lineRule="exact"/>
              <w:rPr>
                <w:sz w:val="20"/>
                <w:szCs w:val="20"/>
                <w:color w:val="auto"/>
              </w:rPr>
            </w:pPr>
            <w:r>
              <w:rPr>
                <w:rFonts w:ascii="Courier New" w:cs="Courier New" w:eastAsia="Courier New" w:hAnsi="Courier New"/>
                <w:sz w:val="15"/>
                <w:szCs w:val="15"/>
                <w:color w:val="auto"/>
              </w:rPr>
              <w:t>Construction loan on Woodmont East</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w w:val="98"/>
              </w:rPr>
              <w:t>(may be extended to 8/29/04)</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08/29/02</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libor + 1.25%</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22,361</w:t>
            </w:r>
          </w:p>
        </w:tc>
        <w:tc>
          <w:tcPr>
            <w:tcW w:w="1000" w:type="dxa"/>
            <w:vAlign w:val="bottom"/>
          </w:tcPr>
          <w:p>
            <w:pPr>
              <w:spacing w:after="0"/>
              <w:rPr>
                <w:sz w:val="14"/>
                <w:szCs w:val="14"/>
                <w:color w:val="auto"/>
              </w:rPr>
            </w:pPr>
          </w:p>
        </w:tc>
      </w:tr>
      <w:tr>
        <w:trPr>
          <w:trHeight w:val="168"/>
        </w:trPr>
        <w:tc>
          <w:tcPr>
            <w:tcW w:w="6400" w:type="dxa"/>
            <w:vAlign w:val="bottom"/>
            <w:gridSpan w:val="2"/>
          </w:tcPr>
          <w:p>
            <w:pPr>
              <w:ind w:left="2280"/>
              <w:spacing w:after="0" w:line="168" w:lineRule="exact"/>
              <w:rPr>
                <w:sz w:val="20"/>
                <w:szCs w:val="20"/>
                <w:color w:val="auto"/>
              </w:rPr>
            </w:pPr>
            <w:r>
              <w:rPr>
                <w:rFonts w:ascii="Courier New" w:cs="Courier New" w:eastAsia="Courier New" w:hAnsi="Courier New"/>
                <w:sz w:val="15"/>
                <w:szCs w:val="15"/>
                <w:color w:val="auto"/>
              </w:rPr>
              <w:t>Construction loan on Santana Row</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w w:val="98"/>
              </w:rPr>
              <w:t>(may be extended to 4/16/06)</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04/16/04</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libor +</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2.125%</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23,047</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Escondido (Municipal bonds)</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10/01/16</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variable</w:t>
            </w:r>
          </w:p>
        </w:tc>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w:t>
            </w: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9,400</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310,399</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w:t>
            </w: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Revolving credit facilities</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12/19/03</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libor + .80%</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165,000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Term note with banks</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12/19/03</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libor + .95%</w:t>
            </w:r>
          </w:p>
        </w:tc>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125,000</w:t>
            </w:r>
          </w:p>
        </w:tc>
        <w:tc>
          <w:tcPr>
            <w:tcW w:w="1000" w:type="dxa"/>
            <w:vAlign w:val="bottom"/>
          </w:tcPr>
          <w:p>
            <w:pPr>
              <w:spacing w:after="0"/>
              <w:rPr>
                <w:sz w:val="14"/>
                <w:szCs w:val="14"/>
                <w:color w:val="auto"/>
              </w:rPr>
            </w:pPr>
          </w:p>
        </w:tc>
      </w:tr>
      <w:tr>
        <w:trPr>
          <w:trHeight w:val="168"/>
        </w:trPr>
        <w:tc>
          <w:tcPr>
            <w:tcW w:w="6400" w:type="dxa"/>
            <w:vAlign w:val="bottom"/>
            <w:gridSpan w:val="2"/>
          </w:tcPr>
          <w:p>
            <w:pPr>
              <w:ind w:left="2280"/>
              <w:spacing w:after="0" w:line="168" w:lineRule="exact"/>
              <w:rPr>
                <w:sz w:val="20"/>
                <w:szCs w:val="20"/>
                <w:color w:val="auto"/>
              </w:rPr>
            </w:pPr>
            <w:r>
              <w:rPr>
                <w:rFonts w:ascii="Courier New" w:cs="Courier New" w:eastAsia="Courier New" w:hAnsi="Courier New"/>
                <w:sz w:val="15"/>
                <w:szCs w:val="15"/>
                <w:color w:val="auto"/>
              </w:rPr>
              <w:t>Note issued in connection with</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renovation of Perring Plaza</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01/31/13</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10.00%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2,418</w:t>
            </w:r>
          </w:p>
        </w:tc>
        <w:tc>
          <w:tcPr>
            <w:tcW w:w="1000" w:type="dxa"/>
            <w:vAlign w:val="bottom"/>
          </w:tcPr>
          <w:p>
            <w:pPr>
              <w:spacing w:after="0"/>
              <w:rPr>
                <w:sz w:val="14"/>
                <w:szCs w:val="14"/>
                <w:color w:val="auto"/>
              </w:rPr>
            </w:pPr>
          </w:p>
        </w:tc>
      </w:tr>
      <w:tr>
        <w:trPr>
          <w:trHeight w:val="168"/>
        </w:trPr>
        <w:tc>
          <w:tcPr>
            <w:tcW w:w="6400" w:type="dxa"/>
            <w:vAlign w:val="bottom"/>
            <w:gridSpan w:val="2"/>
          </w:tcPr>
          <w:p>
            <w:pPr>
              <w:ind w:left="2280"/>
              <w:spacing w:after="0" w:line="168" w:lineRule="exact"/>
              <w:rPr>
                <w:sz w:val="20"/>
                <w:szCs w:val="20"/>
                <w:color w:val="auto"/>
              </w:rPr>
            </w:pPr>
            <w:r>
              <w:rPr>
                <w:rFonts w:ascii="Courier New" w:cs="Courier New" w:eastAsia="Courier New" w:hAnsi="Courier New"/>
                <w:sz w:val="15"/>
                <w:szCs w:val="15"/>
                <w:color w:val="auto"/>
              </w:rPr>
              <w:t>Note issued in connection with land purchase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06/30/02</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libor + 1.5%</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Other</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various</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various</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66</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295,884</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Unsecured Public Debt</w:t>
            </w: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400" w:type="dxa"/>
            <w:vAlign w:val="bottom"/>
            <w:gridSpan w:val="2"/>
          </w:tcPr>
          <w:p>
            <w:pPr>
              <w:ind w:left="2280"/>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04/30/02</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5.250%</w:t>
            </w: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289</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6"/>
        </w:trPr>
        <w:tc>
          <w:tcPr>
            <w:tcW w:w="6400" w:type="dxa"/>
            <w:vAlign w:val="bottom"/>
            <w:gridSpan w:val="2"/>
          </w:tcPr>
          <w:p>
            <w:pPr>
              <w:ind w:left="2280"/>
              <w:spacing w:after="0"/>
              <w:rPr>
                <w:sz w:val="20"/>
                <w:szCs w:val="20"/>
                <w:color w:val="auto"/>
              </w:rPr>
            </w:pPr>
            <w:r>
              <w:rPr>
                <w:rFonts w:ascii="Courier New" w:cs="Courier New" w:eastAsia="Courier New" w:hAnsi="Courier New"/>
                <w:sz w:val="15"/>
                <w:szCs w:val="15"/>
                <w:color w:val="auto"/>
              </w:rPr>
              <w:t>5 1/4% Convertible subordinated debentures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10/28/03</w:t>
            </w:r>
          </w:p>
        </w:tc>
        <w:tc>
          <w:tcPr>
            <w:tcW w:w="66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5.250%</w:t>
            </w:r>
          </w:p>
        </w:tc>
        <w:tc>
          <w:tcPr>
            <w:tcW w:w="40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75,000</w:t>
            </w:r>
          </w:p>
        </w:tc>
        <w:tc>
          <w:tcPr>
            <w:tcW w:w="1000" w:type="dxa"/>
            <w:vAlign w:val="bottom"/>
          </w:tcPr>
          <w:p>
            <w:pPr>
              <w:spacing w:after="0"/>
              <w:rPr>
                <w:sz w:val="24"/>
                <w:szCs w:val="2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6"/>
        </w:trPr>
        <w:tc>
          <w:tcPr>
            <w:tcW w:w="4780" w:type="dxa"/>
            <w:vAlign w:val="bottom"/>
          </w:tcPr>
          <w:p>
            <w:pPr>
              <w:ind w:left="2280"/>
              <w:spacing w:after="0"/>
              <w:rPr>
                <w:sz w:val="20"/>
                <w:szCs w:val="20"/>
                <w:color w:val="auto"/>
              </w:rPr>
            </w:pPr>
            <w:r>
              <w:rPr>
                <w:rFonts w:ascii="Courier New" w:cs="Courier New" w:eastAsia="Courier New" w:hAnsi="Courier New"/>
                <w:sz w:val="15"/>
                <w:szCs w:val="15"/>
                <w:color w:val="auto"/>
              </w:rPr>
              <w:t>8% Notes (fixed)</w:t>
            </w:r>
          </w:p>
        </w:tc>
        <w:tc>
          <w:tcPr>
            <w:tcW w:w="16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04/21/02</w:t>
            </w:r>
          </w:p>
        </w:tc>
        <w:tc>
          <w:tcPr>
            <w:tcW w:w="66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8.000%</w:t>
            </w:r>
          </w:p>
        </w:tc>
        <w:tc>
          <w:tcPr>
            <w:tcW w:w="40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25,000</w:t>
            </w:r>
          </w:p>
        </w:tc>
        <w:tc>
          <w:tcPr>
            <w:tcW w:w="1000" w:type="dxa"/>
            <w:vAlign w:val="bottom"/>
          </w:tcPr>
          <w:p>
            <w:pPr>
              <w:spacing w:after="0"/>
              <w:rPr>
                <w:sz w:val="24"/>
                <w:szCs w:val="2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6.625% Notes (fixed)</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12/01/05</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6.625%</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40,000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7.48% Debentures</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08/15/26</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7.480%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50,000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6.82% Medium Term Notes</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08/01/27</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6.820%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40,000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6.74% Medium Term Notes</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03/10/04</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6.370%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39,500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6.99% Medium Term Notes</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03/10/06</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6.894%</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40,500</w:t>
            </w:r>
          </w:p>
        </w:tc>
        <w:tc>
          <w:tcPr>
            <w:tcW w:w="1000" w:type="dxa"/>
            <w:vAlign w:val="bottom"/>
          </w:tcPr>
          <w:p>
            <w:pPr>
              <w:spacing w:after="0"/>
              <w:rPr>
                <w:sz w:val="14"/>
                <w:szCs w:val="14"/>
                <w:color w:val="auto"/>
              </w:rPr>
            </w:pPr>
          </w:p>
        </w:tc>
      </w:tr>
      <w:tr>
        <w:trPr>
          <w:trHeight w:val="168"/>
        </w:trPr>
        <w:tc>
          <w:tcPr>
            <w:tcW w:w="4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8.75% Notes</w:t>
            </w:r>
          </w:p>
        </w:tc>
        <w:tc>
          <w:tcPr>
            <w:tcW w:w="1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12/01/09</w:t>
            </w:r>
          </w:p>
        </w:tc>
        <w:tc>
          <w:tcPr>
            <w:tcW w:w="6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8.750%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175,000</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410,000</w:t>
            </w: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6"/>
        </w:trPr>
        <w:tc>
          <w:tcPr>
            <w:tcW w:w="4780" w:type="dxa"/>
            <w:vAlign w:val="bottom"/>
          </w:tcPr>
          <w:p>
            <w:pPr>
              <w:spacing w:after="0"/>
              <w:rPr>
                <w:sz w:val="24"/>
                <w:szCs w:val="24"/>
                <w:color w:val="auto"/>
              </w:rPr>
            </w:pPr>
          </w:p>
        </w:tc>
        <w:tc>
          <w:tcPr>
            <w:tcW w:w="258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6"/>
              </w:rPr>
              <w:t>Total fixed rate debt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5"/>
              </w:rPr>
              <w:t>851,364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77.99%</w:t>
            </w:r>
          </w:p>
        </w:tc>
      </w:tr>
      <w:tr>
        <w:trPr>
          <w:trHeight w:val="336"/>
        </w:trPr>
        <w:tc>
          <w:tcPr>
            <w:tcW w:w="4780" w:type="dxa"/>
            <w:vAlign w:val="bottom"/>
          </w:tcPr>
          <w:p>
            <w:pPr>
              <w:spacing w:after="0"/>
              <w:rPr>
                <w:sz w:val="24"/>
                <w:szCs w:val="24"/>
                <w:color w:val="auto"/>
              </w:rPr>
            </w:pPr>
          </w:p>
        </w:tc>
        <w:tc>
          <w:tcPr>
            <w:tcW w:w="324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Total variable rate debt</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5"/>
              </w:rPr>
              <w:t>240,208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22.01%</w:t>
            </w: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4"/>
                <w:szCs w:val="24"/>
                <w:color w:val="auto"/>
              </w:rPr>
            </w:pP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w w:val="95"/>
              </w:rPr>
              <w:t>Total debt</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$1,091,572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80" w:type="dxa"/>
            <w:vAlign w:val="bottom"/>
          </w:tcPr>
          <w:p>
            <w:pPr>
              <w:spacing w:after="0"/>
              <w:rPr>
                <w:sz w:val="24"/>
                <w:szCs w:val="24"/>
                <w:color w:val="auto"/>
              </w:rPr>
            </w:pPr>
          </w:p>
        </w:tc>
        <w:tc>
          <w:tcPr>
            <w:tcW w:w="388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Weighted average interest rate:</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780" w:type="dxa"/>
            <w:vAlign w:val="bottom"/>
          </w:tcPr>
          <w:p>
            <w:pPr>
              <w:spacing w:after="0"/>
              <w:rPr>
                <w:sz w:val="14"/>
                <w:szCs w:val="14"/>
                <w:color w:val="auto"/>
              </w:rPr>
            </w:pPr>
          </w:p>
        </w:tc>
        <w:tc>
          <w:tcPr>
            <w:tcW w:w="4280" w:type="dxa"/>
            <w:vAlign w:val="bottom"/>
            <w:gridSpan w:val="5"/>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5600" w:type="dxa"/>
        <w:tblCellMar>
          <w:top w:w="0" w:type="dxa"/>
          <w:left w:w="0" w:type="dxa"/>
          <w:bottom w:w="0" w:type="dxa"/>
          <w:right w:w="0" w:type="dxa"/>
        </w:tblCellMar>
      </w:tblP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rate debt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c>
          <w:tcPr>
            <w:tcW w:w="3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on revolving credit facilities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(d)</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on muncipal bonds</w:t>
            </w:r>
          </w:p>
        </w:tc>
        <w:tc>
          <w:tcPr>
            <w:tcW w:w="1000" w:type="dxa"/>
            <w:vAlign w:val="bottom"/>
          </w:tcPr>
          <w:p>
            <w:pPr>
              <w:spacing w:after="0"/>
              <w:rPr>
                <w:sz w:val="14"/>
                <w:szCs w:val="14"/>
                <w:color w:val="auto"/>
              </w:rPr>
            </w:pP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(a)</w:t>
            </w:r>
          </w:p>
        </w:tc>
      </w:tr>
    </w:tbl>
    <w:p>
      <w:pPr>
        <w:spacing w:after="0" w:line="341" w:lineRule="exact"/>
        <w:rPr>
          <w:sz w:val="20"/>
          <w:szCs w:val="20"/>
          <w:color w:val="auto"/>
        </w:rPr>
      </w:pPr>
    </w:p>
    <w:p>
      <w:pPr>
        <w:ind w:left="360" w:right="4540" w:hanging="350"/>
        <w:spacing w:after="0" w:line="235"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bonds bear interest at a variable rate determined weekly to be the interest rate which would enable the bonds to be remarketed at 100% of their principal amount.</w:t>
      </w:r>
    </w:p>
    <w:p>
      <w:pPr>
        <w:spacing w:after="0" w:line="5" w:lineRule="exact"/>
        <w:rPr>
          <w:rFonts w:ascii="Courier New" w:cs="Courier New" w:eastAsia="Courier New" w:hAnsi="Courier New"/>
          <w:sz w:val="15"/>
          <w:szCs w:val="15"/>
          <w:color w:val="auto"/>
        </w:rPr>
      </w:pPr>
    </w:p>
    <w:p>
      <w:pPr>
        <w:ind w:left="360" w:right="498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purchased interest rate swaps or hedges on this note, thereby locking in the interest rate at 6.22%.</w:t>
      </w:r>
    </w:p>
    <w:p>
      <w:pPr>
        <w:spacing w:after="0" w:line="5" w:lineRule="exact"/>
        <w:rPr>
          <w:rFonts w:ascii="Courier New" w:cs="Courier New" w:eastAsia="Courier New" w:hAnsi="Courier New"/>
          <w:sz w:val="15"/>
          <w:szCs w:val="15"/>
          <w:color w:val="auto"/>
        </w:rPr>
      </w:pPr>
    </w:p>
    <w:p>
      <w:pPr>
        <w:ind w:left="360" w:right="480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purchased interest rate swaps or hedges on these notes, thereby decreasing the effective interest.</w:t>
      </w:r>
    </w:p>
    <w:p>
      <w:pPr>
        <w:spacing w:after="0" w:line="5" w:lineRule="exact"/>
        <w:rPr>
          <w:rFonts w:ascii="Courier New" w:cs="Courier New" w:eastAsia="Courier New" w:hAnsi="Courier New"/>
          <w:sz w:val="15"/>
          <w:szCs w:val="15"/>
          <w:color w:val="auto"/>
        </w:rPr>
      </w:pPr>
    </w:p>
    <w:p>
      <w:pPr>
        <w:ind w:left="360" w:right="462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interest rate on revolving credit facilities and term note for nine months ended September 30, 2001.</w:t>
      </w:r>
    </w:p>
    <w:p>
      <w:pPr>
        <w:sectPr>
          <w:pgSz w:w="11900" w:h="16838" w:orient="portrait"/>
          <w:cols w:equalWidth="0" w:num="1">
            <w:col w:w="11540"/>
          </w:cols>
          <w:pgMar w:left="220" w:top="617" w:right="139" w:bottom="0" w:gutter="0" w:footer="0" w:header="0"/>
        </w:sectPr>
      </w:pPr>
    </w:p>
    <w:p>
      <w:pPr>
        <w:spacing w:after="0" w:line="173"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DEBT MATURITIES (In thousands)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capital leases and interest rate swaps)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(assumes all extensions are exercised)</w:t>
      </w:r>
    </w:p>
    <w:p>
      <w:pPr>
        <w:spacing w:after="0" w:line="213" w:lineRule="exact"/>
        <w:rPr>
          <w:sz w:val="20"/>
          <w:szCs w:val="20"/>
          <w:color w:val="auto"/>
        </w:rPr>
      </w:pPr>
    </w:p>
    <w:p>
      <w:pPr>
        <w:sectPr>
          <w:pgSz w:w="11900" w:h="16838" w:orient="portrait"/>
          <w:cols w:equalWidth="0" w:num="2">
            <w:col w:w="1320" w:space="180"/>
            <w:col w:w="10040"/>
          </w:cols>
          <w:pgMar w:left="220" w:top="617"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Scheduled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Percent of</w:t>
      </w:r>
    </w:p>
    <w:p>
      <w:pPr>
        <w:spacing w:after="0" w:line="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Debt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4"/>
          <w:szCs w:val="14"/>
          <w:color w:val="auto"/>
        </w:rPr>
        <w:t>Cumulative</w:t>
      </w:r>
    </w:p>
    <w:p>
      <w:pPr>
        <w:spacing w:after="0" w:line="10"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4"/>
          <w:szCs w:val="14"/>
          <w:color w:val="auto"/>
        </w:rPr>
        <w:t>Percent of</w:t>
      </w:r>
    </w:p>
    <w:p>
      <w:pPr>
        <w:spacing w:after="0" w:line="3"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Debt</w:t>
      </w:r>
    </w:p>
    <w:p>
      <w:pPr>
        <w:sectPr>
          <w:pgSz w:w="11900" w:h="16838" w:orient="portrait"/>
          <w:cols w:equalWidth="0" w:num="3">
            <w:col w:w="7420" w:space="720"/>
            <w:col w:w="1040" w:space="720"/>
            <w:col w:w="1640"/>
          </w:cols>
          <w:pgMar w:left="220" w:top="617" w:right="139" w:bottom="0" w:gutter="0" w:footer="0" w:header="0"/>
          <w:type w:val="continuous"/>
        </w:sectPr>
      </w:pPr>
    </w:p>
    <w:bookmarkStart w:id="5" w:name="page6"/>
    <w:bookmarkEnd w:id="5"/>
    <w:p>
      <w:pPr>
        <w:ind w:left="280"/>
        <w:spacing w:after="0"/>
        <w:tabs>
          <w:tab w:leader="none" w:pos="2620" w:val="left"/>
          <w:tab w:leader="none" w:pos="4460" w:val="left"/>
          <w:tab w:leader="none" w:pos="5860" w:val="left"/>
          <w:tab w:leader="none" w:pos="7000" w:val="left"/>
          <w:tab w:leader="none" w:pos="874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Amortization</w:t>
      </w:r>
      <w:r>
        <w:rPr>
          <w:sz w:val="20"/>
          <w:szCs w:val="20"/>
          <w:color w:val="auto"/>
        </w:rPr>
        <w:tab/>
      </w:r>
      <w:r>
        <w:rPr>
          <w:rFonts w:ascii="Courier New" w:cs="Courier New" w:eastAsia="Courier New" w:hAnsi="Courier New"/>
          <w:sz w:val="15"/>
          <w:szCs w:val="15"/>
          <w:color w:val="auto"/>
        </w:rPr>
        <w:t>Maturities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Expiring</w:t>
      </w:r>
      <w:r>
        <w:rPr>
          <w:sz w:val="20"/>
          <w:szCs w:val="20"/>
          <w:color w:val="auto"/>
        </w:rPr>
        <w:tab/>
      </w:r>
      <w:r>
        <w:rPr>
          <w:rFonts w:ascii="Courier New" w:cs="Courier New" w:eastAsia="Courier New" w:hAnsi="Courier New"/>
          <w:sz w:val="14"/>
          <w:szCs w:val="14"/>
          <w:color w:val="auto"/>
        </w:rPr>
        <w:t>Expiring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00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4"/>
              </w:rPr>
              <w:t>2001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2002</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28,689</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29,328</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2003</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846</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382,000</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382,846</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2004</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2,811</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61,861</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64,672</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2005</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3,064</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40,000</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43,064</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2006</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3,411</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63,547</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66,958</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2007</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3,686</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3,686</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2008</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3,918</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9,541</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13,459</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2009</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4,095</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175,045</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179,140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71.7%</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4"/>
              </w:rPr>
              <w:t>2010</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4,427</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4,427</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w:t>
            </w:r>
          </w:p>
        </w:tc>
      </w:tr>
      <w:tr>
        <w:trPr>
          <w:trHeight w:val="168"/>
        </w:trPr>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13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21,401</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282,442</w:t>
            </w:r>
          </w:p>
        </w:tc>
        <w:tc>
          <w:tcPr>
            <w:tcW w:w="2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303,843</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000" w:type="dxa"/>
            <w:vAlign w:val="bottom"/>
          </w:tcPr>
          <w:p>
            <w:pPr>
              <w:spacing w:after="0"/>
              <w:rPr>
                <w:sz w:val="14"/>
                <w:szCs w:val="14"/>
                <w:color w:val="auto"/>
              </w:rPr>
            </w:pPr>
          </w:p>
        </w:tc>
        <w:tc>
          <w:tcPr>
            <w:tcW w:w="6560" w:type="dxa"/>
            <w:vAlign w:val="bottom"/>
            <w:gridSpan w:val="7"/>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6"/>
        </w:trPr>
        <w:tc>
          <w:tcPr>
            <w:tcW w:w="2000" w:type="dxa"/>
            <w:vAlign w:val="bottom"/>
          </w:tcPr>
          <w:p>
            <w:pPr>
              <w:spacing w:after="0"/>
              <w:rPr>
                <w:sz w:val="24"/>
                <w:szCs w:val="2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48,447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1,043,125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1,091,572</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spacing w:after="0"/>
              <w:rPr>
                <w:sz w:val="24"/>
                <w:szCs w:val="24"/>
                <w:color w:val="auto"/>
              </w:rPr>
            </w:pPr>
          </w:p>
        </w:tc>
      </w:tr>
      <w:tr>
        <w:trPr>
          <w:trHeight w:val="168"/>
        </w:trPr>
        <w:tc>
          <w:tcPr>
            <w:tcW w:w="2000" w:type="dxa"/>
            <w:vAlign w:val="bottom"/>
          </w:tcPr>
          <w:p>
            <w:pPr>
              <w:spacing w:after="0"/>
              <w:rPr>
                <w:sz w:val="14"/>
                <w:szCs w:val="14"/>
                <w:color w:val="auto"/>
              </w:rPr>
            </w:pPr>
          </w:p>
        </w:tc>
        <w:tc>
          <w:tcPr>
            <w:tcW w:w="6560" w:type="dxa"/>
            <w:vAlign w:val="bottom"/>
            <w:gridSpan w:val="7"/>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bl>
    <w:p>
      <w:pPr>
        <w:sectPr>
          <w:pgSz w:w="11900" w:h="16838" w:orient="portrait"/>
          <w:cols w:equalWidth="0" w:num="1">
            <w:col w:w="9640"/>
          </w:cols>
          <w:pgMar w:left="1440" w:top="135" w:right="81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Percentage Leased Analysis</w:t>
      </w:r>
    </w:p>
    <w:p>
      <w:pPr>
        <w:spacing w:after="0" w:line="238" w:lineRule="auto"/>
        <w:rPr>
          <w:sz w:val="20"/>
          <w:szCs w:val="20"/>
          <w:color w:val="auto"/>
        </w:rPr>
      </w:pPr>
      <w:r>
        <w:rPr>
          <w:rFonts w:ascii="Courier New" w:cs="Courier New" w:eastAsia="Courier New" w:hAnsi="Courier New"/>
          <w:sz w:val="15"/>
          <w:szCs w:val="15"/>
          <w:color w:val="auto"/>
        </w:rPr>
        <w:t>September 30,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Overall Operating Occupancy</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(Quarter to Quarter Analysis)</w:t>
            </w:r>
          </w:p>
        </w:tc>
        <w:tc>
          <w:tcPr>
            <w:tcW w:w="340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At September 30, 2001</w:t>
            </w:r>
          </w:p>
        </w:tc>
        <w:tc>
          <w:tcPr>
            <w:tcW w:w="358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At September 30, 2000</w:t>
            </w:r>
          </w:p>
        </w:tc>
      </w:tr>
      <w:tr>
        <w:trPr>
          <w:trHeight w:val="168"/>
        </w:trPr>
        <w:tc>
          <w:tcPr>
            <w:tcW w:w="448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78"/>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80" w:type="dxa"/>
            <w:vAlign w:val="bottom"/>
          </w:tcPr>
          <w:p>
            <w:pPr>
              <w:ind w:left="1840"/>
              <w:spacing w:after="0"/>
              <w:rPr>
                <w:sz w:val="20"/>
                <w:szCs w:val="20"/>
                <w:color w:val="auto"/>
              </w:rPr>
            </w:pPr>
            <w:r>
              <w:rPr>
                <w:rFonts w:ascii="Courier New" w:cs="Courier New" w:eastAsia="Courier New" w:hAnsi="Courier New"/>
                <w:sz w:val="15"/>
                <w:szCs w:val="15"/>
                <w:color w:val="auto"/>
              </w:rPr>
              <w:t>Type</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Size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Leased</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Occupancy</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Size</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6"/>
              </w:rPr>
              <w:t>Leased</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3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14,586,960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13,969,698</w:t>
            </w:r>
          </w:p>
        </w:tc>
        <w:tc>
          <w:tcPr>
            <w:tcW w:w="22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13,929,402</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13,397,528</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30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282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2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841"/>
        </w:trPr>
        <w:tc>
          <w:tcPr>
            <w:tcW w:w="44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Overall Operating Occupancy</w:t>
            </w:r>
          </w:p>
        </w:tc>
        <w:tc>
          <w:tcPr>
            <w:tcW w:w="340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At September 30, 2001</w:t>
            </w:r>
          </w:p>
        </w:tc>
        <w:tc>
          <w:tcPr>
            <w:tcW w:w="1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7"/>
              </w:rPr>
              <w:t>At June 30, 2001</w:t>
            </w:r>
          </w:p>
        </w:tc>
        <w:tc>
          <w:tcPr>
            <w:tcW w:w="920" w:type="dxa"/>
            <w:vAlign w:val="bottom"/>
          </w:tcPr>
          <w:p>
            <w:pPr>
              <w:spacing w:after="0"/>
              <w:rPr>
                <w:sz w:val="24"/>
                <w:szCs w:val="24"/>
                <w:color w:val="auto"/>
              </w:rPr>
            </w:pPr>
          </w:p>
        </w:tc>
      </w:tr>
      <w:tr>
        <w:trPr>
          <w:trHeight w:val="168"/>
        </w:trPr>
        <w:tc>
          <w:tcPr>
            <w:tcW w:w="4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(Rolling 12 Months)</w:t>
            </w:r>
          </w:p>
        </w:tc>
        <w:tc>
          <w:tcPr>
            <w:tcW w:w="22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78"/>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80" w:type="dxa"/>
            <w:vAlign w:val="bottom"/>
          </w:tcPr>
          <w:p>
            <w:pPr>
              <w:ind w:left="1840"/>
              <w:spacing w:after="0"/>
              <w:rPr>
                <w:sz w:val="20"/>
                <w:szCs w:val="20"/>
                <w:color w:val="auto"/>
              </w:rPr>
            </w:pPr>
            <w:r>
              <w:rPr>
                <w:rFonts w:ascii="Courier New" w:cs="Courier New" w:eastAsia="Courier New" w:hAnsi="Courier New"/>
                <w:sz w:val="15"/>
                <w:szCs w:val="15"/>
                <w:color w:val="auto"/>
              </w:rPr>
              <w:t>Type</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Size</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Leased</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Occupancy</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Size</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6"/>
              </w:rPr>
              <w:t>Leased</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 (leasable square feet)</w:t>
            </w:r>
          </w:p>
        </w:tc>
        <w:tc>
          <w:tcPr>
            <w:tcW w:w="130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14,586,960</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13,969,698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14,401,918</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13,763,220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30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282</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Same Center Occupancy</w:t>
      </w:r>
    </w:p>
    <w:p>
      <w:pPr>
        <w:sectPr>
          <w:pgSz w:w="11900" w:h="16838" w:orient="portrait"/>
          <w:cols w:equalWidth="0" w:num="1">
            <w:col w:w="11540"/>
          </w:cols>
          <w:pgMar w:left="220" w:top="617" w:right="139" w:bottom="0" w:gutter="0" w:footer="0" w:header="0"/>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(Quarter to Quarter Comparison)</w:t>
      </w:r>
    </w:p>
    <w:p>
      <w:pPr>
        <w:spacing w:after="0" w:line="20" w:lineRule="exact"/>
        <w:rPr>
          <w:sz w:val="20"/>
          <w:szCs w:val="20"/>
          <w:color w:val="auto"/>
        </w:rPr>
      </w:pPr>
      <w:r>
        <w:rPr>
          <w:sz w:val="20"/>
          <w:szCs w:val="20"/>
          <w:color w:val="auto"/>
        </w:rPr>
        <w:br w:type="column"/>
      </w:r>
    </w:p>
    <w:p>
      <w:pPr>
        <w:ind w:left="540"/>
        <w:spacing w:after="0" w:line="237" w:lineRule="auto"/>
        <w:rPr>
          <w:sz w:val="20"/>
          <w:szCs w:val="20"/>
          <w:color w:val="auto"/>
        </w:rPr>
      </w:pPr>
      <w:r>
        <w:rPr>
          <w:rFonts w:ascii="Courier New" w:cs="Courier New" w:eastAsia="Courier New" w:hAnsi="Courier New"/>
          <w:sz w:val="15"/>
          <w:szCs w:val="15"/>
          <w:color w:val="auto"/>
        </w:rPr>
        <w:t>At September 30,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line="237" w:lineRule="auto"/>
        <w:rPr>
          <w:sz w:val="20"/>
          <w:szCs w:val="20"/>
          <w:color w:val="auto"/>
        </w:rPr>
      </w:pPr>
      <w:r>
        <w:rPr>
          <w:rFonts w:ascii="Courier New" w:cs="Courier New" w:eastAsia="Courier New" w:hAnsi="Courier New"/>
          <w:sz w:val="15"/>
          <w:szCs w:val="15"/>
          <w:color w:val="auto"/>
        </w:rPr>
        <w:t>At September 30,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3920" w:space="720"/>
            <w:col w:w="3160" w:space="260"/>
            <w:col w:w="3480"/>
          </w:cols>
          <w:pgMar w:left="220" w:top="617" w:right="139" w:bottom="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 (leasable square feet)</w:t>
      </w:r>
    </w:p>
    <w:p>
      <w:pPr>
        <w:spacing w:after="0" w:line="237" w:lineRule="auto"/>
        <w:rPr>
          <w:sz w:val="20"/>
          <w:szCs w:val="20"/>
          <w:color w:val="auto"/>
        </w:rPr>
      </w:pPr>
      <w:r>
        <w:rPr>
          <w:rFonts w:ascii="Courier New" w:cs="Courier New" w:eastAsia="Courier New" w:hAnsi="Courier New"/>
          <w:sz w:val="15"/>
          <w:szCs w:val="15"/>
          <w:color w:val="auto"/>
        </w:rPr>
        <w:t>Rollingwood Apartments (# of units)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Size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13,729,885</w:t>
      </w:r>
    </w:p>
    <w:p>
      <w:pPr>
        <w:ind w:left="700"/>
        <w:spacing w:after="0" w:line="237" w:lineRule="auto"/>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ind w:firstLine="87"/>
        <w:spacing w:after="0" w:line="256" w:lineRule="auto"/>
        <w:rPr>
          <w:sz w:val="20"/>
          <w:szCs w:val="20"/>
          <w:color w:val="auto"/>
        </w:rPr>
      </w:pPr>
      <w:r>
        <w:rPr>
          <w:rFonts w:ascii="Courier New" w:cs="Courier New" w:eastAsia="Courier New" w:hAnsi="Courier New"/>
          <w:sz w:val="14"/>
          <w:szCs w:val="14"/>
          <w:color w:val="auto"/>
        </w:rPr>
        <w:t>Leased ---------- 13,145,884 282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96%</w:t>
      </w:r>
    </w:p>
    <w:p>
      <w:pPr>
        <w:ind w:left="260"/>
        <w:spacing w:after="0" w:line="237" w:lineRule="auto"/>
        <w:rPr>
          <w:sz w:val="20"/>
          <w:szCs w:val="20"/>
          <w:color w:val="auto"/>
        </w:rPr>
      </w:pPr>
      <w:r>
        <w:rPr>
          <w:rFonts w:ascii="Courier New" w:cs="Courier New" w:eastAsia="Courier New" w:hAnsi="Courier New"/>
          <w:sz w:val="15"/>
          <w:szCs w:val="15"/>
          <w:color w:val="auto"/>
        </w:rPr>
        <w:t>100%</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Size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13,580,799</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center"/>
        <w:spacing w:after="0" w:line="256" w:lineRule="auto"/>
        <w:rPr>
          <w:sz w:val="20"/>
          <w:szCs w:val="20"/>
          <w:color w:val="auto"/>
        </w:rPr>
      </w:pPr>
      <w:r>
        <w:rPr>
          <w:rFonts w:ascii="Courier New" w:cs="Courier New" w:eastAsia="Courier New" w:hAnsi="Courier New"/>
          <w:sz w:val="14"/>
          <w:szCs w:val="14"/>
          <w:color w:val="auto"/>
        </w:rPr>
        <w:t>Leased ---------- 13,059,813 282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96%</w:t>
      </w:r>
    </w:p>
    <w:p>
      <w:pPr>
        <w:ind w:left="260"/>
        <w:spacing w:after="0" w:line="237" w:lineRule="auto"/>
        <w:rPr>
          <w:sz w:val="20"/>
          <w:szCs w:val="20"/>
          <w:color w:val="auto"/>
        </w:rPr>
      </w:pPr>
      <w:r>
        <w:rPr>
          <w:rFonts w:ascii="Courier New" w:cs="Courier New" w:eastAsia="Courier New" w:hAnsi="Courier New"/>
          <w:sz w:val="15"/>
          <w:szCs w:val="15"/>
          <w:color w:val="auto"/>
        </w:rPr>
        <w:t>100%</w:t>
      </w:r>
    </w:p>
    <w:p>
      <w:pPr>
        <w:spacing w:after="0" w:line="209" w:lineRule="exact"/>
        <w:rPr>
          <w:sz w:val="20"/>
          <w:szCs w:val="20"/>
          <w:color w:val="auto"/>
        </w:rPr>
      </w:pPr>
    </w:p>
    <w:p>
      <w:pPr>
        <w:sectPr>
          <w:pgSz w:w="11900" w:h="16838" w:orient="portrait"/>
          <w:cols w:equalWidth="0" w:num="7">
            <w:col w:w="4300" w:space="340"/>
            <w:col w:w="1060" w:space="260"/>
            <w:col w:w="880" w:space="160"/>
            <w:col w:w="800" w:space="340"/>
            <w:col w:w="880" w:space="340"/>
            <w:col w:w="880" w:space="360"/>
            <w:col w:w="940"/>
          </w:cols>
          <w:pgMar w:left="220" w:top="617" w:right="139" w:bottom="0" w:gutter="0" w:footer="0" w:header="0"/>
          <w:type w:val="continuous"/>
        </w:sectPr>
      </w:pPr>
    </w:p>
    <w:p>
      <w:pPr>
        <w:spacing w:after="0" w:line="13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7" w:right="139" w:bottom="0" w:gutter="0" w:footer="0" w:header="0"/>
          <w:type w:val="continuous"/>
        </w:sectPr>
      </w:pPr>
    </w:p>
    <w:p>
      <w:pPr>
        <w:spacing w:after="0" w:line="1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September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June 30, 2001</w:t>
      </w:r>
    </w:p>
    <w:p>
      <w:pPr>
        <w:spacing w:after="0" w:line="178" w:lineRule="exact"/>
        <w:rPr>
          <w:sz w:val="20"/>
          <w:szCs w:val="20"/>
          <w:color w:val="auto"/>
        </w:rPr>
      </w:pPr>
    </w:p>
    <w:p>
      <w:pPr>
        <w:sectPr>
          <w:pgSz w:w="11900" w:h="16838" w:orient="portrait"/>
          <w:cols w:equalWidth="0" w:num="3">
            <w:col w:w="5140" w:space="720"/>
            <w:col w:w="2700" w:space="720"/>
            <w:col w:w="2260"/>
          </w:cols>
          <w:pgMar w:left="220" w:top="617" w:right="139" w:bottom="0" w:gutter="0" w:footer="0" w:header="0"/>
          <w:type w:val="continuous"/>
        </w:sectPr>
      </w:pPr>
    </w:p>
    <w:p>
      <w:pPr>
        <w:ind w:left="4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7" w:right="139" w:bottom="0" w:gutter="0" w:footer="0" w:header="0"/>
          <w:type w:val="continuous"/>
        </w:sectPr>
      </w:pP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 (leasable square feet)</w:t>
      </w:r>
    </w:p>
    <w:p>
      <w:pPr>
        <w:spacing w:after="0" w:line="237" w:lineRule="auto"/>
        <w:rPr>
          <w:sz w:val="20"/>
          <w:szCs w:val="20"/>
          <w:color w:val="auto"/>
        </w:rPr>
      </w:pPr>
      <w:r>
        <w:rPr>
          <w:rFonts w:ascii="Courier New" w:cs="Courier New" w:eastAsia="Courier New" w:hAnsi="Courier New"/>
          <w:sz w:val="15"/>
          <w:szCs w:val="15"/>
          <w:color w:val="auto"/>
        </w:rPr>
        <w:t>Rollingwood Apartments (# of units)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Size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13,729,885</w:t>
      </w:r>
    </w:p>
    <w:p>
      <w:pPr>
        <w:ind w:left="700"/>
        <w:spacing w:after="0" w:line="237" w:lineRule="auto"/>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firstLine="87"/>
        <w:spacing w:after="0" w:line="256" w:lineRule="auto"/>
        <w:rPr>
          <w:sz w:val="20"/>
          <w:szCs w:val="20"/>
          <w:color w:val="auto"/>
        </w:rPr>
      </w:pPr>
      <w:r>
        <w:rPr>
          <w:rFonts w:ascii="Courier New" w:cs="Courier New" w:eastAsia="Courier New" w:hAnsi="Courier New"/>
          <w:sz w:val="14"/>
          <w:szCs w:val="14"/>
          <w:color w:val="auto"/>
        </w:rPr>
        <w:t>Leased ---------- 13,145,884 282</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96%</w:t>
      </w:r>
    </w:p>
    <w:p>
      <w:pPr>
        <w:ind w:left="260"/>
        <w:spacing w:after="0" w:line="237" w:lineRule="auto"/>
        <w:rPr>
          <w:sz w:val="20"/>
          <w:szCs w:val="20"/>
          <w:color w:val="auto"/>
        </w:rPr>
      </w:pPr>
      <w:r>
        <w:rPr>
          <w:rFonts w:ascii="Courier New" w:cs="Courier New" w:eastAsia="Courier New" w:hAnsi="Courier New"/>
          <w:sz w:val="15"/>
          <w:szCs w:val="15"/>
          <w:color w:val="auto"/>
        </w:rPr>
        <w:t>100%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Size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13,676,328</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line="256" w:lineRule="auto"/>
        <w:rPr>
          <w:sz w:val="20"/>
          <w:szCs w:val="20"/>
          <w:color w:val="auto"/>
        </w:rPr>
      </w:pPr>
      <w:r>
        <w:rPr>
          <w:rFonts w:ascii="Courier New" w:cs="Courier New" w:eastAsia="Courier New" w:hAnsi="Courier New"/>
          <w:sz w:val="14"/>
          <w:szCs w:val="14"/>
          <w:color w:val="auto"/>
        </w:rPr>
        <w:t>Leased ---------- 13,072,483 281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96%</w:t>
      </w:r>
    </w:p>
    <w:p>
      <w:pPr>
        <w:ind w:left="340"/>
        <w:spacing w:after="0" w:line="237" w:lineRule="auto"/>
        <w:rPr>
          <w:sz w:val="20"/>
          <w:szCs w:val="20"/>
          <w:color w:val="auto"/>
        </w:rPr>
      </w:pPr>
      <w:r>
        <w:rPr>
          <w:rFonts w:ascii="Courier New" w:cs="Courier New" w:eastAsia="Courier New" w:hAnsi="Courier New"/>
          <w:sz w:val="15"/>
          <w:szCs w:val="15"/>
          <w:color w:val="auto"/>
        </w:rPr>
        <w:t>99%</w:t>
      </w:r>
    </w:p>
    <w:p>
      <w:pPr>
        <w:spacing w:after="0" w:line="209" w:lineRule="exact"/>
        <w:rPr>
          <w:sz w:val="20"/>
          <w:szCs w:val="20"/>
          <w:color w:val="auto"/>
        </w:rPr>
      </w:pPr>
    </w:p>
    <w:p>
      <w:pPr>
        <w:sectPr>
          <w:pgSz w:w="11900" w:h="16838" w:orient="portrait"/>
          <w:cols w:equalWidth="0" w:num="7">
            <w:col w:w="4300" w:space="340"/>
            <w:col w:w="1060" w:space="260"/>
            <w:col w:w="880" w:space="160"/>
            <w:col w:w="800" w:space="340"/>
            <w:col w:w="880" w:space="340"/>
            <w:col w:w="880" w:space="360"/>
            <w:col w:w="940"/>
          </w:cols>
          <w:pgMar w:left="220" w:top="617" w:right="139" w:bottom="0" w:gutter="0" w:footer="0" w:header="0"/>
          <w:type w:val="continuous"/>
        </w:sectPr>
      </w:pPr>
    </w:p>
    <w:p>
      <w:pPr>
        <w:spacing w:after="0" w:line="126" w:lineRule="exact"/>
        <w:rPr>
          <w:sz w:val="20"/>
          <w:szCs w:val="20"/>
          <w:color w:val="auto"/>
        </w:rPr>
      </w:pPr>
    </w:p>
    <w:p>
      <w:pPr>
        <w:jc w:val="center"/>
        <w:ind w:right="7600"/>
        <w:spacing w:after="0"/>
        <w:rPr>
          <w:sz w:val="20"/>
          <w:szCs w:val="20"/>
          <w:color w:val="auto"/>
        </w:rPr>
      </w:pPr>
      <w:r>
        <w:rPr>
          <w:rFonts w:ascii="Courier New" w:cs="Courier New" w:eastAsia="Courier New" w:hAnsi="Courier New"/>
          <w:sz w:val="15"/>
          <w:szCs w:val="15"/>
          <w:color w:val="auto"/>
        </w:rPr>
        <w:t>Overall Operating Occupancy</w:t>
      </w:r>
    </w:p>
    <w:p>
      <w:pPr>
        <w:jc w:val="center"/>
        <w:ind w:right="7600"/>
        <w:spacing w:after="0" w:line="237" w:lineRule="auto"/>
        <w:rPr>
          <w:sz w:val="20"/>
          <w:szCs w:val="20"/>
          <w:color w:val="auto"/>
        </w:rPr>
      </w:pPr>
      <w:r>
        <w:rPr>
          <w:rFonts w:ascii="Courier New" w:cs="Courier New" w:eastAsia="Courier New" w:hAnsi="Courier New"/>
          <w:sz w:val="15"/>
          <w:szCs w:val="15"/>
          <w:color w:val="auto"/>
        </w:rPr>
        <w:t>(Quarter to Quarter Analysis)</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 (leasable square feet)</w:t>
      </w:r>
    </w:p>
    <w:p>
      <w:pPr>
        <w:spacing w:after="0" w:line="237" w:lineRule="auto"/>
        <w:rPr>
          <w:sz w:val="20"/>
          <w:szCs w:val="20"/>
          <w:color w:val="auto"/>
        </w:rPr>
      </w:pPr>
      <w:r>
        <w:rPr>
          <w:rFonts w:ascii="Courier New" w:cs="Courier New" w:eastAsia="Courier New" w:hAnsi="Courier New"/>
          <w:sz w:val="15"/>
          <w:szCs w:val="15"/>
          <w:color w:val="auto"/>
        </w:rPr>
        <w:t>Rollingwood Apartments (# of units)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Overall Operating Occupancy</w:t>
      </w:r>
    </w:p>
    <w:p>
      <w:pPr>
        <w:sectPr>
          <w:pgSz w:w="11900" w:h="16838" w:orient="portrait"/>
          <w:cols w:equalWidth="0" w:num="1">
            <w:col w:w="11540"/>
          </w:cols>
          <w:pgMar w:left="220" w:top="617" w:right="139" w:bottom="0" w:gutter="0" w:footer="0" w:header="0"/>
          <w:type w:val="continuous"/>
        </w:sectPr>
      </w:pP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jc w:val="center"/>
        <w:spacing w:after="0" w:line="237" w:lineRule="auto"/>
        <w:rPr>
          <w:sz w:val="20"/>
          <w:szCs w:val="20"/>
          <w:color w:val="auto"/>
        </w:rPr>
      </w:pPr>
      <w:r>
        <w:rPr>
          <w:rFonts w:ascii="Courier New" w:cs="Courier New" w:eastAsia="Courier New" w:hAnsi="Courier New"/>
          <w:sz w:val="15"/>
          <w:szCs w:val="15"/>
          <w:color w:val="auto"/>
        </w:rPr>
        <w:t>At March 31, 2001</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line="234" w:lineRule="auto"/>
        <w:rPr>
          <w:sz w:val="20"/>
          <w:szCs w:val="20"/>
          <w:color w:val="auto"/>
        </w:rPr>
      </w:pPr>
      <w:r>
        <w:rPr>
          <w:rFonts w:ascii="Courier New" w:cs="Courier New" w:eastAsia="Courier New" w:hAnsi="Courier New"/>
          <w:sz w:val="15"/>
          <w:szCs w:val="15"/>
          <w:color w:val="auto"/>
        </w:rPr>
        <w:t>At December 31, 2000 ------------------------------------</w:t>
      </w:r>
    </w:p>
    <w:p>
      <w:pPr>
        <w:spacing w:after="0" w:line="167" w:lineRule="exact"/>
        <w:rPr>
          <w:sz w:val="20"/>
          <w:szCs w:val="20"/>
          <w:color w:val="auto"/>
        </w:rPr>
      </w:pPr>
    </w:p>
    <w:p>
      <w:pPr>
        <w:sectPr>
          <w:pgSz w:w="11900" w:h="16838" w:orient="portrait"/>
          <w:cols w:equalWidth="0" w:num="3">
            <w:col w:w="4180" w:space="720"/>
            <w:col w:w="3060" w:space="360"/>
            <w:col w:w="3220"/>
          </w:cols>
          <w:pgMar w:left="220" w:top="617" w:right="139" w:bottom="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350"/>
        <w:spacing w:after="0" w:line="234" w:lineRule="auto"/>
        <w:rPr>
          <w:sz w:val="20"/>
          <w:szCs w:val="20"/>
          <w:color w:val="auto"/>
        </w:rPr>
      </w:pPr>
      <w:r>
        <w:rPr>
          <w:rFonts w:ascii="Courier New" w:cs="Courier New" w:eastAsia="Courier New" w:hAnsi="Courier New"/>
          <w:sz w:val="15"/>
          <w:szCs w:val="15"/>
          <w:color w:val="auto"/>
        </w:rPr>
        <w:t>Size Leased ------------ ----------</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Size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Leased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80"/>
        <w:spacing w:after="0" w:line="261"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6">
            <w:col w:w="4740" w:space="160"/>
            <w:col w:w="2020" w:space="180"/>
            <w:col w:w="780" w:space="440"/>
            <w:col w:w="880" w:space="260"/>
            <w:col w:w="880" w:space="340"/>
            <w:col w:w="860"/>
          </w:cols>
          <w:pgMar w:left="220" w:top="61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14,609,901</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13,938,466</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14,101,425</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13,504,384</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ectPr>
          <w:pgSz w:w="11900" w:h="16838" w:orient="portrait"/>
          <w:cols w:equalWidth="0" w:num="7">
            <w:col w:w="4280" w:space="720"/>
            <w:col w:w="860" w:space="180"/>
            <w:col w:w="880" w:space="440"/>
            <w:col w:w="260" w:space="700"/>
            <w:col w:w="880" w:space="260"/>
            <w:col w:w="880" w:space="600"/>
            <w:col w:w="600"/>
          </w:cols>
          <w:pgMar w:left="220" w:top="617" w:right="139" w:bottom="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7420"/>
        <w:spacing w:after="0"/>
        <w:rPr>
          <w:sz w:val="20"/>
          <w:szCs w:val="20"/>
          <w:color w:val="auto"/>
        </w:rPr>
      </w:pPr>
      <w:r>
        <w:rPr>
          <w:rFonts w:ascii="Courier New" w:cs="Courier New" w:eastAsia="Courier New" w:hAnsi="Courier New"/>
          <w:sz w:val="15"/>
          <w:szCs w:val="15"/>
          <w:color w:val="auto"/>
        </w:rPr>
        <w:t>Same Center Occupancy</w:t>
      </w:r>
    </w:p>
    <w:p>
      <w:pPr>
        <w:jc w:val="center"/>
        <w:ind w:right="7420"/>
        <w:spacing w:after="0" w:line="237" w:lineRule="auto"/>
        <w:rPr>
          <w:sz w:val="20"/>
          <w:szCs w:val="20"/>
          <w:color w:val="auto"/>
        </w:rPr>
      </w:pPr>
      <w:r>
        <w:rPr>
          <w:rFonts w:ascii="Courier New" w:cs="Courier New" w:eastAsia="Courier New" w:hAnsi="Courier New"/>
          <w:sz w:val="15"/>
          <w:szCs w:val="15"/>
          <w:color w:val="auto"/>
        </w:rPr>
        <w:t>(Quarter to Quarter Comparison)</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Type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 (leasable square feet)</w:t>
      </w:r>
    </w:p>
    <w:p>
      <w:pPr>
        <w:spacing w:after="0" w:line="237" w:lineRule="auto"/>
        <w:rPr>
          <w:sz w:val="20"/>
          <w:szCs w:val="20"/>
          <w:color w:val="auto"/>
        </w:rPr>
      </w:pPr>
      <w:r>
        <w:rPr>
          <w:rFonts w:ascii="Courier New" w:cs="Courier New" w:eastAsia="Courier New" w:hAnsi="Courier New"/>
          <w:sz w:val="15"/>
          <w:szCs w:val="15"/>
          <w:color w:val="auto"/>
        </w:rPr>
        <w:t>Rollingwood Apartments (# of units)</w:t>
      </w:r>
    </w:p>
    <w:p>
      <w:pPr>
        <w:spacing w:after="0" w:line="200" w:lineRule="exact"/>
        <w:rPr>
          <w:sz w:val="20"/>
          <w:szCs w:val="20"/>
          <w:color w:val="auto"/>
        </w:rPr>
      </w:pPr>
    </w:p>
    <w:p>
      <w:pPr>
        <w:spacing w:after="0" w:line="30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Same Center Occupancy</w:t>
      </w:r>
    </w:p>
    <w:p>
      <w:pPr>
        <w:sectPr>
          <w:pgSz w:w="11900" w:h="16838" w:orient="portrait"/>
          <w:cols w:equalWidth="0" w:num="1">
            <w:col w:w="11540"/>
          </w:cols>
          <w:pgMar w:left="220" w:top="617" w:right="1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(Rolling 12</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Months)</w:t>
            </w:r>
          </w:p>
        </w:tc>
        <w:tc>
          <w:tcPr>
            <w:tcW w:w="3900" w:type="dxa"/>
            <w:vAlign w:val="bottom"/>
            <w:gridSpan w:val="3"/>
          </w:tcPr>
          <w:p>
            <w:pPr>
              <w:ind w:left="1500"/>
              <w:spacing w:after="0"/>
              <w:rPr>
                <w:sz w:val="20"/>
                <w:szCs w:val="20"/>
                <w:color w:val="auto"/>
              </w:rPr>
            </w:pPr>
            <w:r>
              <w:rPr>
                <w:rFonts w:ascii="Courier New" w:cs="Courier New" w:eastAsia="Courier New" w:hAnsi="Courier New"/>
                <w:sz w:val="15"/>
                <w:szCs w:val="15"/>
                <w:color w:val="auto"/>
              </w:rPr>
              <w:t>At March 31, 2001</w:t>
            </w:r>
          </w:p>
        </w:tc>
        <w:tc>
          <w:tcPr>
            <w:tcW w:w="1100" w:type="dxa"/>
            <w:vAlign w:val="bottom"/>
          </w:tcPr>
          <w:p>
            <w:pPr>
              <w:spacing w:after="0"/>
              <w:rPr>
                <w:sz w:val="14"/>
                <w:szCs w:val="14"/>
                <w:color w:val="auto"/>
              </w:rPr>
            </w:pPr>
          </w:p>
        </w:tc>
        <w:tc>
          <w:tcPr>
            <w:tcW w:w="23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w w:val="95"/>
              </w:rPr>
              <w:t>At December 31, 2000</w:t>
            </w:r>
          </w:p>
        </w:tc>
      </w:tr>
      <w:tr>
        <w:trPr>
          <w:trHeight w:val="168"/>
        </w:trPr>
        <w:tc>
          <w:tcPr>
            <w:tcW w:w="2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3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Type</w:t>
            </w:r>
          </w:p>
        </w:tc>
        <w:tc>
          <w:tcPr>
            <w:tcW w:w="1920" w:type="dxa"/>
            <w:vAlign w:val="bottom"/>
          </w:tcPr>
          <w:p>
            <w:pPr>
              <w:spacing w:after="0"/>
              <w:rPr>
                <w:sz w:val="24"/>
                <w:szCs w:val="2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Size</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Leased</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Occupancy</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Size</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Leased</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13,997,565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13,392,116</w:t>
            </w:r>
          </w:p>
        </w:tc>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13,748,913</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13,188,363</w:t>
            </w:r>
          </w:p>
        </w:tc>
        <w:tc>
          <w:tcPr>
            <w:tcW w:w="10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96%</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Rollingwood Apartments (#</w:t>
            </w:r>
          </w:p>
        </w:tc>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of units)</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99%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w:t>
            </w: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1540"/>
          </w:cols>
          <w:pgMar w:left="220" w:top="135"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Regional Occupancy Analysis</w:t>
      </w:r>
    </w:p>
    <w:p>
      <w:pPr>
        <w:spacing w:after="0" w:line="238" w:lineRule="auto"/>
        <w:rPr>
          <w:sz w:val="20"/>
          <w:szCs w:val="20"/>
          <w:color w:val="auto"/>
        </w:rPr>
      </w:pPr>
      <w:r>
        <w:rPr>
          <w:rFonts w:ascii="Courier New" w:cs="Courier New" w:eastAsia="Courier New" w:hAnsi="Courier New"/>
          <w:sz w:val="15"/>
          <w:szCs w:val="15"/>
          <w:color w:val="auto"/>
        </w:rPr>
        <w:t>September 30,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Total Square</w:t>
            </w:r>
          </w:p>
        </w:tc>
        <w:tc>
          <w:tcPr>
            <w:tcW w:w="18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Occupancy</w:t>
            </w:r>
          </w:p>
        </w:tc>
      </w:tr>
      <w:tr>
        <w:trPr>
          <w:trHeight w:val="168"/>
        </w:trPr>
        <w:tc>
          <w:tcPr>
            <w:tcW w:w="28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Region</w:t>
            </w:r>
          </w:p>
        </w:tc>
        <w:tc>
          <w:tcPr>
            <w:tcW w:w="238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Footage</w:t>
            </w:r>
          </w:p>
        </w:tc>
        <w:tc>
          <w:tcPr>
            <w:tcW w:w="1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09/30/01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7,519,308</w:t>
            </w:r>
          </w:p>
        </w:tc>
        <w:tc>
          <w:tcPr>
            <w:tcW w:w="18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96%</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5,947,340</w:t>
            </w:r>
          </w:p>
        </w:tc>
        <w:tc>
          <w:tcPr>
            <w:tcW w:w="18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96%</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1,120,312</w:t>
            </w:r>
          </w:p>
        </w:tc>
        <w:tc>
          <w:tcPr>
            <w:tcW w:w="18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96%</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Square</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3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Region</w:t>
            </w:r>
          </w:p>
        </w:tc>
        <w:tc>
          <w:tcPr>
            <w:tcW w:w="2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Footage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09/30/01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4,655,820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2,863,488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2,724,891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3,222,449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West</w:t>
            </w: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351,352</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768,960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w:t>
            </w:r>
          </w:p>
        </w:tc>
      </w:tr>
    </w:tbl>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Retail Leasing Activity</w:t>
      </w:r>
    </w:p>
    <w:p>
      <w:pPr>
        <w:spacing w:after="0" w:line="238" w:lineRule="auto"/>
        <w:tabs>
          <w:tab w:leader="none" w:pos="1300" w:val="left"/>
        </w:tabs>
        <w:rPr>
          <w:sz w:val="20"/>
          <w:szCs w:val="20"/>
          <w:color w:val="auto"/>
        </w:rPr>
      </w:pPr>
      <w:r>
        <w:rPr>
          <w:rFonts w:ascii="Courier New" w:cs="Courier New" w:eastAsia="Courier New" w:hAnsi="Courier New"/>
          <w:sz w:val="15"/>
          <w:szCs w:val="15"/>
          <w:color w:val="auto"/>
        </w:rPr>
        <w:t>September 30,</w:t>
        <w:tab/>
        <w:t>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Comparable</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Weighted</w:t>
            </w:r>
          </w:p>
        </w:tc>
        <w:tc>
          <w:tcPr>
            <w:tcW w:w="26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Average Prior Average Current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w:t>
            </w:r>
          </w:p>
        </w:tc>
        <w:tc>
          <w:tcPr>
            <w:tcW w:w="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Tenant</w:t>
            </w:r>
          </w:p>
        </w:tc>
      </w:tr>
      <w:tr>
        <w:trPr>
          <w:trHeight w:val="168"/>
        </w:trPr>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Square</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Average Lease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Rent Per</w:t>
            </w:r>
          </w:p>
        </w:tc>
        <w:tc>
          <w:tcPr>
            <w:tcW w:w="38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Per</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Annualized</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Increase</w:t>
            </w:r>
          </w:p>
        </w:tc>
        <w:tc>
          <w:tcPr>
            <w:tcW w:w="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Improvement</w:t>
            </w:r>
          </w:p>
        </w:tc>
      </w:tr>
      <w:tr>
        <w:trPr>
          <w:trHeight w:val="168"/>
        </w:trPr>
        <w:tc>
          <w:tcPr>
            <w:tcW w:w="31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Rolling 12 Months Leases Signed</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Feet</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Term (Years)</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Square Foot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Square Foot</w:t>
            </w:r>
          </w:p>
        </w:tc>
        <w:tc>
          <w:tcPr>
            <w:tcW w:w="29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Increase in Rent over Prior Rent</w:t>
            </w:r>
          </w:p>
        </w:tc>
        <w:tc>
          <w:tcPr>
            <w:tcW w:w="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Costs</w:t>
            </w:r>
          </w:p>
        </w:tc>
      </w:tr>
      <w:tr>
        <w:trPr>
          <w:trHeight w:val="168"/>
        </w:trPr>
        <w:tc>
          <w:tcPr>
            <w:tcW w:w="3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748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w:t>
            </w:r>
          </w:p>
        </w:tc>
        <w:tc>
          <w:tcPr>
            <w:tcW w:w="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3rd Quarter</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200,388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$23.03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25.57</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508,120</w:t>
            </w:r>
          </w:p>
        </w:tc>
        <w:tc>
          <w:tcPr>
            <w:tcW w:w="5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935,000</w:t>
            </w:r>
          </w:p>
        </w:tc>
      </w:tr>
      <w:tr>
        <w:trPr>
          <w:trHeight w:val="168"/>
        </w:trPr>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2nd Quarter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206,158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$19.86</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24.78</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$1,014,599</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1,697,000</w:t>
            </w:r>
          </w:p>
        </w:tc>
      </w:tr>
      <w:tr>
        <w:trPr>
          <w:trHeight w:val="168"/>
        </w:trPr>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1st Quarter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233,106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$17.27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19.64</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554,492</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614,000</w:t>
            </w:r>
          </w:p>
        </w:tc>
      </w:tr>
      <w:tr>
        <w:trPr>
          <w:trHeight w:val="168"/>
        </w:trPr>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4th Quarter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197,642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$19.40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21.58</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430,649</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313,000</w:t>
            </w:r>
          </w:p>
        </w:tc>
      </w:tr>
      <w:tr>
        <w:trPr>
          <w:trHeight w:val="168"/>
        </w:trPr>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c>
          <w:tcPr>
            <w:tcW w:w="6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274</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837,294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$19.79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22.78</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$2,507,860</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3,559,000</w:t>
            </w:r>
          </w:p>
        </w:tc>
      </w:tr>
      <w:tr>
        <w:trPr>
          <w:trHeight w:val="841"/>
        </w:trPr>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Non-Comparable</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7"/>
              </w:rPr>
              <w:t>Weighted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Estimated</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Annualized</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Tenant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Square</w:t>
            </w:r>
          </w:p>
        </w:tc>
        <w:tc>
          <w:tcPr>
            <w:tcW w:w="400" w:type="dxa"/>
            <w:vAlign w:val="bottom"/>
          </w:tcPr>
          <w:p>
            <w:pPr>
              <w:spacing w:after="0"/>
              <w:rPr>
                <w:sz w:val="14"/>
                <w:szCs w:val="14"/>
                <w:color w:val="auto"/>
              </w:rPr>
            </w:pPr>
          </w:p>
        </w:tc>
        <w:tc>
          <w:tcPr>
            <w:tcW w:w="1180" w:type="dxa"/>
            <w:vAlign w:val="bottom"/>
          </w:tcPr>
          <w:p>
            <w:pPr>
              <w:jc w:val="center"/>
              <w:ind w:right="667"/>
              <w:spacing w:after="0" w:line="168" w:lineRule="exact"/>
              <w:rPr>
                <w:sz w:val="20"/>
                <w:szCs w:val="20"/>
                <w:color w:val="auto"/>
              </w:rPr>
            </w:pPr>
            <w:r>
              <w:rPr>
                <w:rFonts w:ascii="Courier New" w:cs="Courier New" w:eastAsia="Courier New" w:hAnsi="Courier New"/>
                <w:sz w:val="15"/>
                <w:szCs w:val="15"/>
                <w:color w:val="auto"/>
                <w:w w:val="97"/>
              </w:rPr>
              <w:t>Lease</w:t>
            </w:r>
          </w:p>
        </w:tc>
        <w:tc>
          <w:tcPr>
            <w:tcW w:w="14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Average Rent</w:t>
            </w:r>
          </w:p>
        </w:tc>
        <w:tc>
          <w:tcPr>
            <w:tcW w:w="15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Current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Improvement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Rolling 12</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Leases Signed</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Feet</w:t>
            </w:r>
          </w:p>
        </w:tc>
        <w:tc>
          <w:tcPr>
            <w:tcW w:w="158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Term (Years)</w:t>
            </w:r>
          </w:p>
        </w:tc>
        <w:tc>
          <w:tcPr>
            <w:tcW w:w="1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Per Square Foot</w:t>
            </w:r>
          </w:p>
        </w:tc>
        <w:tc>
          <w:tcPr>
            <w:tcW w:w="48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Rent</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Costs</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58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3rd Quarter 2001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82,944</w:t>
            </w:r>
          </w:p>
        </w:tc>
        <w:tc>
          <w:tcPr>
            <w:tcW w:w="400" w:type="dxa"/>
            <w:vAlign w:val="bottom"/>
          </w:tcPr>
          <w:p>
            <w:pPr>
              <w:spacing w:after="0"/>
              <w:rPr>
                <w:sz w:val="24"/>
                <w:szCs w:val="24"/>
                <w:color w:val="auto"/>
              </w:rPr>
            </w:pPr>
          </w:p>
        </w:tc>
        <w:tc>
          <w:tcPr>
            <w:tcW w:w="1180" w:type="dxa"/>
            <w:vAlign w:val="bottom"/>
          </w:tcPr>
          <w:p>
            <w:pPr>
              <w:jc w:val="center"/>
              <w:ind w:right="767"/>
              <w:spacing w:after="0"/>
              <w:rPr>
                <w:sz w:val="20"/>
                <w:szCs w:val="20"/>
                <w:color w:val="auto"/>
              </w:rPr>
            </w:pPr>
            <w:r>
              <w:rPr>
                <w:rFonts w:ascii="Courier New" w:cs="Courier New" w:eastAsia="Courier New" w:hAnsi="Courier New"/>
                <w:sz w:val="15"/>
                <w:szCs w:val="15"/>
                <w:color w:val="auto"/>
                <w:w w:val="94"/>
              </w:rPr>
              <w:t>11.4</w:t>
            </w:r>
          </w:p>
        </w:tc>
        <w:tc>
          <w:tcPr>
            <w:tcW w:w="3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$31.97</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$ 2,651,794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0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2nd Quarter 2001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135,596</w:t>
            </w:r>
          </w:p>
        </w:tc>
        <w:tc>
          <w:tcPr>
            <w:tcW w:w="400" w:type="dxa"/>
            <w:vAlign w:val="bottom"/>
          </w:tcPr>
          <w:p>
            <w:pPr>
              <w:spacing w:after="0"/>
              <w:rPr>
                <w:sz w:val="14"/>
                <w:szCs w:val="14"/>
                <w:color w:val="auto"/>
              </w:rPr>
            </w:pPr>
          </w:p>
        </w:tc>
        <w:tc>
          <w:tcPr>
            <w:tcW w:w="118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4"/>
              </w:rPr>
              <w:t>12.3</w:t>
            </w:r>
          </w:p>
        </w:tc>
        <w:tc>
          <w:tcPr>
            <w:tcW w:w="38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$17.22</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$ 2,335,496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448,000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0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1st Quarter 2001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299,677</w:t>
            </w:r>
          </w:p>
        </w:tc>
        <w:tc>
          <w:tcPr>
            <w:tcW w:w="400" w:type="dxa"/>
            <w:vAlign w:val="bottom"/>
          </w:tcPr>
          <w:p>
            <w:pPr>
              <w:spacing w:after="0"/>
              <w:rPr>
                <w:sz w:val="14"/>
                <w:szCs w:val="14"/>
                <w:color w:val="auto"/>
              </w:rPr>
            </w:pPr>
          </w:p>
        </w:tc>
        <w:tc>
          <w:tcPr>
            <w:tcW w:w="118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4"/>
              </w:rPr>
              <w:t>19.5</w:t>
            </w:r>
          </w:p>
        </w:tc>
        <w:tc>
          <w:tcPr>
            <w:tcW w:w="38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$14.95</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$ 4,479,734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735,000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0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4th Quarter 2000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101,245</w:t>
            </w:r>
          </w:p>
        </w:tc>
        <w:tc>
          <w:tcPr>
            <w:tcW w:w="400" w:type="dxa"/>
            <w:vAlign w:val="bottom"/>
          </w:tcPr>
          <w:p>
            <w:pPr>
              <w:spacing w:after="0"/>
              <w:rPr>
                <w:sz w:val="14"/>
                <w:szCs w:val="14"/>
                <w:color w:val="auto"/>
              </w:rPr>
            </w:pPr>
          </w:p>
        </w:tc>
        <w:tc>
          <w:tcPr>
            <w:tcW w:w="118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4"/>
              </w:rPr>
              <w:t>10.2</w:t>
            </w:r>
          </w:p>
        </w:tc>
        <w:tc>
          <w:tcPr>
            <w:tcW w:w="38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$31.82</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$ 3,221,510</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6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619,462</w:t>
            </w:r>
          </w:p>
        </w:tc>
        <w:tc>
          <w:tcPr>
            <w:tcW w:w="400" w:type="dxa"/>
            <w:vAlign w:val="bottom"/>
          </w:tcPr>
          <w:p>
            <w:pPr>
              <w:spacing w:after="0"/>
              <w:rPr>
                <w:sz w:val="14"/>
                <w:szCs w:val="14"/>
                <w:color w:val="auto"/>
              </w:rPr>
            </w:pPr>
          </w:p>
        </w:tc>
        <w:tc>
          <w:tcPr>
            <w:tcW w:w="118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4"/>
              </w:rPr>
              <w:t>14.1</w:t>
            </w:r>
          </w:p>
        </w:tc>
        <w:tc>
          <w:tcPr>
            <w:tcW w:w="38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$20.48</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$12,688,534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1,183,000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38" w:orient="portrait"/>
          <w:cols w:equalWidth="0" w:num="1">
            <w:col w:w="11540"/>
          </w:cols>
          <w:pgMar w:left="220" w:top="953"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Development Pipeline</w:t>
      </w:r>
    </w:p>
    <w:p>
      <w:pPr>
        <w:spacing w:after="0" w:line="238" w:lineRule="auto"/>
        <w:rPr>
          <w:sz w:val="20"/>
          <w:szCs w:val="20"/>
          <w:color w:val="auto"/>
        </w:rPr>
      </w:pPr>
      <w:r>
        <w:rPr>
          <w:rFonts w:ascii="Courier New" w:cs="Courier New" w:eastAsia="Courier New" w:hAnsi="Courier New"/>
          <w:sz w:val="15"/>
          <w:szCs w:val="15"/>
          <w:color w:val="auto"/>
        </w:rPr>
        <w:t>September 30, 2001</w:t>
      </w:r>
    </w:p>
    <w:p>
      <w:pPr>
        <w:spacing w:after="0" w:line="200" w:lineRule="exact"/>
        <w:rPr>
          <w:sz w:val="20"/>
          <w:szCs w:val="20"/>
          <w:color w:val="auto"/>
        </w:rPr>
      </w:pPr>
    </w:p>
    <w:p>
      <w:pPr>
        <w:spacing w:after="0" w:line="303" w:lineRule="exact"/>
        <w:rPr>
          <w:sz w:val="20"/>
          <w:szCs w:val="20"/>
          <w:color w:val="auto"/>
        </w:rPr>
      </w:pPr>
    </w:p>
    <w:p>
      <w:pPr>
        <w:ind w:left="6220"/>
        <w:spacing w:after="0"/>
        <w:tabs>
          <w:tab w:leader="none" w:pos="752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Estimate To Complete</w:t>
      </w:r>
    </w:p>
    <w:p>
      <w:pPr>
        <w:ind w:left="980"/>
        <w:spacing w:after="0" w:line="237" w:lineRule="auto"/>
        <w:tabs>
          <w:tab w:leader="none" w:pos="3760" w:val="left"/>
          <w:tab w:leader="none" w:pos="6120" w:val="left"/>
          <w:tab w:leader="none" w:pos="7600" w:val="left"/>
          <w:tab w:leader="none" w:pos="8820" w:val="left"/>
        </w:tabs>
        <w:rPr>
          <w:sz w:val="20"/>
          <w:szCs w:val="20"/>
          <w:color w:val="auto"/>
        </w:rPr>
      </w:pPr>
      <w:r>
        <w:rPr>
          <w:rFonts w:ascii="Courier New" w:cs="Courier New" w:eastAsia="Courier New" w:hAnsi="Courier New"/>
          <w:sz w:val="15"/>
          <w:szCs w:val="15"/>
          <w:color w:val="auto"/>
        </w:rPr>
        <w:t>Project</w:t>
      </w:r>
      <w:r>
        <w:rPr>
          <w:sz w:val="20"/>
          <w:szCs w:val="20"/>
          <w:color w:val="auto"/>
        </w:rPr>
        <w:tab/>
      </w:r>
      <w:r>
        <w:rPr>
          <w:rFonts w:ascii="Courier New" w:cs="Courier New" w:eastAsia="Courier New" w:hAnsi="Courier New"/>
          <w:sz w:val="15"/>
          <w:szCs w:val="15"/>
          <w:color w:val="auto"/>
        </w:rPr>
        <w:t>Specifications</w:t>
      </w:r>
      <w:r>
        <w:rPr>
          <w:sz w:val="20"/>
          <w:szCs w:val="20"/>
          <w:color w:val="auto"/>
        </w:rPr>
        <w:tab/>
      </w:r>
      <w:r>
        <w:rPr>
          <w:rFonts w:ascii="Courier New" w:cs="Courier New" w:eastAsia="Courier New" w:hAnsi="Courier New"/>
          <w:sz w:val="15"/>
          <w:szCs w:val="15"/>
          <w:color w:val="auto"/>
        </w:rPr>
        <w:t>To Date</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7360"/>
        <w:spacing w:after="0"/>
        <w:tabs>
          <w:tab w:leader="none" w:pos="7680" w:val="left"/>
          <w:tab w:leader="none" w:pos="8220" w:val="left"/>
        </w:tabs>
        <w:rPr>
          <w:sz w:val="20"/>
          <w:szCs w:val="20"/>
          <w:color w:val="auto"/>
        </w:rPr>
      </w:pPr>
      <w:r>
        <w:rPr>
          <w:rFonts w:ascii="Courier New" w:cs="Courier New" w:eastAsia="Courier New" w:hAnsi="Courier New"/>
          <w:sz w:val="15"/>
          <w:szCs w:val="15"/>
          <w:color w:val="auto"/>
        </w:rPr>
        <w:t>($</w:t>
        <w:tab/>
        <w:t>i n</w:t>
      </w:r>
      <w:r>
        <w:rPr>
          <w:sz w:val="20"/>
          <w:szCs w:val="20"/>
          <w:color w:val="auto"/>
        </w:rPr>
        <w:tab/>
      </w:r>
      <w:r>
        <w:rPr>
          <w:rFonts w:ascii="Courier New" w:cs="Courier New" w:eastAsia="Courier New" w:hAnsi="Courier New"/>
          <w:sz w:val="14"/>
          <w:szCs w:val="14"/>
          <w:color w:val="auto"/>
        </w:rPr>
        <w:t>m i l l i o n s )</w:t>
      </w:r>
    </w:p>
    <w:tbl>
      <w:tblPr>
        <w:tblLayout w:type="fixed"/>
        <w:tblInd w:w="0" w:type="dxa"/>
        <w:tblCellMar>
          <w:top w:w="0" w:type="dxa"/>
          <w:left w:w="0" w:type="dxa"/>
          <w:bottom w:w="0" w:type="dxa"/>
          <w:right w:w="0" w:type="dxa"/>
        </w:tblCellMar>
      </w:tblP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IN PROGRESS</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Pentagon Row</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w w:val="99"/>
              </w:rPr>
              <w:t>300,000 sf retail</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Arlington, Virginia</w:t>
            </w:r>
          </w:p>
        </w:tc>
        <w:tc>
          <w:tcPr>
            <w:tcW w:w="25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500 apartment units</w:t>
            </w: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Santana Row (Phase I)</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w w:val="99"/>
              </w:rPr>
              <w:t>538,000 sf retail</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San Jose, California</w:t>
            </w:r>
          </w:p>
        </w:tc>
        <w:tc>
          <w:tcPr>
            <w:tcW w:w="25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501 residential units</w:t>
            </w: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214 hotel rooms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FOR DEVELOPMENT</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The Shops at Tanasbourne</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w w:val="99"/>
              </w:rPr>
              <w:t>400,000 sf retail</w:t>
            </w:r>
          </w:p>
        </w:tc>
        <w:tc>
          <w:tcPr>
            <w:tcW w:w="9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Portland, Oregon</w:t>
            </w:r>
          </w:p>
        </w:tc>
        <w:tc>
          <w:tcPr>
            <w:tcW w:w="1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12,000 sf office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Total In Progress and Future Development</w:t>
            </w: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1"/>
        </w:trPr>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spacing w:after="0"/>
              <w:rPr>
                <w:sz w:val="24"/>
                <w:szCs w:val="2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Expected</w:t>
            </w:r>
          </w:p>
        </w:tc>
        <w:tc>
          <w:tcPr>
            <w:tcW w:w="118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Completed</w:t>
            </w:r>
          </w:p>
        </w:tc>
        <w:tc>
          <w:tcPr>
            <w:tcW w:w="7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Stabilized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3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Project</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Thereafter</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Cost</w:t>
            </w:r>
          </w:p>
        </w:tc>
        <w:tc>
          <w:tcPr>
            <w:tcW w:w="7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Return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Tenants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DEVELOPMENT IN PROGRESS</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Pentagon Row</w:t>
            </w:r>
          </w:p>
        </w:tc>
        <w:tc>
          <w:tcPr>
            <w:tcW w:w="18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w:t>
            </w:r>
          </w:p>
        </w:tc>
        <w:tc>
          <w:tcPr>
            <w:tcW w:w="2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w:t>
            </w:r>
          </w:p>
        </w:tc>
        <w:tc>
          <w:tcPr>
            <w:tcW w:w="1700" w:type="dxa"/>
            <w:vAlign w:val="bottom"/>
          </w:tcPr>
          <w:p>
            <w:pPr>
              <w:ind w:left="120"/>
              <w:spacing w:after="0"/>
              <w:rPr>
                <w:sz w:val="20"/>
                <w:szCs w:val="20"/>
                <w:color w:val="auto"/>
              </w:rPr>
            </w:pPr>
            <w:r>
              <w:rPr>
                <w:rFonts w:ascii="Courier New" w:cs="Courier New" w:eastAsia="Courier New" w:hAnsi="Courier New"/>
                <w:sz w:val="15"/>
                <w:szCs w:val="15"/>
                <w:color w:val="auto"/>
                <w:w w:val="96"/>
              </w:rPr>
              <w:t>Bed, Bath &amp; Beyond</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Arlington, Virginia</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Harris Teeter</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Santana Row (Phase I)</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$475</w:t>
            </w: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2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6.75% - 7.25% (5)</w:t>
            </w:r>
          </w:p>
        </w:tc>
        <w:tc>
          <w:tcPr>
            <w:tcW w:w="1700" w:type="dxa"/>
            <w:vAlign w:val="bottom"/>
          </w:tcPr>
          <w:p>
            <w:pPr>
              <w:ind w:left="120"/>
              <w:spacing w:after="0"/>
              <w:rPr>
                <w:sz w:val="20"/>
                <w:szCs w:val="20"/>
                <w:color w:val="auto"/>
              </w:rPr>
            </w:pPr>
            <w:r>
              <w:rPr>
                <w:rFonts w:ascii="Courier New" w:cs="Courier New" w:eastAsia="Courier New" w:hAnsi="Courier New"/>
                <w:sz w:val="15"/>
                <w:szCs w:val="15"/>
                <w:color w:val="auto"/>
              </w:rPr>
              <w:t>Borders Books</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San Jose, California</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Burberry</w:t>
            </w:r>
          </w:p>
        </w:tc>
      </w:tr>
      <w:tr>
        <w:trPr>
          <w:trHeight w:val="168"/>
        </w:trPr>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Century Theaters</w:t>
            </w:r>
          </w:p>
        </w:tc>
      </w:tr>
      <w:tr>
        <w:trPr>
          <w:trHeight w:val="168"/>
        </w:trPr>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Crate &amp; Barrel</w:t>
            </w:r>
          </w:p>
        </w:tc>
      </w:tr>
      <w:tr>
        <w:trPr>
          <w:trHeight w:val="168"/>
        </w:trPr>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Gucci</w:t>
            </w:r>
          </w:p>
        </w:tc>
      </w:tr>
      <w:tr>
        <w:trPr>
          <w:trHeight w:val="168"/>
        </w:trPr>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Maggiano's</w:t>
            </w:r>
          </w:p>
        </w:tc>
      </w:tr>
      <w:tr>
        <w:trPr>
          <w:trHeight w:val="168"/>
        </w:trPr>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Tommy Bahama</w:t>
            </w:r>
          </w:p>
        </w:tc>
      </w:tr>
      <w:tr>
        <w:trPr>
          <w:trHeight w:val="168"/>
        </w:trPr>
        <w:tc>
          <w:tcPr>
            <w:tcW w:w="3020" w:type="dxa"/>
            <w:vAlign w:val="bottom"/>
          </w:tcPr>
          <w:p>
            <w:pPr>
              <w:spacing w:after="0"/>
              <w:rPr>
                <w:sz w:val="14"/>
                <w:szCs w:val="14"/>
                <w:color w:val="auto"/>
              </w:rPr>
            </w:pPr>
          </w:p>
        </w:tc>
        <w:tc>
          <w:tcPr>
            <w:tcW w:w="1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w:t>
            </w:r>
          </w:p>
        </w:tc>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 FOR DEVELOPMENT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Shops at Tanasbourne</w:t>
      </w:r>
    </w:p>
    <w:p>
      <w:pPr>
        <w:spacing w:after="0" w:line="237" w:lineRule="auto"/>
        <w:rPr>
          <w:sz w:val="20"/>
          <w:szCs w:val="20"/>
          <w:color w:val="auto"/>
        </w:rPr>
      </w:pPr>
      <w:r>
        <w:rPr>
          <w:rFonts w:ascii="Courier New" w:cs="Courier New" w:eastAsia="Courier New" w:hAnsi="Courier New"/>
          <w:sz w:val="15"/>
          <w:szCs w:val="15"/>
          <w:color w:val="auto"/>
        </w:rPr>
        <w:t>Portland, Oregon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In Progress and Future Development</w:t>
      </w:r>
    </w:p>
    <w:p>
      <w:pPr>
        <w:spacing w:after="0" w:line="200" w:lineRule="exact"/>
        <w:rPr>
          <w:sz w:val="20"/>
          <w:szCs w:val="20"/>
          <w:color w:val="auto"/>
        </w:rPr>
      </w:pPr>
    </w:p>
    <w:p>
      <w:pPr>
        <w:spacing w:after="0" w:line="303"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Realty will develop only the retail component of this project.</w:t>
      </w:r>
    </w:p>
    <w:p>
      <w:pPr>
        <w:spacing w:after="0" w:line="172" w:lineRule="exact"/>
        <w:rPr>
          <w:rFonts w:ascii="Courier New" w:cs="Courier New" w:eastAsia="Courier New" w:hAnsi="Courier New"/>
          <w:sz w:val="15"/>
          <w:szCs w:val="15"/>
          <w:color w:val="auto"/>
        </w:rPr>
      </w:pPr>
    </w:p>
    <w:p>
      <w:pPr>
        <w:ind w:left="360" w:right="3660" w:hanging="350"/>
        <w:spacing w:after="0" w:line="258"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total project cost before any significant recovery in litigation of damages incurred as a result of defaults under the original construction contract and replacement of the General Contractor.</w:t>
      </w:r>
    </w:p>
    <w:p>
      <w:pPr>
        <w:spacing w:after="0" w:line="161" w:lineRule="exact"/>
        <w:rPr>
          <w:rFonts w:ascii="Courier New" w:cs="Courier New" w:eastAsia="Courier New" w:hAnsi="Courier New"/>
          <w:sz w:val="14"/>
          <w:szCs w:val="14"/>
          <w:color w:val="auto"/>
        </w:rPr>
      </w:pPr>
    </w:p>
    <w:p>
      <w:pPr>
        <w:ind w:left="360" w:right="3580" w:hanging="350"/>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includes the "1,500 foot long main street", and nine buildings. Completion of eight buildings with 440,000 square feet of retail space is scheduled for August 2002 with the ninth or theater building to be completed twelve to eighteen months later. At October 31, 2001 leases for approximately 270,000 square feet of retail space have been executed or are under signed letters of intent. As a result of the retail leasing to date, more than 2/3's of the first floor space directly on Santana Row, the development's main street, is leased or under signed letter of intent.</w:t>
      </w:r>
    </w:p>
    <w:p>
      <w:pPr>
        <w:spacing w:after="0" w:line="165" w:lineRule="exact"/>
        <w:rPr>
          <w:rFonts w:ascii="Courier New" w:cs="Courier New" w:eastAsia="Courier New" w:hAnsi="Courier New"/>
          <w:sz w:val="14"/>
          <w:szCs w:val="14"/>
          <w:color w:val="auto"/>
        </w:rPr>
      </w:pPr>
    </w:p>
    <w:p>
      <w:pPr>
        <w:ind w:left="360" w:right="3660"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total cost for Phase I of $475 million includes the land and infrastructure for the later phases as well as Phase I. The infrastructure for the project encompasses the cost of obtaining zoning; off-site improvements such as curbs, curb cuts and an off-ramp for the highway; site work and grading; construction of the streets; common area amenities, parks and landscaping; a central utility plant with the capacity to service all phases of the project; technology initiatives; and the interest carry on these costs.</w:t>
      </w:r>
    </w:p>
    <w:p>
      <w:pPr>
        <w:spacing w:after="0" w:line="177" w:lineRule="exact"/>
        <w:rPr>
          <w:rFonts w:ascii="Courier New" w:cs="Courier New" w:eastAsia="Courier New" w:hAnsi="Courier New"/>
          <w:sz w:val="15"/>
          <w:szCs w:val="15"/>
          <w:color w:val="auto"/>
        </w:rPr>
      </w:pPr>
    </w:p>
    <w:p>
      <w:pPr>
        <w:ind w:left="360" w:right="3580"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all buildings in Phase I are open. Assumes a reduction from originally projected residential rents of $3.07 per foot to $2.25 per foot, assuming further weakening in the Silicon Valley market. Every $.10 cent increase in monthly rents will result in a 15 basis point increase in the stabilized return.</w:t>
      </w:r>
    </w:p>
    <w:p>
      <w:pPr>
        <w:sectPr>
          <w:pgSz w:w="11900" w:h="16838" w:orient="portrait"/>
          <w:cols w:equalWidth="0" w:num="1">
            <w:col w:w="10500"/>
          </w:cols>
          <w:pgMar w:left="220" w:top="617" w:right="1179" w:bottom="13"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FOR IMMEDIATE RELEASE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 2001</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Andrew Blocher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Inquiries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Melissa Macchiavelli</w:t>
      </w:r>
    </w:p>
    <w:p>
      <w:pPr>
        <w:spacing w:after="0" w:line="9" w:lineRule="exact"/>
        <w:rPr>
          <w:sz w:val="20"/>
          <w:szCs w:val="20"/>
          <w:color w:val="auto"/>
        </w:rPr>
      </w:pPr>
    </w:p>
    <w:p>
      <w:pPr>
        <w:sectPr>
          <w:pgSz w:w="11900" w:h="16838" w:orient="portrait"/>
          <w:cols w:equalWidth="0" w:num="2">
            <w:col w:w="2780" w:space="720"/>
            <w:col w:w="67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Vice President, Investor</w:t>
      </w:r>
    </w:p>
    <w:p>
      <w:pPr>
        <w:sectPr>
          <w:pgSz w:w="11900" w:h="16838" w:orient="portrait"/>
          <w:cols w:equalWidth="0" w:num="1">
            <w:col w:w="10239"/>
          </w:cols>
          <w:pgMar w:left="220" w:top="62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 &amp; Finance</w:t>
      </w:r>
    </w:p>
    <w:p>
      <w:pPr>
        <w:spacing w:after="0" w:line="237" w:lineRule="auto"/>
        <w:rPr>
          <w:sz w:val="20"/>
          <w:szCs w:val="20"/>
          <w:color w:val="auto"/>
        </w:rPr>
      </w:pPr>
      <w:r>
        <w:rPr>
          <w:rFonts w:ascii="Courier New" w:cs="Courier New" w:eastAsia="Courier New" w:hAnsi="Courier New"/>
          <w:sz w:val="15"/>
          <w:szCs w:val="15"/>
          <w:color w:val="auto"/>
        </w:rPr>
        <w:t>301/998-8166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Public Relations Manager</w:t>
      </w:r>
    </w:p>
    <w:p>
      <w:pPr>
        <w:spacing w:after="0" w:line="237" w:lineRule="auto"/>
        <w:rPr>
          <w:sz w:val="20"/>
          <w:szCs w:val="20"/>
          <w:color w:val="auto"/>
        </w:rPr>
      </w:pPr>
      <w:r>
        <w:rPr>
          <w:rFonts w:ascii="Courier New" w:cs="Courier New" w:eastAsia="Courier New" w:hAnsi="Courier New"/>
          <w:sz w:val="15"/>
          <w:szCs w:val="15"/>
          <w:color w:val="auto"/>
        </w:rPr>
        <w:t>301/998-8168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mmacchiavelli@federalrealty.com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780" w:space="720"/>
            <w:col w:w="6739"/>
          </w:cols>
          <w:pgMar w:left="220" w:top="624" w:right="1440" w:bottom="1440" w:gutter="0" w:footer="0" w:header="0"/>
          <w:type w:val="continuous"/>
        </w:sectPr>
      </w:pPr>
    </w:p>
    <w:p>
      <w:pPr>
        <w:spacing w:after="0" w:line="14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FEDERAL REALTY INVESTMENT TRUST ANNOUNCES</w:t>
      </w:r>
    </w:p>
    <w:p>
      <w:pPr>
        <w:ind w:left="1940"/>
        <w:spacing w:after="0" w:line="237" w:lineRule="auto"/>
        <w:rPr>
          <w:sz w:val="20"/>
          <w:szCs w:val="20"/>
          <w:color w:val="auto"/>
        </w:rPr>
      </w:pPr>
      <w:r>
        <w:rPr>
          <w:rFonts w:ascii="Courier New" w:cs="Courier New" w:eastAsia="Courier New" w:hAnsi="Courier New"/>
          <w:sz w:val="15"/>
          <w:szCs w:val="15"/>
          <w:color w:val="auto"/>
        </w:rPr>
        <w:t>THIRD QUARTER 2001 OPERATING RESULTS</w:t>
      </w:r>
    </w:p>
    <w:p>
      <w:pPr>
        <w:spacing w:after="0" w:line="173" w:lineRule="exact"/>
        <w:rPr>
          <w:sz w:val="20"/>
          <w:szCs w:val="20"/>
          <w:color w:val="auto"/>
        </w:rPr>
      </w:pPr>
    </w:p>
    <w:p>
      <w:pPr>
        <w:jc w:val="both"/>
        <w:ind w:right="4019" w:firstLine="437"/>
        <w:spacing w:after="0" w:line="235" w:lineRule="auto"/>
        <w:rPr>
          <w:sz w:val="20"/>
          <w:szCs w:val="20"/>
          <w:color w:val="auto"/>
        </w:rPr>
      </w:pPr>
      <w:r>
        <w:rPr>
          <w:rFonts w:ascii="Courier New" w:cs="Courier New" w:eastAsia="Courier New" w:hAnsi="Courier New"/>
          <w:sz w:val="15"/>
          <w:szCs w:val="15"/>
          <w:color w:val="auto"/>
        </w:rPr>
        <w:t>ROCKVILLE, MD (November 1, 2001) - Federal Realty Investment Trust (NYSE:FRT) today reported operating results for its third quarter ended September 30, 2001.</w:t>
      </w:r>
    </w:p>
    <w:p>
      <w:pPr>
        <w:spacing w:after="0" w:line="167" w:lineRule="exact"/>
        <w:rPr>
          <w:sz w:val="20"/>
          <w:szCs w:val="20"/>
          <w:color w:val="auto"/>
        </w:rPr>
      </w:pPr>
    </w:p>
    <w:p>
      <w:pPr>
        <w:ind w:left="280" w:hanging="270"/>
        <w:spacing w:after="0"/>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from operations (FFO) increased 8% to $0.70 per diluted share</w:t>
      </w:r>
    </w:p>
    <w:p>
      <w:pPr>
        <w:ind w:left="280" w:hanging="270"/>
        <w:spacing w:after="0" w:line="237" w:lineRule="auto"/>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 increased 6% on a same-center basis</w:t>
      </w:r>
    </w:p>
    <w:p>
      <w:pPr>
        <w:ind w:left="280" w:hanging="270"/>
        <w:spacing w:after="0" w:line="237" w:lineRule="auto"/>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leasing progresses at Santana Row</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Funds from operations for the quarter ended September 30, 2001 increased 10 % to $28.3 million from $25.8 million reported for the third quarter of 2000. On a per diluted share basis, funds from operations increased 8% from $0.65 in 2000 to $0.70 in 2001, beating consensus First Call expectations by $0.03. Net operating income, which includes interest income from mortgage notes receivable, was $52.7 million, an 8% increase from the $48.8 million reported for the third quarter of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Portfolio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Rental income increased from $64.1 million in 2000 to $69.5 million in 2001, an 8% increase. On a same-center basis, which ignores the impact of properties acquired, developed or sold during the analyzed periods, rental income increased 6% from $63.6 million to $67.5 million. Strong core operating performance, higher lease termination fees and low interest rates on variable rate debt were the primary force behind improvements in both net operating income and funds from operations.</w:t>
      </w:r>
    </w:p>
    <w:p>
      <w:pPr>
        <w:spacing w:after="0" w:line="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24"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37" w:lineRule="auto"/>
        <w:rPr>
          <w:sz w:val="20"/>
          <w:szCs w:val="20"/>
          <w:color w:val="auto"/>
        </w:rPr>
      </w:pPr>
      <w:r>
        <w:rPr>
          <w:rFonts w:ascii="Courier New" w:cs="Courier New" w:eastAsia="Courier New" w:hAnsi="Courier New"/>
          <w:sz w:val="15"/>
          <w:szCs w:val="15"/>
          <w:color w:val="auto"/>
        </w:rPr>
        <w:t>THIRD QUARTER 2001 OPERATING RESULTS</w:t>
      </w:r>
    </w:p>
    <w:p>
      <w:pPr>
        <w:spacing w:after="0" w:line="238" w:lineRule="auto"/>
        <w:rPr>
          <w:sz w:val="20"/>
          <w:szCs w:val="20"/>
          <w:color w:val="auto"/>
        </w:rPr>
      </w:pPr>
      <w:r>
        <w:rPr>
          <w:rFonts w:ascii="Courier New" w:cs="Courier New" w:eastAsia="Courier New" w:hAnsi="Courier New"/>
          <w:sz w:val="15"/>
          <w:szCs w:val="15"/>
          <w:color w:val="auto"/>
        </w:rPr>
        <w:t>November 1, 2001</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third quarter, the Trust signed leases for over 300,000 square feet of retail and office space. On a comparable retail space basis, the Trust re-leased 200,388 square feet at an average increase in rent per square foot of 11%. The weighted-average new rent on these same space leases was $25.57 per square foot compared to the previous average rent of $23.03 per square foot. At September 30, 2001, overall occupancy remained strong at 95.8%, compared to 95.6% for June 30, 2001 and 96.2% for September 30, 2000.</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"Federal Realty's core portfolio has a long history of performing well through difficult economic times," Donald C. Wood, president and chief operating officer of Federal Realty Investment Trust stated, "While the impact of a recession results in uncertainty, the necessity-based nature of our shopping centers combined with superior demographics helps to insulate our core portfolio during economic downturns."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Activities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Pentagon Row, in Arlington, Virginia, several retail tenants comprising Buildings B and C opened for business during the third quarter; including Hudson Trail Outfitters, Home Elements, Sur La Table and a variety of restaurants, lifestyle stores and service operations. The Trust anticipates additional store openings in Buildings B and C in the fourth quarter and Building D in the first quarter of 2002. On an aggregate basis, Pentagon Row is currently 92% leased.</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Santana Row, Federal Realty's mixed-use community in San Jose, California, construction continues on schedule and on budget. Retail leasing progress remains steady as the Trust has executed 16 leases since the end of the second quarter. To date, the Trust has approximately 270,000 square feet either leased or under signed letter of intent. As a result of the Trust's retail leasing progress to date, more than two-thirds of the first floor space directly on Santana Row, the development's main street, is leased or under signed letter of intent.</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37" w:lineRule="auto"/>
        <w:rPr>
          <w:sz w:val="20"/>
          <w:szCs w:val="20"/>
          <w:color w:val="auto"/>
        </w:rPr>
      </w:pPr>
      <w:r>
        <w:rPr>
          <w:rFonts w:ascii="Courier New" w:cs="Courier New" w:eastAsia="Courier New" w:hAnsi="Courier New"/>
          <w:sz w:val="15"/>
          <w:szCs w:val="15"/>
          <w:color w:val="auto"/>
        </w:rPr>
        <w:t>THIRD QUARTER 2001 OPERATING RESULTS</w:t>
      </w:r>
    </w:p>
    <w:p>
      <w:pPr>
        <w:spacing w:after="0" w:line="238" w:lineRule="auto"/>
        <w:rPr>
          <w:sz w:val="20"/>
          <w:szCs w:val="20"/>
          <w:color w:val="auto"/>
        </w:rPr>
      </w:pPr>
      <w:r>
        <w:rPr>
          <w:rFonts w:ascii="Courier New" w:cs="Courier New" w:eastAsia="Courier New" w:hAnsi="Courier New"/>
          <w:sz w:val="15"/>
          <w:szCs w:val="15"/>
          <w:color w:val="auto"/>
        </w:rPr>
        <w:t>November 1, 2001</w:t>
      </w:r>
    </w:p>
    <w:p>
      <w:pPr>
        <w:spacing w:after="0" w:line="237" w:lineRule="auto"/>
        <w:rPr>
          <w:sz w:val="20"/>
          <w:szCs w:val="20"/>
          <w:color w:val="auto"/>
        </w:rPr>
      </w:pPr>
      <w:r>
        <w:rPr>
          <w:rFonts w:ascii="Courier New" w:cs="Courier New" w:eastAsia="Courier New" w:hAnsi="Courier New"/>
          <w:sz w:val="15"/>
          <w:szCs w:val="15"/>
          <w:color w:val="auto"/>
        </w:rPr>
        <w:t>Page 3</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Commenting on the development, Steven J. Guttman, Federal Realty's chairman and chief executive officer stated, "We have made significant progress with respect to construction and retail leasing at Santana Row, even in the face of this difficult economy. Weakness in the Northern California residential market will negatively impact our short-term returns, however, we have reached a critical mass of retail tenancy to ensure a successful opening in August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Guidance and Conference Call Information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Realty's management team will present a more in depth discussion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Trust's operating performance and provide 2001 and 2002 earnings guidance on</w:t>
      </w:r>
    </w:p>
    <w:p>
      <w:pPr>
        <w:spacing w:after="0" w:line="237" w:lineRule="auto"/>
        <w:rPr>
          <w:sz w:val="20"/>
          <w:szCs w:val="20"/>
          <w:color w:val="auto"/>
        </w:rPr>
      </w:pPr>
      <w:r>
        <w:rPr>
          <w:rFonts w:ascii="Courier New" w:cs="Courier New" w:eastAsia="Courier New" w:hAnsi="Courier New"/>
          <w:sz w:val="15"/>
          <w:szCs w:val="15"/>
          <w:color w:val="auto"/>
        </w:rPr>
        <w:t>it's third quarter earnings conference call, which is scheduled for 1:00 P.M</w:t>
      </w:r>
    </w:p>
    <w:p>
      <w:pPr>
        <w:spacing w:after="0"/>
        <w:tabs>
          <w:tab w:leader="none" w:pos="2620" w:val="left"/>
        </w:tabs>
        <w:rPr>
          <w:sz w:val="20"/>
          <w:szCs w:val="20"/>
          <w:color w:val="auto"/>
        </w:rPr>
      </w:pPr>
      <w:r>
        <w:rPr>
          <w:rFonts w:ascii="Courier New" w:cs="Courier New" w:eastAsia="Courier New" w:hAnsi="Courier New"/>
          <w:sz w:val="15"/>
          <w:szCs w:val="15"/>
          <w:color w:val="auto"/>
        </w:rPr>
        <w:t>ET, Friday November 2, 2001.</w:t>
      </w:r>
      <w:r>
        <w:rPr>
          <w:sz w:val="20"/>
          <w:szCs w:val="20"/>
          <w:color w:val="auto"/>
        </w:rPr>
        <w:tab/>
      </w:r>
      <w:r>
        <w:rPr>
          <w:rFonts w:ascii="Courier New" w:cs="Courier New" w:eastAsia="Courier New" w:hAnsi="Courier New"/>
          <w:sz w:val="14"/>
          <w:szCs w:val="14"/>
          <w:color w:val="auto"/>
        </w:rPr>
        <w:t>To participate, please call (800) 474-8920 five to</w:t>
      </w:r>
    </w:p>
    <w:p>
      <w:pPr>
        <w:spacing w:after="0"/>
        <w:tabs>
          <w:tab w:leader="none" w:pos="3320" w:val="left"/>
        </w:tabs>
        <w:rPr>
          <w:sz w:val="20"/>
          <w:szCs w:val="20"/>
          <w:color w:val="auto"/>
        </w:rPr>
      </w:pPr>
      <w:r>
        <w:rPr>
          <w:rFonts w:ascii="Courier New" w:cs="Courier New" w:eastAsia="Courier New" w:hAnsi="Courier New"/>
          <w:sz w:val="15"/>
          <w:szCs w:val="15"/>
          <w:color w:val="auto"/>
        </w:rPr>
        <w:t>ten minutes prior to the start time.</w:t>
      </w:r>
      <w:r>
        <w:rPr>
          <w:sz w:val="20"/>
          <w:szCs w:val="20"/>
          <w:color w:val="auto"/>
        </w:rPr>
        <w:tab/>
      </w:r>
      <w:r>
        <w:rPr>
          <w:rFonts w:ascii="Courier New" w:cs="Courier New" w:eastAsia="Courier New" w:hAnsi="Courier New"/>
          <w:sz w:val="14"/>
          <w:szCs w:val="14"/>
          <w:color w:val="auto"/>
        </w:rPr>
        <w:t>Federal Realty will also provide an online</w:t>
      </w:r>
    </w:p>
    <w:p>
      <w:pPr>
        <w:spacing w:after="0"/>
        <w:tabs>
          <w:tab w:leader="none" w:pos="5680" w:val="left"/>
        </w:tabs>
        <w:rPr>
          <w:sz w:val="20"/>
          <w:szCs w:val="20"/>
          <w:color w:val="auto"/>
        </w:rPr>
      </w:pPr>
      <w:r>
        <w:rPr>
          <w:rFonts w:ascii="Courier New" w:cs="Courier New" w:eastAsia="Courier New" w:hAnsi="Courier New"/>
          <w:sz w:val="15"/>
          <w:szCs w:val="15"/>
          <w:color w:val="auto"/>
        </w:rPr>
        <w:t>Web Simulcast on the company's web site, www.federalrealty.com.</w:t>
      </w:r>
      <w:r>
        <w:rPr>
          <w:sz w:val="20"/>
          <w:szCs w:val="20"/>
          <w:color w:val="auto"/>
        </w:rPr>
        <w:tab/>
      </w:r>
      <w:r>
        <w:rPr>
          <w:rFonts w:ascii="Courier New" w:cs="Courier New" w:eastAsia="Courier New" w:hAnsi="Courier New"/>
          <w:sz w:val="14"/>
          <w:szCs w:val="14"/>
          <w:color w:val="auto"/>
        </w:rPr>
        <w:t>For those</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interested parties who are unable to participate in the conference call, a re-broadcast will be available online at www.federalrealty.com beginning on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November 5, 2001. A telephone recording of the call can also be heard by dialing (888) 203-1112. The passcode for this replay is 593716.</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Federal Realty Investment Trust is an equity real estate investment trust specializing in the ownership, management, development and re-development of high quality retail and mixed-use properties. Federal Realty owns or has an interest in 56 community and neighborhood shopping centers comprising over 11 million square feet, primarily located in densely populated communities throughout the Northeast and Mid-Atlantic United States. The Trust's predominately grocery-anchored shopping center portfolio is one of the best-leased and most productive necessity-based portfolios in the industry. In addition, Federal Realty owns or has an interest in 97 retail and urban mixed-use properties comprising almost 3 million square feet located in strategic metropolitan markets across the United States. The Trust is nationally recognized for its main street revitalization programs as well as the development of urban mixed-use, pedestrian-friendly communities. Federal Realty has paid quarterly dividends to its shareholders continuously since its founding in 1962, and has increased its dividend rate for 34 consecutive years. Shares of Federal Realty are traded on the New York Stock Exchange under the symbol FRT. Additional information about Federal Realty can be found on the Internet at www.federalrealty.com.</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ind w:left="3240"/>
        <w:spacing w:after="0" w:line="237" w:lineRule="auto"/>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37" w:lineRule="auto"/>
        <w:rPr>
          <w:sz w:val="20"/>
          <w:szCs w:val="20"/>
          <w:color w:val="auto"/>
        </w:rPr>
      </w:pPr>
      <w:r>
        <w:rPr>
          <w:rFonts w:ascii="Courier New" w:cs="Courier New" w:eastAsia="Courier New" w:hAnsi="Courier New"/>
          <w:sz w:val="15"/>
          <w:szCs w:val="15"/>
          <w:color w:val="auto"/>
        </w:rPr>
        <w:t>THIRD QUARTER 2001 OPERATING RESULTS</w:t>
      </w:r>
    </w:p>
    <w:p>
      <w:pPr>
        <w:spacing w:after="0" w:line="238" w:lineRule="auto"/>
        <w:rPr>
          <w:sz w:val="20"/>
          <w:szCs w:val="20"/>
          <w:color w:val="auto"/>
        </w:rPr>
      </w:pPr>
      <w:r>
        <w:rPr>
          <w:rFonts w:ascii="Courier New" w:cs="Courier New" w:eastAsia="Courier New" w:hAnsi="Courier New"/>
          <w:sz w:val="15"/>
          <w:szCs w:val="15"/>
          <w:color w:val="auto"/>
        </w:rPr>
        <w:t>November 1, 2001</w:t>
      </w:r>
    </w:p>
    <w:p>
      <w:pPr>
        <w:spacing w:after="0" w:line="237" w:lineRule="auto"/>
        <w:rPr>
          <w:sz w:val="20"/>
          <w:szCs w:val="20"/>
          <w:color w:val="auto"/>
        </w:rPr>
      </w:pPr>
      <w:r>
        <w:rPr>
          <w:rFonts w:ascii="Courier New" w:cs="Courier New" w:eastAsia="Courier New" w:hAnsi="Courier New"/>
          <w:sz w:val="15"/>
          <w:szCs w:val="15"/>
          <w:color w:val="auto"/>
        </w:rPr>
        <w:t>Page 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Language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5"/>
          <w:szCs w:val="15"/>
          <w:color w:val="auto"/>
        </w:rPr>
        <w:t>Financial Highlights</w:t>
      </w:r>
    </w:p>
    <w:p>
      <w:pPr>
        <w:ind w:left="18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1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520" w:type="dxa"/>
            <w:vAlign w:val="bottom"/>
          </w:tcPr>
          <w:p>
            <w:pPr>
              <w:spacing w:after="0"/>
              <w:rPr>
                <w:sz w:val="14"/>
                <w:szCs w:val="14"/>
                <w:color w:val="auto"/>
              </w:rPr>
            </w:pPr>
          </w:p>
        </w:tc>
        <w:tc>
          <w:tcPr>
            <w:tcW w:w="21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52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700" w:type="dxa"/>
            <w:vAlign w:val="bottom"/>
          </w:tcPr>
          <w:p>
            <w:pPr>
              <w:spacing w:after="0"/>
              <w:rPr>
                <w:sz w:val="14"/>
                <w:szCs w:val="14"/>
                <w:color w:val="auto"/>
              </w:rPr>
            </w:pP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Revenues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Rental income</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$ 69,543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$ 64,101</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$205,137</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$192,584</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2,683</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10,213</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8,148</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1,797</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5,275</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5,759</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75,524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68,581</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220,625</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206,491</w:t>
            </w: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Rental</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15,410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13,015</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45,632</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41,057</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6,741</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20,877</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19,720</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17,680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15,992</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52,360</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49,521</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Administrative</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3,245</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9,971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9,035</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15,153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13,440</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44,110</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39,433</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59,157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52,433</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172,950</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158,766</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Operating income before investors' share of operations</w:t>
            </w:r>
          </w:p>
        </w:tc>
        <w:tc>
          <w:tcPr>
            <w:tcW w:w="340" w:type="dxa"/>
            <w:vAlign w:val="bottom"/>
          </w:tcPr>
          <w:p>
            <w:pPr>
              <w:spacing w:after="0"/>
              <w:rPr>
                <w:sz w:val="24"/>
                <w:szCs w:val="2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16,367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16,148</w:t>
            </w:r>
          </w:p>
        </w:tc>
        <w:tc>
          <w:tcPr>
            <w:tcW w:w="5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47,675</w:t>
            </w:r>
          </w:p>
        </w:tc>
        <w:tc>
          <w:tcPr>
            <w:tcW w:w="5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47,725</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Investor's share of operations</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(1,185)</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(1,727)</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(3,991)</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15,182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14,421</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43,684</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42,953</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34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7,898</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15,182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14,421</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51,582</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46,634</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Dividends on preferred stock</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(1,988)</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(1,988)</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(5,963)</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(5,963)</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available for common shareholders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$ 13,194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$ 12,433</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$ 45,619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40,671</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Earnings per common share, basic</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Earnings per common share, diluted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Weighted average shares outstanding, basic</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39,347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38,695</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39,061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38,812</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Weighted average shares outstanding, diluted</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40,492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39,774</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40,136</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39,949</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Funds from Operations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income available for common shareholders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$ 13,194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$ 12,433</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$ 45,619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40,671</w:t>
            </w:r>
          </w:p>
        </w:tc>
      </w:tr>
      <w:tr>
        <w:trPr>
          <w:trHeight w:val="168"/>
        </w:trPr>
        <w:tc>
          <w:tcPr>
            <w:tcW w:w="6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Less: (gain) on sale of real estate</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(7,898)</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6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Add: depreciation and amortization of real estate assets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13,764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12,229</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40,139</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35,852</w:t>
            </w:r>
          </w:p>
        </w:tc>
      </w:tr>
      <w:tr>
        <w:trPr>
          <w:trHeight w:val="168"/>
        </w:trPr>
        <w:tc>
          <w:tcPr>
            <w:tcW w:w="6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Add: amortization of initial direct costs of leases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3,015</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6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Add: income attributable to operating partnership units</w:t>
            </w:r>
          </w:p>
        </w:tc>
        <w:tc>
          <w:tcPr>
            <w:tcW w:w="34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1,049</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Funds from operations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$ 28,286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$ 25,837</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$ 81,924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76,461</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Funds from operations per share, diluted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0.65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w:t>
            </w:r>
          </w:p>
        </w:tc>
      </w:tr>
      <w:tr>
        <w:trPr>
          <w:trHeight w:val="168"/>
        </w:trPr>
        <w:tc>
          <w:tcPr>
            <w:tcW w:w="66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September 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(unaudited)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Real estate, at cost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$1,778,561</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$1,679,289</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Development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286,841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175,624</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2,065,402</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1,854,913</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(386,381)</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(351,258)</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1,679,021</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1,503,655</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35,505</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47,360</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investments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14,636</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11,357</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Receivables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13,718</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13,092</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52,070</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45,615</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$1,794,950</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$1,621,079</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Obligations under capital leases, mortgages and construction loans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410,663</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$340,152</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Notes payable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295,884</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209,005</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Senior Notes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410,000</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410,000</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75,289</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66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138,308</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118,979</w:t>
            </w:r>
          </w:p>
        </w:tc>
      </w:tr>
      <w:tr>
        <w:trPr>
          <w:trHeight w:val="336"/>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464,806</w:t>
            </w:r>
          </w:p>
        </w:tc>
        <w:tc>
          <w:tcPr>
            <w:tcW w:w="5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467,654</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$1,794,950</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$1,621,079</w:t>
            </w:r>
          </w:p>
        </w:tc>
      </w:tr>
      <w:tr>
        <w:trPr>
          <w:trHeight w:val="168"/>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60"/>
          </w:cols>
          <w:pgMar w:left="220" w:top="617" w:right="219" w:bottom="0" w:gutter="0" w:footer="0" w:header="0"/>
        </w:sectPr>
      </w:pPr>
    </w:p>
    <w:bookmarkStart w:id="16" w:name="page17"/>
    <w:bookmarkEnd w:id="16"/>
    <w:p>
      <w:pPr>
        <w:jc w:val="right"/>
        <w:spacing w:after="0" w:line="168"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ind w:right="3319"/>
        <w:spacing w:after="0"/>
        <w:rPr>
          <w:sz w:val="20"/>
          <w:szCs w:val="20"/>
          <w:color w:val="auto"/>
        </w:rPr>
      </w:pPr>
      <w:r>
        <w:rPr>
          <w:rFonts w:ascii="Courier New" w:cs="Courier New" w:eastAsia="Courier New" w:hAnsi="Courier New"/>
          <w:sz w:val="15"/>
          <w:szCs w:val="15"/>
          <w:color w:val="auto"/>
        </w:rPr>
        <w:t>Glossary of Terms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Average occupancy costs: Includes rent, common area maintenance expense, real estate taxes, merchant association dues and other charges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Economic occupancy: The square footage generating rental income expressed as a percentage of its total rentable square feet.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Leases signed - comparable: Represents leases signed on spaces for which there was a former tenant.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Leases signed - noncomparable: Represents leases signed on spaces for which there was no previous tenant, i.e expansion space or space that was previously non-leasable.</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Leases signed - prior rent: Total rent paid by the previous tenant; includes minimum and percentage rent.</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Net Operating Income: Gross revenues, including interest income, less rental expenses and real estate taxes.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Occupancy: The currently leased portion of a property expressed as a percentage of its total rentable square feet; includes square feet covered by leases for stores not yet opened.</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Overall occupancy: Occupancy for the entire portfolio -- includes all operating properties owned in reporting period.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Same center occupancy: Occupancy for only those properties owned and operating in the periods being compared. Excludes centers purchased or sold as well as properties under redevelopment and development.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2019-12-12T09:25:10Z</dcterms:created>
  <dcterms:modified xsi:type="dcterms:W3CDTF">2019-12-12T09:25:10Z</dcterms:modified>
</cp:coreProperties>
</file>