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3.625% Notes due 2046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$250,000,000</w:t>
            </w:r>
          </w:p>
        </w:tc>
        <w:tc>
          <w:tcPr>
            <w:tcW w:w="15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$25,175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jc w:val="both"/>
        <w:ind w:left="460" w:right="48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333-203999) filed on May 8, 2015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100965</wp:posOffset>
            </wp:positionV>
            <wp:extent cx="2255520"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3.625%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offering $250,000,000 aggregate principal amount of our 3.625% Notes due 2046. The notes will bear interest at the rate of 3.625% per year. Interest on the notes will be payable semi-annually in arears on February 1 and August 1 of each year, beginning on February 1, 2017. The notes will mature on August 1, 2046. We may redeem some or all of the notes at any time before maturity at the applicable redemption price discussed under the caption “Description of Notes — Optional Redemption.”</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9" w:lineRule="exact"/>
        <w:rPr>
          <w:sz w:val="20"/>
          <w:szCs w:val="20"/>
          <w:color w:val="auto"/>
        </w:rPr>
      </w:pPr>
    </w:p>
    <w:p>
      <w:pPr>
        <w:ind w:right="2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1">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S-5 of this prospectus supplement, on page 3 of the accompanying prospectus and in our Annual Report on Form 10-K for the year ended December 31, 2015, filed with the Securities and Exchange Commission, or the SEC, on February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97.756%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244,390,000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Underwriting discount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2,187,500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96.881%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242,202,500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from July 12, 2016, if settlement occurs after that date.</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July 12, 2016.</w:t>
      </w:r>
    </w:p>
    <w:p>
      <w:pPr>
        <w:spacing w:after="0" w:line="58"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Bancorp</w:t>
      </w:r>
    </w:p>
    <w:p>
      <w:pPr>
        <w:spacing w:after="0" w:line="161" w:lineRule="exact"/>
        <w:rPr>
          <w:sz w:val="20"/>
          <w:szCs w:val="20"/>
          <w:color w:val="auto"/>
        </w:rPr>
      </w:pPr>
    </w:p>
    <w:p>
      <w:pPr>
        <w:sectPr>
          <w:pgSz w:w="11900" w:h="16838" w:orient="portrait"/>
          <w:cols w:equalWidth="0" w:num="3">
            <w:col w:w="3700" w:space="720"/>
            <w:col w:w="4980" w:space="720"/>
            <w:col w:w="1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41"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133" w:lineRule="exact"/>
        <w:rPr>
          <w:sz w:val="20"/>
          <w:szCs w:val="20"/>
          <w:color w:val="auto"/>
        </w:rPr>
      </w:pPr>
    </w:p>
    <w:p>
      <w:pPr>
        <w:sectPr>
          <w:pgSz w:w="11900" w:h="16838" w:orient="portrait"/>
          <w:cols w:equalWidth="0" w:num="2">
            <w:col w:w="8420" w:space="720"/>
            <w:col w:w="2280"/>
          </w:cols>
          <w:pgMar w:left="240" w:top="459"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Regions Securities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TD Securities</w:t>
      </w:r>
    </w:p>
    <w:p>
      <w:pPr>
        <w:spacing w:after="0" w:line="142" w:lineRule="exact"/>
        <w:rPr>
          <w:sz w:val="20"/>
          <w:szCs w:val="20"/>
          <w:color w:val="auto"/>
        </w:rPr>
      </w:pPr>
    </w:p>
    <w:p>
      <w:pPr>
        <w:sectPr>
          <w:pgSz w:w="11900" w:h="16838" w:orient="portrait"/>
          <w:cols w:equalWidth="0" w:num="3">
            <w:col w:w="3640" w:space="720"/>
            <w:col w:w="5080" w:space="720"/>
            <w:col w:w="12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The date of this prospectus supplement is July 7,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7"/>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24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Notes</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Underwriting (Conflicts of Interest)</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260" w:type="dxa"/>
            <w:vAlign w:val="bottom"/>
            <w:gridSpan w:val="12"/>
            <w:vMerge w:val="continue"/>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2015, filed with the SEC on February 9, 2016,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2016, we owned or had a majority interest in community and neighborhood shopping centers and mixed-use properties which are operated as 96 predominantly retail real estate projects comprising approximately</w:t>
      </w:r>
    </w:p>
    <w:p>
      <w:pPr>
        <w:spacing w:after="0" w:line="2" w:lineRule="exact"/>
        <w:rPr>
          <w:sz w:val="20"/>
          <w:szCs w:val="20"/>
          <w:color w:val="auto"/>
        </w:rPr>
      </w:pPr>
    </w:p>
    <w:p>
      <w:pPr>
        <w:ind w:left="200" w:right="100"/>
        <w:spacing w:after="0" w:line="323" w:lineRule="auto"/>
        <w:rPr>
          <w:sz w:val="20"/>
          <w:szCs w:val="20"/>
          <w:color w:val="auto"/>
        </w:rPr>
      </w:pPr>
      <w:r>
        <w:rPr>
          <w:rFonts w:ascii="Arial" w:cs="Arial" w:eastAsia="Arial" w:hAnsi="Arial"/>
          <w:sz w:val="16"/>
          <w:szCs w:val="16"/>
          <w:color w:val="auto"/>
        </w:rPr>
        <w:t>22.2 million square feet. In total, the real estate projects were 94.1% leased and 92.7% occupied at March 31, 2016. We have paid quarterly dividends to our shareholders continuously since our founding in 1962 and have increased our dividends per common share for 48 consecutive years.</w:t>
      </w:r>
    </w:p>
    <w:p>
      <w:pPr>
        <w:spacing w:after="0" w:line="139"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w:t>
      </w:r>
    </w:p>
    <w:p>
      <w:pPr>
        <w:ind w:left="200" w:right="140" w:hanging="3"/>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8"/>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Ended March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360" w:type="dxa"/>
            <w:vAlign w:val="bottom"/>
            <w:tcBorders>
              <w:top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36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ratio of earnings to fixed charges is computed by dividing earnings by fixed charges. In computing the ratio of earnings to fixed charges: (a) 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6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7061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 million aggregate principal amount of 3.625% Notes due 2046.</w:t>
      </w:r>
    </w:p>
    <w:p>
      <w:pPr>
        <w:spacing w:after="0" w:line="140"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Unless redeemed prior to maturity as described below, the notes will mature on August 1, 2046.</w:t>
      </w:r>
    </w:p>
    <w:p>
      <w:pPr>
        <w:spacing w:after="0" w:line="62"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Interest on the notes will be payable semi-annually in arrears on February 1 and August 1 of each year, beginning on February 1, 2017, and at maturity (or any earlier redemption date).</w:t>
      </w:r>
    </w:p>
    <w:p>
      <w:pPr>
        <w:spacing w:after="0" w:line="73"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2016, we had outstanding approximately $505 million (excluding net unamortized premium and debt issuance costs) of secured indebtedness, which was issued by our subsidiaries and is collateralized by all or parts of 11 properties, and which will rank senior to the notes to the extent of the securing collateral and will also be structurally senior to the notes, approximately $15 million (excluding net unamortized debt issuance costs) of unsecured indebtedness issued by our subsidiaries, which will be structurally senior to the notes, and approximately $2,072 million of unsecured indebtedness (excluding net unamortized premium and debt issuance costs), which will rank equally with the notes. Since March 31, 2016, $34 million of secured indebtedness was repaid with the proceeds of borrowings under our unsecured revolving credit facility; accordingly, and taking into account regular payments of principal with respect to our secured indebtedness, as of July 6, 2016, we had outstanding approximately $469 million (excluding net unamortized premium and debt issuance costs) of secured indebtedness.</w:t>
      </w:r>
    </w:p>
    <w:p>
      <w:pPr>
        <w:spacing w:after="0" w:line="200"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spacing w:after="0" w:line="8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intend to use the net proceeds from this offering to pay down the outstanding balance under our revolving credit facility and for general corporate purposes. See “Use of Proceeds” on page S-7 for more information.</w:t>
      </w:r>
    </w:p>
    <w:p>
      <w:pPr>
        <w:spacing w:after="0" w:line="73"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40" w:lineRule="exact"/>
        <w:rPr>
          <w:sz w:val="20"/>
          <w:szCs w:val="20"/>
          <w:color w:val="auto"/>
        </w:rPr>
      </w:pPr>
    </w:p>
    <w:p>
      <w:pPr>
        <w:sectPr>
          <w:pgSz w:w="11900" w:h="16838" w:orient="portrait"/>
          <w:cols w:equalWidth="0" w:num="2">
            <w:col w:w="4020" w:space="720"/>
            <w:col w:w="6500"/>
          </w:cols>
          <w:pgMar w:left="240" w:top="459" w:right="419" w:bottom="1440" w:gutter="0" w:footer="0" w:header="0"/>
          <w:type w:val="continuous"/>
        </w:sectPr>
      </w:pPr>
    </w:p>
    <w:p>
      <w:pPr>
        <w:ind w:left="4740" w:right="20"/>
        <w:spacing w:after="0" w:line="288" w:lineRule="auto"/>
        <w:rPr>
          <w:sz w:val="20"/>
          <w:szCs w:val="20"/>
          <w:color w:val="auto"/>
        </w:rPr>
      </w:pPr>
      <w:r>
        <w:rPr>
          <w:rFonts w:ascii="Arial" w:cs="Arial" w:eastAsia="Arial" w:hAnsi="Arial"/>
          <w:sz w:val="16"/>
          <w:szCs w:val="16"/>
          <w:color w:val="auto"/>
        </w:rPr>
        <w:t>(1) 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40" w:right="100"/>
        <w:spacing w:after="0" w:line="279" w:lineRule="auto"/>
        <w:rPr>
          <w:sz w:val="20"/>
          <w:szCs w:val="20"/>
          <w:color w:val="auto"/>
        </w:rPr>
      </w:pPr>
      <w:r>
        <w:rPr>
          <w:rFonts w:ascii="Arial" w:cs="Arial" w:eastAsia="Arial" w:hAnsi="Arial"/>
          <w:sz w:val="17"/>
          <w:szCs w:val="17"/>
          <w:color w:val="auto"/>
        </w:rPr>
        <w:t>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63" w:lineRule="exact"/>
        <w:rPr>
          <w:sz w:val="20"/>
          <w:szCs w:val="20"/>
          <w:color w:val="auto"/>
        </w:rPr>
      </w:pPr>
    </w:p>
    <w:p>
      <w:pPr>
        <w:ind w:left="4740" w:right="20" w:hanging="1"/>
        <w:spacing w:after="0" w:line="285" w:lineRule="auto"/>
        <w:tabs>
          <w:tab w:leader="none" w:pos="499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64" w:lineRule="exact"/>
        <w:rPr>
          <w:rFonts w:ascii="Arial" w:cs="Arial" w:eastAsia="Arial" w:hAnsi="Arial"/>
          <w:sz w:val="16"/>
          <w:szCs w:val="16"/>
          <w:color w:val="auto"/>
        </w:rPr>
      </w:pPr>
    </w:p>
    <w:p>
      <w:pPr>
        <w:ind w:left="4740" w:hanging="1"/>
        <w:spacing w:after="0" w:line="283" w:lineRule="auto"/>
        <w:tabs>
          <w:tab w:leader="none" w:pos="49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w:t>
      </w:r>
    </w:p>
    <w:p>
      <w:pPr>
        <w:jc w:val="both"/>
        <w:ind w:left="4740" w:right="220"/>
        <w:spacing w:after="0" w:line="255" w:lineRule="auto"/>
        <w:rPr>
          <w:rFonts w:ascii="Arial" w:cs="Arial" w:eastAsia="Arial" w:hAnsi="Arial"/>
          <w:sz w:val="16"/>
          <w:szCs w:val="16"/>
          <w:color w:val="auto"/>
        </w:rPr>
      </w:pPr>
      <w:r>
        <w:rPr>
          <w:rFonts w:ascii="Arial" w:cs="Arial" w:eastAsia="Arial" w:hAnsi="Arial"/>
          <w:sz w:val="18"/>
          <w:szCs w:val="18"/>
          <w:color w:val="auto"/>
        </w:rPr>
        <w:t>(d) in the case of any acquisition or disposition by us or our subsidiaries of any asset or group of assets since the first day of such four-quarter period, whether by merger, stock purchase or sale,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123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 w:right="260"/>
        <w:spacing w:after="0" w:line="259" w:lineRule="auto"/>
        <w:rPr>
          <w:sz w:val="20"/>
          <w:szCs w:val="20"/>
          <w:color w:val="auto"/>
        </w:rPr>
      </w:pPr>
      <w:r>
        <w:rPr>
          <w:rFonts w:ascii="Arial" w:cs="Arial" w:eastAsia="Arial" w:hAnsi="Arial"/>
          <w:sz w:val="18"/>
          <w:szCs w:val="18"/>
          <w:color w:val="auto"/>
        </w:rPr>
        <w:t>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79" w:lineRule="exact"/>
        <w:rPr>
          <w:sz w:val="20"/>
          <w:szCs w:val="20"/>
          <w:color w:val="auto"/>
        </w:rPr>
      </w:pPr>
    </w:p>
    <w:p>
      <w:pPr>
        <w:ind w:left="1" w:right="120" w:hanging="1"/>
        <w:spacing w:after="0" w:line="286"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7"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The notes will be redeemable at any time at our option, in whole or in part. If the notes are redeemed before February 1, 2046 (six months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25 basis points (0.25%), plus, in each case, accrued and unpaid interest thereon to, but excluding, the redemption date. If the notes are redeemed on or after February 1, 2046 (six months prior to the maturity date), the redemption price will be equal to 100% of the principal amount of the notes being redeemed plus accrued and unpaid interest thereon to, but excluding, the redemption date.</w:t>
      </w:r>
    </w:p>
    <w:p>
      <w:pPr>
        <w:spacing w:after="0" w:line="6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117" w:lineRule="exact"/>
        <w:rPr>
          <w:sz w:val="20"/>
          <w:szCs w:val="20"/>
          <w:color w:val="auto"/>
        </w:rPr>
      </w:pPr>
    </w:p>
    <w:p>
      <w:pPr>
        <w:jc w:val="both"/>
        <w:ind w:left="1" w:right="40"/>
        <w:spacing w:after="0" w:line="279" w:lineRule="auto"/>
        <w:rPr>
          <w:sz w:val="20"/>
          <w:szCs w:val="20"/>
          <w:color w:val="auto"/>
        </w:rPr>
      </w:pPr>
      <w:r>
        <w:rPr>
          <w:rFonts w:ascii="Arial" w:cs="Arial" w:eastAsia="Arial" w:hAnsi="Arial"/>
          <w:sz w:val="17"/>
          <w:szCs w:val="17"/>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3" w:lineRule="exact"/>
        <w:rPr>
          <w:sz w:val="20"/>
          <w:szCs w:val="20"/>
          <w:color w:val="auto"/>
        </w:rPr>
      </w:pPr>
    </w:p>
    <w:p>
      <w:pPr>
        <w:ind w:left="1" w:right="20"/>
        <w:spacing w:after="0" w:line="270" w:lineRule="auto"/>
        <w:rPr>
          <w:sz w:val="20"/>
          <w:szCs w:val="20"/>
          <w:color w:val="auto"/>
        </w:rPr>
      </w:pPr>
      <w:r>
        <w:rPr>
          <w:rFonts w:ascii="Arial" w:cs="Arial" w:eastAsia="Arial" w:hAnsi="Arial"/>
          <w:sz w:val="17"/>
          <w:szCs w:val="17"/>
          <w:color w:val="auto"/>
        </w:rPr>
        <w:t>Investing in the notes involves risks. Please review the risk factors discussed beginning on page S-5 of this prospectus supplement, on page 3 of the accompanying prospectus and in our Annual Report on Form 10-K for the year ended December 31, 2015, filed with the SEC on February 9, 2016,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4019" w:space="720"/>
            <w:col w:w="6521"/>
          </w:cols>
          <w:pgMar w:left="240" w:top="459" w:right="39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2015 filed with the SEC on February 9, 2016 before you decide to purchase the notes. The risks and uncertainties described below and in the incorporated Form 10-K for the year ended December 31, 2015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2016, our subsidiaries had approximately $520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2016, we had approximately $505 million (excluding net unamortized premium and debt issuance costs) of secured debt outstanding, all of which was effectively senior to the notes to the extent of the value of the securing collateral. Since March 31, 2016, $34 million of secured indebtedness was repaid with the proceeds of borrowings under our unsecured revolving credit facility; accordingly, and taking into account regular payments of principal with respect to our secured indebtedness, as of July 6, 2016, we had outstanding approximately $469 million (excluding net unamortized premium and debt issuance costs) of secured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$241.7 million after deducting the underwriting discount and other estimated expenses of this offering payable by us.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2016, we had $53.0 million outstanding under our revolving credit facility ($80.0 million as of July 6, 2016).</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offering $250 million of our 3.625% notes maturing on August 1, 2046, which may be redeemed prior to that date in accordance with their terms.</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pay interest on the notes semi-annually in arrears on February 1 and August 1 of each year, beginning February 1, 2017, to the registered holders of the notes on the preceding January 15 and July 15.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will be effectively subordinated to the prior claims of each secured mortgage lender to any specific property that secures such lender’s mortgage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unsecured indebtedness of our subsidiaries. At March 31, 2016, we had outstanding approximately $505 million (excluding net unamortized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and debt issuance costs) of secured indebtedness, which was issued by our subsidiaries and is collateralized by all or parts of 11 properties,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ranks senior to the notes to the extent of securing collateral and will also be structurally senior to the notes, approximately $15 million (excluding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of unsecured indebtedness issued by our subsidiaries, which will be structurally senior to the notes,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$2,072 million of unsecured indebtedness (excluding net unamortized premium and debt issuance costs), which will rank equally. Since March 31, 2016, $34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secured indebtedness was repaid with the proceeds of borrowings under our unsecured revolving credit facility; accordingly, and taking into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 regular payments of principal with respect to our secured indebtedness, as of July 6, 2016, we had outstanding approximately $469 million (excluding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unamortized premium and debt issuance costs) of secured indebtedness.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notes will be redeemable at any time at our option, in whole or in part. If the notes are redeemed before February 1, 2046 (the “Par Call Date”), the 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redemption date on a semi-annual basis (assuming a 360-day year consisting of twelve 30-day months) at the Adjusted Treasury Rate (as defined below) plus 25 basis points (0.25%),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Deutsche Bank Securities Inc.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40" w:firstLine="8"/>
        <w:spacing w:after="0" w:line="271" w:lineRule="auto"/>
        <w:tabs>
          <w:tab w:leader="none" w:pos="2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companies and other unconsolidated entities accounted for financial reporting purposes using the equity method of accounting in accordance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shall be excluded from Unencumbered Total Asset Value.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right="5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firstLine="8"/>
        <w:spacing w:after="0" w:line="271"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5540" w:right="5300" w:hanging="5532"/>
        <w:spacing w:after="0" w:line="536"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commence a voluntary case or proceeding under any applicable bankruptcy law; S-12</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Legislation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Affecting Taxation of Our Company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discussion supplements and updates the discussions contained in the prospectus under the heading “Material Federal Income Tax Considerations,” and supersedes such discussions to the extent inconsistent with such discussions.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 xml:space="preserve">Reduction in Built-in Gains Period. </w:t>
      </w:r>
      <w:r>
        <w:rPr>
          <w:rFonts w:ascii="Arial" w:cs="Arial" w:eastAsia="Arial" w:hAnsi="Arial"/>
          <w:sz w:val="18"/>
          <w:szCs w:val="18"/>
          <w:color w:val="auto"/>
        </w:rPr>
        <w:t>For taxable years beginning in 2015 and later, the “built-in gains” period (i.e., the period during which gains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or disposition of property acquired by a REIT from a C corporation in a tax-free merger or other carryover basis transaction is subject to C corporation tax) is reduced from ten years to five years.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7, 2016, the IRS and Treasury Department issued temporary regulations changing the “built-in gains” recognition period for the corporate tax on built-in gains described in the discussion above. Prior to August 8, 2016, the recognition period applicable to us with respect to an asset with built-in gain is the five-year period beginning on the day the asset was acquired. Effective for assets with built-in gain acquired on or after August 8, 2016, the recognition period will be the ten-year period beginning on the day the asset was acquired.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no more than 20% of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total assets may consist of the securities of one or more taxable REIT subsidiaries.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Prohibited Transaction Safe Harbor. </w:t>
      </w:r>
      <w:r>
        <w:rPr>
          <w:rFonts w:ascii="Arial" w:cs="Arial" w:eastAsia="Arial" w:hAnsi="Arial"/>
          <w:sz w:val="18"/>
          <w:szCs w:val="18"/>
          <w:color w:val="auto"/>
        </w:rPr>
        <w:t>Certain alternative tests for satisfying the rules contained in the safe harbor provisions, under which certain sales of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assets will not be treated as prohibited transactions, have been added by the PATH Act.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which is required to file annual and periodic reports with the Securities and Exchange Commission under the Exchange Act. We are a publicly offered REIT.</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 xml:space="preserve">Limitations on Designation of Dividends by REITs. </w:t>
      </w:r>
      <w:r>
        <w:rPr>
          <w:rFonts w:ascii="Arial" w:cs="Arial" w:eastAsia="Arial" w:hAnsi="Arial"/>
          <w:sz w:val="17"/>
          <w:szCs w:val="17"/>
          <w:color w:val="auto"/>
        </w:rPr>
        <w:t>The aggregate amount of dividends that we may designate as qualified dividend income or as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 dividends with respect to any taxable year beginning after 2015 cannot exceed the dividends actually paid by us during such year.</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Debt Instruments of Publicly Offered REITs and Mortgages Treated as Real Estate Assets. </w:t>
      </w:r>
      <w:r>
        <w:rPr>
          <w:rFonts w:ascii="Arial" w:cs="Arial" w:eastAsia="Arial" w:hAnsi="Arial"/>
          <w:sz w:val="18"/>
          <w:szCs w:val="18"/>
          <w:color w:val="auto"/>
        </w:rPr>
        <w:t>Debt instruments issued by publicly offered REITs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will be treated as real estate assets for purposes of the 75% asset test. Income from such debt instruments is qualifying income for purposes of the 95% gross income test, but is not qualifying income for purposes of the 75% gross income test.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Asset and Income Test Clarification Regarding Ancillary Personal Property. </w:t>
      </w:r>
      <w:r>
        <w:rPr>
          <w:rFonts w:ascii="Arial" w:cs="Arial" w:eastAsia="Arial" w:hAnsi="Arial"/>
          <w:sz w:val="17"/>
          <w:szCs w:val="17"/>
          <w:color w:val="auto"/>
        </w:rPr>
        <w:t>Under current law, rent attributable to personal property which is leased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 connection 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provides that, for taxable years beginning after 2015, personal property leased in connection with a lease of real property will be treated as a real estate asset for purposes of the 75% asset test to the extent that rents attributable to such personal property meets the 15% test described above. In addition, for taxable years beginning after 2015, debt secured by a mortgage on both real and personal property will qualify as a real estate asset for purposes of the 75% asset test, and interest on such debt will be qualifying income for purposes of both the 95% and 75% gross income tests, if the fair market value of the personal property does not exceed 15% of the total fair market value of all property securing the debt.</w:t>
      </w:r>
    </w:p>
    <w:p>
      <w:pPr>
        <w:spacing w:after="0" w:line="1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For taxable years beginning after 2015, certain income from hedging transactions entered into to hedge existing hedging positions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portion of the hedged indebtedness or property is disposed of will not be included in income for purposes of the 95% and 75% gross income tests.</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a REIT that exceed the earnings and profits of the REIT.</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Treatment of Certain Services Provided by Taxable REIT Subsidiaries. </w:t>
      </w:r>
      <w:r>
        <w:rPr>
          <w:rFonts w:ascii="Arial" w:cs="Arial" w:eastAsia="Arial" w:hAnsi="Arial"/>
          <w:sz w:val="16"/>
          <w:szCs w:val="16"/>
          <w:color w:val="auto"/>
        </w:rPr>
        <w:t>For taxable years beginning after 2015, a 100% excise tax is imposed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“redetermined TRS service income,” which is income of a taxable REIT subsidiary attributable to services provided to, or on behalf of, its associated REIT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shareholders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a REIT is domestically controlled for purposes of the exception to FIRPTA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dispositions of domestically controlled REIT stock, the REIT may presume that holders of less than 5% of a class of stock regularly traded on an established securities market in the United States are U.S. persons throughout the testing period, except to the extent that the REIT has actual knowledge to the contrary. In addition, any stock in the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new rule generally does not apply to audits of taxable years beginning before January 1, 2018, and many of the details, including the means by which a partnership can avail itself of the alternative methods and the manner in which the alternative methods may apply to REITs, will be determined through yet-to-be-proposed Treasury regulations or other guidance.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Unless a non-recognition provision applies, upon the sale, exchange, redemption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40" w:hanging="325"/>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FATCA Regime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sections 1471 through 1474 of the Code, Treasury regulations and related guidance (commonly referred to as “FATCA”), a 30%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withholding tax will be imposed in certain circumstances on payments of (i) interest on the notes and (ii) beginning on or after January 1, 2019, gross proceeds from the sale or other disposition of the notes (which includes redemption and retirement of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Deutsche Bank Securities Inc. and U.S. Bancorp Investments, Inc.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Wells Fargo</w:t>
            </w:r>
          </w:p>
        </w:tc>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LLC</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0.500% of the principal amount of the notes. The underwriters may allow, and the dealers may reallow, a discount not in excess of 0.300%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Paid by Us</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3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shd w:val="clear" w:color="auto" w:fill="CCEEFF"/>
          </w:tcPr>
          <w:p>
            <w:pPr>
              <w:spacing w:after="0"/>
              <w:rPr>
                <w:sz w:val="18"/>
                <w:szCs w:val="18"/>
                <w:color w:val="auto"/>
              </w:rPr>
            </w:pPr>
          </w:p>
        </w:tc>
        <w:tc>
          <w:tcPr>
            <w:tcW w:w="31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 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494665</wp:posOffset>
            </wp:positionV>
            <wp:extent cx="2263775" cy="875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6377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3.625%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Deutche Bank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PNC Capital Markets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Regions Securities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408940</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July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lvl w:ilvl="1">
      <w:lvlJc w:val="left"/>
      <w:lvlText w:val="•"/>
      <w:numFmt w:val="bullet"/>
      <w:start w:val="1"/>
    </w:lvl>
  </w:abstractNum>
  <w:abstractNum w:abstractNumId="4">
    <w:nsid w:val="1BA026FA"/>
    <w:multiLevelType w:val="hybridMultilevel"/>
    <w:lvl w:ilvl="0">
      <w:lvlJc w:val="left"/>
      <w:lvlText w:val="(%1)"/>
      <w:numFmt w:val="decimal"/>
      <w:start w:val="800"/>
    </w:lvl>
  </w:abstractNum>
  <w:abstractNum w:abstractNumId="5">
    <w:nsid w:val="79A1DEAA"/>
    <w:multiLevelType w:val="hybridMultilevel"/>
    <w:lvl w:ilvl="0">
      <w:lvlJc w:val="left"/>
      <w:lvlText w:val="(%1)"/>
      <w:numFmt w:val="decimal"/>
      <w:start w:val="2"/>
    </w:lvl>
  </w:abstractNum>
  <w:abstractNum w:abstractNumId="6">
    <w:nsid w:val="75C6C33A"/>
    <w:multiLevelType w:val="hybridMultilevel"/>
    <w:lvl w:ilvl="0">
      <w:lvlJc w:val="left"/>
      <w:lvlText w:val="(%1)"/>
      <w:numFmt w:val="decimal"/>
      <w:start w:val="4"/>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decimal"/>
      <w:start w:val="5"/>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1)"/>
      <w:numFmt w:val="lowerLetter"/>
      <w:start w:val="2"/>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lvl w:ilvl="1">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lvl w:ilvl="1">
      <w:lvlJc w:val="left"/>
      <w:lvlText w:val="•"/>
      <w:numFmt w:val="bullet"/>
      <w:start w:val="1"/>
    </w:lvl>
  </w:abstractNum>
  <w:abstractNum w:abstractNumId="36">
    <w:nsid w:val="1F48EAA1"/>
    <w:multiLevelType w:val="hybridMultilevel"/>
    <w:lvl w:ilvl="0">
      <w:lvlJc w:val="left"/>
      <w:lvlText w:val="•"/>
      <w:numFmt w:val="bullet"/>
      <w:start w:val="1"/>
    </w:lvl>
    <w:lvl w:ilvl="1">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decimal"/>
      <w:start w:val="5"/>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2"/>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lvl w:ilvl="1">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lvl w:ilvl="1">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lvl w:ilvl="1">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lvl w:ilvl="1">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emdash "/>
      <w:numFmt w:val="bullet"/>
      <w:start w:val="1"/>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1)"/>
      <w:numFmt w:val="lowerRoman"/>
      <w:start w:val="2"/>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4"/>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2019-12-05T05:42:38Z</dcterms:created>
  <dcterms:modified xsi:type="dcterms:W3CDTF">2019-12-05T05:42:38Z</dcterms:modified>
</cp:coreProperties>
</file>