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60" w:val="left"/>
          <w:tab w:leader="none" w:pos="260" w:val="left"/>
        </w:tabs>
        <w:rPr>
          <w:sz w:val="20"/>
          <w:szCs w:val="20"/>
          <w:color w:val="auto"/>
        </w:rPr>
      </w:pPr>
      <w:r>
        <w:rPr>
          <w:rFonts w:ascii="Arial" w:cs="Arial" w:eastAsia="Arial" w:hAnsi="Arial"/>
          <w:sz w:val="22"/>
          <w:szCs w:val="22"/>
          <w:b w:val="1"/>
          <w:bCs w:val="1"/>
          <w:color w:val="auto"/>
        </w:rPr>
        <w:t>(Amendment No.</w:t>
        <w:tab/>
        <w:t>n/a</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3846830</wp:posOffset>
            </wp:positionH>
            <wp:positionV relativeFrom="paragraph">
              <wp:posOffset>-12065</wp:posOffset>
            </wp:positionV>
            <wp:extent cx="4889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FEDERAL REALTY INVESTMENT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Shares of Beneficial Interest, $.01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313747206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rFonts w:ascii="Arial" w:cs="Arial" w:eastAsia="Arial" w:hAnsi="Arial"/>
          <w:sz w:val="16"/>
          <w:szCs w:val="16"/>
          <w:color w:val="auto"/>
        </w:rPr>
      </w:pPr>
    </w:p>
    <w:p>
      <w:pPr>
        <w:ind w:right="180"/>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313747206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-71120</wp:posOffset>
            </wp:positionV>
            <wp:extent cx="732790" cy="278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790" cy="27876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22555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25552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60" w:right="5080" w:hanging="529"/>
        <w:spacing w:after="0" w:line="180" w:lineRule="auto"/>
        <w:tabs>
          <w:tab w:leader="none" w:pos="760" w:val="left"/>
        </w:tabs>
        <w:numPr>
          <w:ilvl w:val="0"/>
          <w:numId w:val="2"/>
        </w:numPr>
        <w:rPr>
          <w:rFonts w:ascii="Arial" w:cs="Arial" w:eastAsia="Arial" w:hAnsi="Arial"/>
          <w:sz w:val="38"/>
          <w:szCs w:val="38"/>
          <w:b w:val="1"/>
          <w:bCs w:val="1"/>
          <w:color w:val="auto"/>
          <w:vertAlign w:val="subscript"/>
        </w:rPr>
      </w:pPr>
      <w:r>
        <w:rPr>
          <w:rFonts w:ascii="Arial" w:cs="Arial" w:eastAsia="Arial" w:hAnsi="Arial"/>
          <w:sz w:val="15"/>
          <w:szCs w:val="15"/>
          <w:color w:val="auto"/>
        </w:rPr>
        <w:t>I.R.S. IDENTIFICATION NOS. OF ABOVE PERSONS (ENTITIES ONLY) JPMORGAN CHASE &amp; CO</w:t>
      </w:r>
    </w:p>
    <w:p>
      <w:pPr>
        <w:spacing w:after="0" w:line="2"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13-2624428</w:t>
      </w:r>
    </w:p>
    <w:p>
      <w:pPr>
        <w:spacing w:after="0" w:line="75"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58" w:lineRule="exact"/>
        <w:rPr>
          <w:sz w:val="20"/>
          <w:szCs w:val="20"/>
          <w:color w:val="auto"/>
        </w:rPr>
      </w:pPr>
    </w:p>
    <w:p>
      <w:pPr>
        <w:jc w:val="right"/>
        <w:ind w:left="240" w:right="10240" w:firstLine="511"/>
        <w:spacing w:after="0" w:line="239" w:lineRule="auto"/>
        <w:tabs>
          <w:tab w:leader="none" w:pos="1095" w:val="left"/>
        </w:tabs>
        <w:numPr>
          <w:ilvl w:val="0"/>
          <w:numId w:val="3"/>
        </w:numPr>
        <w:rPr>
          <w:rFonts w:ascii="Arial" w:cs="Arial" w:eastAsia="Arial" w:hAnsi="Arial"/>
          <w:sz w:val="16"/>
          <w:szCs w:val="16"/>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6"/>
          <w:szCs w:val="16"/>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o</w:t>
      </w:r>
    </w:p>
    <w:p>
      <w:pPr>
        <w:spacing w:after="0" w:line="53"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2"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3,306,021</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3,771,266</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14,075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3,785,397</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5"/>
          <w:szCs w:val="15"/>
          <w:color w:val="auto"/>
        </w:rPr>
        <w:t>5.2%</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HC</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FEDERAL REALTY INVESTMENT TRUST</w:t>
      </w:r>
    </w:p>
    <w:p>
      <w:pPr>
        <w:spacing w:after="0" w:line="237" w:lineRule="exact"/>
        <w:rPr>
          <w:rFonts w:ascii="Arial" w:cs="Arial" w:eastAsia="Arial" w:hAnsi="Arial"/>
          <w:sz w:val="18"/>
          <w:szCs w:val="18"/>
          <w:color w:val="auto"/>
        </w:rPr>
      </w:pPr>
    </w:p>
    <w:p>
      <w:pPr>
        <w:ind w:left="1300" w:right="6480" w:hanging="644"/>
        <w:spacing w:after="0" w:line="25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1626 East Jefferson Street</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Rockville, Maryland 20852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JPMORGAN CHASE &amp; CO</w:t>
      </w:r>
    </w:p>
    <w:p>
      <w:pPr>
        <w:spacing w:after="0" w:line="237" w:lineRule="exact"/>
        <w:rPr>
          <w:rFonts w:ascii="Arial" w:cs="Arial" w:eastAsia="Arial" w:hAnsi="Arial"/>
          <w:sz w:val="18"/>
          <w:szCs w:val="18"/>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270 Park Avenue</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10017</w:t>
      </w:r>
    </w:p>
    <w:p>
      <w:pPr>
        <w:spacing w:after="0" w:line="237" w:lineRule="exact"/>
        <w:rPr>
          <w:rFonts w:ascii="Arial" w:cs="Arial" w:eastAsia="Arial" w:hAnsi="Arial"/>
          <w:sz w:val="18"/>
          <w:szCs w:val="18"/>
          <w:color w:val="auto"/>
        </w:rPr>
      </w:pPr>
    </w:p>
    <w:p>
      <w:pPr>
        <w:ind w:left="1300" w:right="90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150" w:lineRule="exact"/>
        <w:rPr>
          <w:rFonts w:ascii="Arial" w:cs="Arial" w:eastAsia="Arial" w:hAnsi="Arial"/>
          <w:sz w:val="16"/>
          <w:szCs w:val="16"/>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Common Shares of Beneficial Interest, $.01 par value per share</w:t>
      </w:r>
    </w:p>
    <w:p>
      <w:pPr>
        <w:spacing w:after="0" w:line="237" w:lineRule="exact"/>
        <w:rPr>
          <w:rFonts w:ascii="Arial" w:cs="Arial" w:eastAsia="Arial" w:hAnsi="Arial"/>
          <w:sz w:val="18"/>
          <w:szCs w:val="18"/>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313747206</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3,785,397</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5.2%</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3,306,021</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3,771,266</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14,075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61" w:lineRule="exact"/>
        <w:rPr>
          <w:sz w:val="20"/>
          <w:szCs w:val="20"/>
          <w:color w:val="auto"/>
        </w:rPr>
      </w:pPr>
    </w:p>
    <w:p>
      <w:pPr>
        <w:ind w:right="360" w:firstLine="648"/>
        <w:spacing w:after="0" w:line="251" w:lineRule="auto"/>
        <w:rPr>
          <w:sz w:val="20"/>
          <w:szCs w:val="20"/>
          <w:color w:val="auto"/>
        </w:rPr>
      </w:pPr>
      <w:r>
        <w:rPr>
          <w:rFonts w:ascii="Arial" w:cs="Arial" w:eastAsia="Arial" w:hAnsi="Arial"/>
          <w:sz w:val="22"/>
          <w:szCs w:val="22"/>
          <w:color w:val="auto"/>
        </w:rPr>
        <w:t>J.P. Morgan Investment Management Inc.; JPMorgan Chase Bank, National Association; JPMorgan Asset Management (UK) Limited; J.P. Morgan Trust Company of Delaware; J.P. Morgan Securities LLC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4" w:name="page5"/>
    <w:bookmarkEnd w:id="4"/>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JPMORGAN CHASE &amp; CO</w:t>
      </w:r>
    </w:p>
    <w:p>
      <w:pPr>
        <w:sectPr>
          <w:pgSz w:w="11900" w:h="16838" w:orient="portrait"/>
          <w:cols w:equalWidth="0" w:num="1">
            <w:col w:w="11340"/>
          </w:cols>
          <w:pgMar w:left="240" w:top="756" w:right="31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January 10, 2018</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/s/ Michael T. Lees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Name: Michael T. Lees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Title: Executive Director</w:t>
      </w:r>
    </w:p>
    <w:p>
      <w:pPr>
        <w:spacing w:after="0" w:line="200" w:lineRule="exact"/>
        <w:rPr>
          <w:sz w:val="20"/>
          <w:szCs w:val="20"/>
          <w:color w:val="auto"/>
        </w:rPr>
      </w:pPr>
    </w:p>
    <w:p>
      <w:pPr>
        <w:sectPr>
          <w:pgSz w:w="11900" w:h="16838" w:orient="portrait"/>
          <w:cols w:equalWidth="0" w:num="2">
            <w:col w:w="5000" w:space="720"/>
            <w:col w:w="5620"/>
          </w:cols>
          <w:pgMar w:left="240" w:top="756" w:right="319" w:bottom="1440" w:gutter="0" w:footer="0" w:header="0"/>
          <w:type w:val="continuous"/>
        </w:sect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340"/>
      </w:cols>
      <w:pgMar w:left="240" w:top="756"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x"/>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2019-12-05T02:11:47Z</dcterms:created>
  <dcterms:modified xsi:type="dcterms:W3CDTF">2019-12-05T02:11:47Z</dcterms:modified>
</cp:coreProperties>
</file>