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 2004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312420</wp:posOffset>
            </wp:positionV>
            <wp:extent cx="4364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019"/>
          </w:cols>
          <w:pgMar w:left="1440" w:top="630" w:right="1440" w:bottom="1440" w:gutter="0" w:footer="0" w:header="0"/>
        </w:sectPr>
      </w:pP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Maryland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1-07533</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(Commission</w:t>
      </w:r>
    </w:p>
    <w:p>
      <w:pPr>
        <w:spacing w:after="0" w:line="32"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8"/>
          <w:szCs w:val="18"/>
          <w:color w:val="auto"/>
        </w:rPr>
        <w:t>52-0782497</w:t>
      </w:r>
    </w:p>
    <w:p>
      <w:pPr>
        <w:spacing w:after="0" w:line="23" w:lineRule="exact"/>
        <w:rPr>
          <w:sz w:val="20"/>
          <w:szCs w:val="20"/>
          <w:color w:val="auto"/>
        </w:rPr>
      </w:pPr>
    </w:p>
    <w:p>
      <w:pPr>
        <w:jc w:val="center"/>
        <w:ind w:right="1239"/>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239"/>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3320" w:space="720"/>
            <w:col w:w="1680" w:space="720"/>
            <w:col w:w="2579"/>
          </w:cols>
          <w:pgMar w:left="1440" w:top="630" w:right="1440" w:bottom="1440" w:gutter="0" w:footer="0" w:header="0"/>
          <w:type w:val="continuous"/>
        </w:sectPr>
      </w:pPr>
    </w:p>
    <w:p>
      <w:pPr>
        <w:spacing w:after="0" w:line="1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1626 East Jefferson Street, Rockville, Maryland</w:t>
      </w:r>
    </w:p>
    <w:p>
      <w:pPr>
        <w:spacing w:after="0" w:line="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20852-4041</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181" w:lineRule="exact"/>
        <w:rPr>
          <w:sz w:val="20"/>
          <w:szCs w:val="20"/>
          <w:color w:val="auto"/>
        </w:rPr>
      </w:pPr>
    </w:p>
    <w:p>
      <w:pPr>
        <w:sectPr>
          <w:pgSz w:w="11900" w:h="16838" w:orient="portrait"/>
          <w:cols w:equalWidth="0" w:num="2">
            <w:col w:w="5300" w:space="720"/>
            <w:col w:w="2999"/>
          </w:cols>
          <w:pgMar w:left="1440" w:top="630" w:right="1440"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Registrant’s telephone number including area code: 301/998-8100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85"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exhibits listed in the following index relate to an offering under the Registrant’s Registration Statement on Form S-3 (No. 333-100819), and each is filed herewith for incorporation by reference in such Registration Statement.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6"/>
                <w:szCs w:val="16"/>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66"/>
        </w:trPr>
        <w:tc>
          <w:tcPr>
            <w:tcW w:w="9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9920" w:type="dxa"/>
            <w:vAlign w:val="bottom"/>
            <w:tcBorders>
              <w:bottom w:val="single" w:sz="8" w:color="808080"/>
            </w:tcBorders>
          </w:tcPr>
          <w:p>
            <w:pPr>
              <w:spacing w:after="0"/>
              <w:rPr>
                <w:sz w:val="5"/>
                <w:szCs w:val="5"/>
                <w:color w:val="auto"/>
              </w:rPr>
            </w:pPr>
          </w:p>
        </w:tc>
      </w:tr>
      <w:tr>
        <w:trPr>
          <w:trHeight w:val="263"/>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2"/>
              </w:rPr>
              <w:t>Underwriting Agreement, dated April 2, 2004, by and between the Registrant and Wachovia Capital Markets, LLC, as representative of</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the several underwriters named in Schedule I to the related pricing agreement</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1.2</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3"/>
              </w:rPr>
              <w:t>Pricing Agreement, dated April 2, 2004, by and between the Registrant and Wachovia Capital Markets, LLC, as representative of the</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several underwriters named in Schedule I thereto</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3"/>
              </w:rPr>
              <w:t>Specimen common share certificate (previously filed as Exhibit 4(i) to the Company’s Annual Report on Form 10-K for the year ended</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Opinion of Shaw Pittman LLP relating to the legality of the common shares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8.1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Opinion of Shaw Pittman LLP relating to material tax matters relating to the Registrant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Consents of Shaw Pittman LLP (contained in the opinions filed as Exhibits 5.1 and 8.1 hereto)</w:t>
            </w:r>
          </w:p>
        </w:tc>
      </w:tr>
      <w:tr>
        <w:trPr>
          <w:trHeight w:val="632"/>
        </w:trPr>
        <w:tc>
          <w:tcPr>
            <w:tcW w:w="9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4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April 5,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180"/>
          </w:cols>
          <w:pgMar w:left="240" w:top="931" w:right="4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and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St. Paul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From time to time Federal Realty Investment Trust, a Maryland real estate investment trust (the “Company”), proposes to enter into one or more Pricing Agreements (each a “Pricing Agreement”) in substantially the form of Annex I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shares of beneficial interest (the “Shares”) specified in Schedule II to such Pricing Agreement (with respect to such Pricing Agreement, the “Designated Shares”). If specified in such Pricing Agreement, the Designated Shares may consist of a specified number of shares that the Underwriters, acting severally and not jointly, have agreed to purchase (the “Initial Shares”) and a specified number of shares that the Underwriters, acting severally and not jointly, have the option to purchase to cover over allotments, if any (the “Option Shares”), in each case on the terms and subject to the conditions set forth in this Agreement and such Pricing Agreement. The Shares may include the Company’s common shares of beneficial interest, par value $0.01 per share (the “Common Shares”), or preferred shares of beneficial interest, par value $0.01 per share (the “Preferred Shares”).</w:t>
      </w:r>
    </w:p>
    <w:p>
      <w:pPr>
        <w:spacing w:after="0" w:line="129"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terms and rights of any particular issuance of Designated Shares shall be as specified in the Pricing Agreement relating thereto and in or pursuant to the resolutions of the board of trustees of the Company or a duly appointed committee thereof.</w:t>
      </w:r>
    </w:p>
    <w:p>
      <w:pPr>
        <w:spacing w:after="0" w:line="130" w:lineRule="exact"/>
        <w:rPr>
          <w:sz w:val="20"/>
          <w:szCs w:val="20"/>
          <w:color w:val="auto"/>
        </w:rPr>
      </w:pPr>
    </w:p>
    <w:p>
      <w:pPr>
        <w:ind w:right="60" w:firstLine="233"/>
        <w:spacing w:after="0" w:line="259"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Particular sales of Designated Shares may be made from time to time to the Underwriters of such Shares, for whom the firms designated as representatives of the Underwriters of such Shares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ind w:right="180"/>
        <w:spacing w:after="0" w:line="288" w:lineRule="auto"/>
        <w:rPr>
          <w:sz w:val="20"/>
          <w:szCs w:val="20"/>
          <w:color w:val="auto"/>
        </w:rPr>
      </w:pPr>
      <w:r>
        <w:rPr>
          <w:rFonts w:ascii="Arial" w:cs="Arial" w:eastAsia="Arial" w:hAnsi="Arial"/>
          <w:sz w:val="16"/>
          <w:szCs w:val="16"/>
          <w:color w:val="auto"/>
        </w:rPr>
        <w:t>obligation of the Company to sell any of the Shares or as an obligation of any of the Underwriters to purchase any of the Shares. The obligation of the Company to issue and sell any of the Shares and the obligation of any of the Underwriters to purchase any of the Shares shall be evidenced by the Pricing Agreement with respect to the Designated Shares specified therein. Each Pricing Agreement shall specify the aggregate number of such Designated Shares (and, if applicable, the aggregate number of Initial Shares and Option Shares), the initial public offering price of such Designated Shares, the purchase price to the Underwriters of such Designated Shares, the names of the Underwriters of such Designated Shares, the names of the Representatives of such Underwriters and the number of such Designated Shares to be purchased by each Underwriter and shall set forth the date and time of delivery of such Designated Shares and payment therefor. The Pricing Agreement shall also specify (to the extent not set forth in the registration statement and prospectus with respect thereto) the terms of such Designated Shares.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Agreement and each Pricing Agreement shall be several and not joint.</w:t>
      </w:r>
    </w:p>
    <w:p>
      <w:pPr>
        <w:spacing w:after="0" w:line="142" w:lineRule="exact"/>
        <w:rPr>
          <w:sz w:val="20"/>
          <w:szCs w:val="20"/>
          <w:color w:val="auto"/>
        </w:rPr>
      </w:pPr>
    </w:p>
    <w:p>
      <w:pPr>
        <w:ind w:left="400" w:hanging="16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184" w:lineRule="exact"/>
        <w:rPr>
          <w:rFonts w:ascii="Arial" w:cs="Arial" w:eastAsia="Arial" w:hAnsi="Arial"/>
          <w:sz w:val="18"/>
          <w:szCs w:val="18"/>
          <w:color w:val="auto"/>
        </w:rPr>
      </w:pPr>
    </w:p>
    <w:p>
      <w:pPr>
        <w:ind w:left="1040" w:hanging="240"/>
        <w:spacing w:after="0"/>
        <w:tabs>
          <w:tab w:leader="none" w:pos="10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 registration statement on Form S-3 (File No. 333-100819) in respect of the Shares has been filed with the Securities and Exchange</w:t>
      </w:r>
    </w:p>
    <w:p>
      <w:pPr>
        <w:spacing w:after="0" w:line="34" w:lineRule="exact"/>
        <w:rPr>
          <w:rFonts w:ascii="Arial" w:cs="Arial" w:eastAsia="Arial" w:hAnsi="Arial"/>
          <w:sz w:val="17"/>
          <w:szCs w:val="17"/>
          <w:color w:val="auto"/>
        </w:rPr>
      </w:pPr>
    </w:p>
    <w:p>
      <w:pPr>
        <w:ind w:left="360"/>
        <w:spacing w:after="0" w:line="285" w:lineRule="auto"/>
        <w:rPr>
          <w:rFonts w:ascii="Arial" w:cs="Arial" w:eastAsia="Arial" w:hAnsi="Arial"/>
          <w:sz w:val="17"/>
          <w:szCs w:val="17"/>
          <w:color w:val="auto"/>
        </w:rPr>
      </w:pPr>
      <w:r>
        <w:rPr>
          <w:rFonts w:ascii="Arial" w:cs="Arial" w:eastAsia="Arial" w:hAnsi="Arial"/>
          <w:sz w:val="16"/>
          <w:szCs w:val="16"/>
          <w:color w:val="auto"/>
        </w:rPr>
        <w:t>Commission (the “Commission”); the Registration Statement (as defined below) and any post-effective amendments thereto, each in the form heretofore delivered or made available to the Representatives, excluding exhibits to such Registration Statement, but including all documents incorporated by reference in the prospectus contained therein, have been declared effective by the Commission in such form; other than a registration statement, if any, increasing the size of the offering (a “Rule 462(b) Registration Statement”) filed pursuant to Rule 462(b) under the Securities Act of 1933, as amended (the “Act”), which became or will become effective upon filing, no other documents with respect to the Registration Statement have heretofore been filed or transmitted for filing with the Commission (other than prospectuses filed pursuant to Rule 424(b) under the Act, each in the form heretofore delivered to the Representatives); and no stop order suspending the effectiveness of the Registration Statement, any post-effective amendments thereto or the Rule 462(b) Registration Statement, if any, has been issued and no proceeding for that purpose has been initiated or threatened by the Commission (any preliminary prospectus included in the Registration Statement or filed with the Commission pursuant to Rule 424 under the Act, in each case including any preliminary prospectus supplement, is hereinafter called a “Preliminary Prospectus”); the various parts of the Registration Statement and the Rule 462(b) Registration Statement, if any, including all exhibits thereto and the documents incorporated by reference in the prospectus contained in the Registration Statement at the time such part of the registration statement became effective, each as amended at the time such part of the Registration Statement became effective or such part of the Rule 462(b) Registration Statement, if any, became or hereinafter becomes effective, are hereinafter collectively called the “Registration Statement”; the prospectus relating to the Shares, in the form in which it has most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20"/>
        <w:spacing w:after="0" w:line="268" w:lineRule="auto"/>
        <w:rPr>
          <w:sz w:val="20"/>
          <w:szCs w:val="20"/>
          <w:color w:val="auto"/>
        </w:rPr>
      </w:pPr>
      <w:r>
        <w:rPr>
          <w:rFonts w:ascii="Arial" w:cs="Arial" w:eastAsia="Arial" w:hAnsi="Arial"/>
          <w:sz w:val="17"/>
          <w:szCs w:val="17"/>
          <w:color w:val="auto"/>
        </w:rPr>
        <w:t>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Item 12 of Form S-3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filing of the Company filed pursuant to Sections 13(a), 13(c), 14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Shares in the form in which it is filed with the Commission pursuant to Rule 424(b) under the Act in accordance with Section 5(a) hereof, including any documents incorporated by reference therein as of the date of such filing; all references herein to information which is “contained” or “included” in the Registration Statement, any Preliminary Prospectus, any Prospectus, any Prospectus as amended or supplemented or any Rule 434 Prospectus (and all references of like import) shall be deemed to mean and include all such information which is incorporated or deemed to be incorporated by reference therein;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154" w:lineRule="exact"/>
        <w:rPr>
          <w:sz w:val="20"/>
          <w:szCs w:val="20"/>
          <w:color w:val="auto"/>
        </w:rPr>
      </w:pPr>
    </w:p>
    <w:p>
      <w:pPr>
        <w:ind w:firstLine="440"/>
        <w:spacing w:after="0" w:line="288" w:lineRule="auto"/>
        <w:tabs>
          <w:tab w:leader="none" w:pos="70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12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7" w:name="page8"/>
    <w:bookmarkEnd w:id="7"/>
    <w:p>
      <w:pPr>
        <w:ind w:firstLine="440"/>
        <w:spacing w:after="0" w:line="288" w:lineRule="auto"/>
        <w:tabs>
          <w:tab w:leader="none" w:pos="69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respective rules and regulations of the Commission thereunder; and the Registration Statement and the Prospectus do not and will not, as of the applicable effective date as to the Registration Statement and any amendment thereto, as of the date of filing with the Commission of any Annual Report of the Company on Form 10-K and as of the date of filing with the Commission of any amendment to any such Annual Report of the Company on Form 10-K in the case of the Registration Statement, and as of the applicable filing date of the Prospectus and any amendment or supplement thereto, contain an untrue statement of a material fact or omit to state a material fact required to be stated therein or necessary to make the statements therein not misleading in light of the circumstances under which they were made;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142" w:lineRule="exact"/>
        <w:rPr>
          <w:rFonts w:ascii="Arial" w:cs="Arial" w:eastAsia="Arial" w:hAnsi="Arial"/>
          <w:sz w:val="16"/>
          <w:szCs w:val="16"/>
          <w:color w:val="auto"/>
        </w:rPr>
      </w:pPr>
    </w:p>
    <w:p>
      <w:pPr>
        <w:ind w:right="40" w:firstLine="440"/>
        <w:spacing w:after="0" w:line="287" w:lineRule="auto"/>
        <w:tabs>
          <w:tab w:leader="none" w:pos="70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Prospectus; the Company has interests in a number of entities (collectively, the “Entities”), identified on Annex III, which have been duly organized and are validly existing as corporations, partnerships, limited liability corporations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Prospectus; except as otherwise denoted in Annex III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128" w:lineRule="exact"/>
        <w:rPr>
          <w:rFonts w:ascii="Arial" w:cs="Arial" w:eastAsia="Arial" w:hAnsi="Arial"/>
          <w:sz w:val="16"/>
          <w:szCs w:val="16"/>
          <w:color w:val="auto"/>
        </w:rPr>
      </w:pPr>
    </w:p>
    <w:p>
      <w:pPr>
        <w:ind w:right="60" w:firstLine="440"/>
        <w:spacing w:after="0" w:line="259"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Company nor any of the Entities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date as of which information is given in the Prospectus,</w:t>
      </w:r>
    </w:p>
    <w:p>
      <w:pPr>
        <w:spacing w:after="0" w:line="14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35" w:right="279" w:bottom="1440" w:gutter="0" w:footer="0" w:header="0"/>
        </w:sectPr>
      </w:pPr>
    </w:p>
    <w:bookmarkStart w:id="8" w:name="page9"/>
    <w:bookmarkEnd w:id="8"/>
    <w:p>
      <w:pPr>
        <w:ind w:right="80"/>
        <w:spacing w:after="0" w:line="290" w:lineRule="auto"/>
        <w:rPr>
          <w:sz w:val="20"/>
          <w:szCs w:val="20"/>
          <w:color w:val="auto"/>
        </w:rPr>
      </w:pPr>
      <w:r>
        <w:rPr>
          <w:rFonts w:ascii="Arial" w:cs="Arial" w:eastAsia="Arial" w:hAnsi="Arial"/>
          <w:sz w:val="16"/>
          <w:szCs w:val="16"/>
          <w:color w:val="auto"/>
        </w:rPr>
        <w:t>there has not been any change in the authorized, issued or outstanding capital shares of the Company (except for subsequent issuances, if any, of Common Shares pursuant to (x) the Company’s Dividend Reinvestment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Annex III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Prospectus;</w:t>
      </w:r>
    </w:p>
    <w:p>
      <w:pPr>
        <w:spacing w:after="0" w:line="139" w:lineRule="exact"/>
        <w:rPr>
          <w:sz w:val="20"/>
          <w:szCs w:val="20"/>
          <w:color w:val="auto"/>
        </w:rPr>
      </w:pPr>
    </w:p>
    <w:p>
      <w:pPr>
        <w:jc w:val="both"/>
        <w:ind w:right="40" w:firstLine="440"/>
        <w:spacing w:after="0" w:line="264" w:lineRule="auto"/>
        <w:tabs>
          <w:tab w:leader="none" w:pos="6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140" w:lineRule="exact"/>
        <w:rPr>
          <w:rFonts w:ascii="Arial" w:cs="Arial" w:eastAsia="Arial" w:hAnsi="Arial"/>
          <w:sz w:val="18"/>
          <w:szCs w:val="18"/>
          <w:color w:val="auto"/>
        </w:rPr>
      </w:pPr>
    </w:p>
    <w:p>
      <w:pPr>
        <w:ind w:right="40" w:firstLine="440"/>
        <w:spacing w:after="0" w:line="293" w:lineRule="auto"/>
        <w:tabs>
          <w:tab w:leader="none" w:pos="70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Designated Shares have been duly and validly authorized, and, when such Designated Shares are issued and delivered pursuant to this Agreement and the Pricing Agreement with respect to such Designated Shares, such Designated Shares will be duly and validly issued and fully paid and non-assessable; the Designated Shares conform to the description thereof contained in the Registration Statement and the Prospectus as amended or supplemented with respect to such Designated Shares; except as set forth under the caption “Description of Shares of Beneficial Interest—Shareholder Liability” in the Prospectus, no holder of the Designated Shares is or will be subject to personal liability by reason of being such a holder; and the issuance of the Designated Shares is not subject to any preemptive or other similar rights of any securityholder of the Company;</w:t>
      </w:r>
    </w:p>
    <w:p>
      <w:pPr>
        <w:spacing w:after="0" w:line="124" w:lineRule="exact"/>
        <w:rPr>
          <w:rFonts w:ascii="Arial" w:cs="Arial" w:eastAsia="Arial" w:hAnsi="Arial"/>
          <w:sz w:val="16"/>
          <w:szCs w:val="16"/>
          <w:color w:val="auto"/>
        </w:rPr>
      </w:pPr>
    </w:p>
    <w:p>
      <w:pPr>
        <w:ind w:firstLine="440"/>
        <w:spacing w:after="0" w:line="253"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issue and sale of the Designated Shares and the compliance by the Company with all of the provisions of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or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Shares or the consummation by the Company of the transactions contemplated by this Agreement or</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9" w:name="page10"/>
    <w:bookmarkEnd w:id="9"/>
    <w:p>
      <w:pPr>
        <w:ind w:right="160"/>
        <w:spacing w:after="0" w:line="259" w:lineRule="auto"/>
        <w:rPr>
          <w:sz w:val="20"/>
          <w:szCs w:val="20"/>
          <w:color w:val="auto"/>
        </w:rPr>
      </w:pPr>
      <w:r>
        <w:rPr>
          <w:rFonts w:ascii="Arial" w:cs="Arial" w:eastAsia="Arial" w:hAnsi="Arial"/>
          <w:sz w:val="18"/>
          <w:szCs w:val="18"/>
          <w:color w:val="auto"/>
        </w:rPr>
        <w:t>any Pricing Agreement, except such as have been, or will have been prior to the Time of Delivery (as defined in Section 4 hereof), obtained under the Act, the Exchange Act and the rules of the New York Stock Exchange, Inc. (the “NYSE”) and such consents, approvals, authorizations, registrations or qualifications as may be required under state securities or Blue Sky laws in connection with the purchase and distribution of the Shares by the Underwriters;</w:t>
      </w:r>
    </w:p>
    <w:p>
      <w:pPr>
        <w:spacing w:after="0" w:line="160" w:lineRule="exact"/>
        <w:rPr>
          <w:sz w:val="20"/>
          <w:szCs w:val="20"/>
          <w:color w:val="auto"/>
        </w:rPr>
      </w:pPr>
    </w:p>
    <w:p>
      <w:pPr>
        <w:ind w:firstLine="440"/>
        <w:spacing w:after="0" w:line="257" w:lineRule="auto"/>
        <w:tabs>
          <w:tab w:leader="none" w:pos="66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147" w:lineRule="exact"/>
        <w:rPr>
          <w:rFonts w:ascii="Arial" w:cs="Arial" w:eastAsia="Arial" w:hAnsi="Arial"/>
          <w:sz w:val="18"/>
          <w:szCs w:val="18"/>
          <w:color w:val="auto"/>
        </w:rPr>
      </w:pPr>
    </w:p>
    <w:p>
      <w:pPr>
        <w:ind w:right="40" w:firstLine="440"/>
        <w:spacing w:after="0" w:line="293" w:lineRule="auto"/>
        <w:tabs>
          <w:tab w:leader="none" w:pos="6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the Entities, together with related notes and schedules as set forth or incorporated by reference in the Registration Statement,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124" w:lineRule="exact"/>
        <w:rPr>
          <w:rFonts w:ascii="Arial" w:cs="Arial" w:eastAsia="Arial" w:hAnsi="Arial"/>
          <w:sz w:val="16"/>
          <w:szCs w:val="16"/>
          <w:color w:val="auto"/>
        </w:rPr>
      </w:pPr>
    </w:p>
    <w:p>
      <w:pPr>
        <w:ind w:right="260" w:firstLine="440"/>
        <w:spacing w:after="0" w:line="312"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and the Entities have good and marketable title to, or valid and enforceable leasehold estates in, all items of real and personal property referred to in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119" w:lineRule="exact"/>
        <w:rPr>
          <w:rFonts w:ascii="Arial" w:cs="Arial" w:eastAsia="Arial" w:hAnsi="Arial"/>
          <w:sz w:val="16"/>
          <w:szCs w:val="16"/>
          <w:color w:val="auto"/>
        </w:rPr>
      </w:pPr>
    </w:p>
    <w:p>
      <w:pPr>
        <w:ind w:right="460" w:firstLine="440"/>
        <w:spacing w:after="0" w:line="264" w:lineRule="auto"/>
        <w:tabs>
          <w:tab w:leader="none" w:pos="6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and the Entities have filed all federal, state, local and foreign income tax returns which have been required to be filed, or 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140" w:lineRule="exact"/>
        <w:rPr>
          <w:rFonts w:ascii="Arial" w:cs="Arial" w:eastAsia="Arial" w:hAnsi="Arial"/>
          <w:sz w:val="18"/>
          <w:szCs w:val="18"/>
          <w:color w:val="auto"/>
        </w:rPr>
      </w:pPr>
    </w:p>
    <w:p>
      <w:pPr>
        <w:ind w:right="20" w:firstLine="440"/>
        <w:spacing w:after="0" w:line="264" w:lineRule="auto"/>
        <w:tabs>
          <w:tab w:leader="none" w:pos="7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140" w:lineRule="exact"/>
        <w:rPr>
          <w:rFonts w:ascii="Arial" w:cs="Arial" w:eastAsia="Arial" w:hAnsi="Arial"/>
          <w:sz w:val="18"/>
          <w:szCs w:val="18"/>
          <w:color w:val="auto"/>
        </w:rPr>
      </w:pPr>
    </w:p>
    <w:p>
      <w:pPr>
        <w:ind w:left="700" w:hanging="260"/>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Grant Thornton LLP, which audited the consolidated balance sheet of the Company and subsidiaries as of December 31, 2003 and 2002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related</w:t>
      </w:r>
    </w:p>
    <w:p>
      <w:pPr>
        <w:spacing w:after="0" w:line="18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0" w:name="page11"/>
    <w:bookmarkEnd w:id="10"/>
    <w:p>
      <w:pPr>
        <w:jc w:val="both"/>
        <w:ind w:left="340" w:right="260"/>
        <w:spacing w:after="0" w:line="264" w:lineRule="auto"/>
        <w:rPr>
          <w:sz w:val="20"/>
          <w:szCs w:val="20"/>
          <w:color w:val="auto"/>
        </w:rPr>
      </w:pPr>
      <w:r>
        <w:rPr>
          <w:rFonts w:ascii="Arial" w:cs="Arial" w:eastAsia="Arial" w:hAnsi="Arial"/>
          <w:sz w:val="18"/>
          <w:szCs w:val="18"/>
          <w:color w:val="auto"/>
        </w:rPr>
        <w:t>consolidated statement of operations, common shareholders’ equity, and cash flows for the years ended December 31, 2003 and 2002 incorporated by reference in the Registration Statement and Prospectus, are independent public accountants as required by the Act and the rules and regulations of the Commission promulgated thereunder;</w:t>
      </w:r>
    </w:p>
    <w:p>
      <w:pPr>
        <w:spacing w:after="0" w:line="154" w:lineRule="exact"/>
        <w:rPr>
          <w:sz w:val="20"/>
          <w:szCs w:val="20"/>
          <w:color w:val="auto"/>
        </w:rPr>
      </w:pPr>
    </w:p>
    <w:p>
      <w:pPr>
        <w:ind w:left="340" w:right="340" w:firstLine="440"/>
        <w:spacing w:after="0" w:line="259" w:lineRule="auto"/>
        <w:tabs>
          <w:tab w:leader="none" w:pos="1045"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our knowledge, Arthur Andersen LLP, which audited the consolidated statements of operations, common shareholders’ equity, and cash flows for the year ended December 31, 2001 incorporated by reference in the Registration Statement and Prospectus, was, at all times until its replacement as the Company’s auditor in June 2002, an independent public accountant as required by the Act and the rules and regulations of the Commission promulgated thereunder;</w:t>
      </w:r>
    </w:p>
    <w:p>
      <w:pPr>
        <w:spacing w:after="0" w:line="146" w:lineRule="exact"/>
        <w:rPr>
          <w:rFonts w:ascii="Arial" w:cs="Arial" w:eastAsia="Arial" w:hAnsi="Arial"/>
          <w:sz w:val="18"/>
          <w:szCs w:val="18"/>
          <w:color w:val="auto"/>
        </w:rPr>
      </w:pPr>
    </w:p>
    <w:p>
      <w:pPr>
        <w:ind w:left="340" w:right="380" w:firstLine="440"/>
        <w:spacing w:after="0" w:line="277" w:lineRule="auto"/>
        <w:tabs>
          <w:tab w:leader="none" w:pos="104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conditions for use of registration statements on Form S-3 set forth in the General Instructions on Form S-3 have been satisfied and the Company is entitled to use such form for the transaction contemplated herein;</w:t>
      </w:r>
    </w:p>
    <w:p>
      <w:pPr>
        <w:spacing w:after="0" w:line="129" w:lineRule="exact"/>
        <w:rPr>
          <w:rFonts w:ascii="Arial" w:cs="Arial" w:eastAsia="Arial" w:hAnsi="Arial"/>
          <w:sz w:val="18"/>
          <w:szCs w:val="18"/>
          <w:color w:val="auto"/>
        </w:rPr>
      </w:pPr>
    </w:p>
    <w:p>
      <w:pPr>
        <w:ind w:left="340" w:firstLine="440"/>
        <w:spacing w:after="0" w:line="272" w:lineRule="auto"/>
        <w:tabs>
          <w:tab w:leader="none" w:pos="1045" w:val="left"/>
        </w:tabs>
        <w:numPr>
          <w:ilvl w:val="1"/>
          <w:numId w:val="7"/>
        </w:numPr>
        <w:rPr>
          <w:rFonts w:ascii="Arial" w:cs="Arial" w:eastAsia="Arial" w:hAnsi="Arial"/>
          <w:sz w:val="17"/>
          <w:szCs w:val="17"/>
          <w:color w:val="auto"/>
        </w:rPr>
      </w:pPr>
      <w:r>
        <w:rPr>
          <w:rFonts w:ascii="Arial" w:cs="Arial" w:eastAsia="Arial" w:hAnsi="Arial"/>
          <w:sz w:val="17"/>
          <w:szCs w:val="17"/>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 and</w:t>
      </w:r>
    </w:p>
    <w:p>
      <w:pPr>
        <w:spacing w:after="0" w:line="150" w:lineRule="exact"/>
        <w:rPr>
          <w:rFonts w:ascii="Arial" w:cs="Arial" w:eastAsia="Arial" w:hAnsi="Arial"/>
          <w:sz w:val="17"/>
          <w:szCs w:val="17"/>
          <w:color w:val="auto"/>
        </w:rPr>
      </w:pPr>
    </w:p>
    <w:p>
      <w:pPr>
        <w:ind w:left="340" w:firstLine="440"/>
        <w:spacing w:after="0" w:line="257" w:lineRule="auto"/>
        <w:tabs>
          <w:tab w:leader="none" w:pos="1015" w:val="left"/>
        </w:tabs>
        <w:numPr>
          <w:ilvl w:val="1"/>
          <w:numId w:val="7"/>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147" w:lineRule="exact"/>
        <w:rPr>
          <w:rFonts w:ascii="Arial" w:cs="Arial" w:eastAsia="Arial" w:hAnsi="Arial"/>
          <w:sz w:val="18"/>
          <w:szCs w:val="18"/>
          <w:color w:val="auto"/>
        </w:rPr>
      </w:pPr>
    </w:p>
    <w:p>
      <w:pPr>
        <w:ind w:left="-20" w:right="340" w:firstLine="233"/>
        <w:spacing w:after="0" w:line="264" w:lineRule="auto"/>
        <w:tabs>
          <w:tab w:leader="none" w:pos="385"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Shares and authorization by the Representatives of the release of such Designated Shares, the several Underwriters propose to offer such Designated Shares for sale upon the terms and conditions set forth in the Prospectus as amended or supplemented.</w:t>
      </w:r>
    </w:p>
    <w:p>
      <w:pPr>
        <w:spacing w:after="0" w:line="140" w:lineRule="exact"/>
        <w:rPr>
          <w:rFonts w:ascii="Arial" w:cs="Arial" w:eastAsia="Arial" w:hAnsi="Arial"/>
          <w:sz w:val="18"/>
          <w:szCs w:val="18"/>
          <w:color w:val="auto"/>
        </w:rPr>
      </w:pPr>
    </w:p>
    <w:p>
      <w:pPr>
        <w:jc w:val="both"/>
        <w:ind w:left="-20" w:firstLine="233"/>
        <w:spacing w:after="0" w:line="264" w:lineRule="auto"/>
        <w:tabs>
          <w:tab w:leader="none" w:pos="385"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Certificates for the Designated Shares to be purchased by each Underwriter pursuant to the Pricing Agreement relating thereto, in definitive form and in such authorized denominations and registered in such names as the Representatives may request upon at least twenty-four hours’ prior notice to the Company, shall be delivered by or on behalf of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1" w:name="page12"/>
    <w:bookmarkEnd w:id="11"/>
    <w:p>
      <w:pPr>
        <w:ind w:right="20"/>
        <w:spacing w:after="0" w:line="290" w:lineRule="auto"/>
        <w:rPr>
          <w:sz w:val="20"/>
          <w:szCs w:val="20"/>
          <w:color w:val="auto"/>
        </w:rPr>
      </w:pPr>
      <w:r>
        <w:rPr>
          <w:rFonts w:ascii="Arial" w:cs="Arial" w:eastAsia="Arial" w:hAnsi="Arial"/>
          <w:sz w:val="16"/>
          <w:szCs w:val="16"/>
          <w:color w:val="auto"/>
        </w:rPr>
        <w:t>Company to the Representatives for the account of such Underwriter,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twenty-four hours’ prior notice to the Representatives), all in the manner and at the place and time and date specified in or pursuant to such Pricing Agreement or at such other place and time and date as the Representatives and the Company may agree upon in writing. The time and date of delivery of and payment for the Initial Shares (or, if the applicable Pricing Agreement does not grant the Underwriters an option to purchase Option Shares, the Designated Shares) being herein called the “Time of Delivery” for such Shares, and, if the applicable Pricing Agreement grants the Underwriters an option to purchase Option Shares and if the Underwriters exercise such option, in whole or in part, the time and date of delivery of such Option Shares is hereinafter called the “Option Closing Time” for such Shares.</w:t>
      </w:r>
    </w:p>
    <w:p>
      <w:pPr>
        <w:spacing w:after="0" w:line="139" w:lineRule="exact"/>
        <w:rPr>
          <w:sz w:val="20"/>
          <w:szCs w:val="20"/>
          <w:color w:val="auto"/>
        </w:rPr>
      </w:pPr>
    </w:p>
    <w:p>
      <w:pPr>
        <w:ind w:left="400" w:hanging="167"/>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Shares:</w:t>
      </w:r>
    </w:p>
    <w:p>
      <w:pPr>
        <w:spacing w:after="0" w:line="184" w:lineRule="exact"/>
        <w:rPr>
          <w:rFonts w:ascii="Arial" w:cs="Arial" w:eastAsia="Arial" w:hAnsi="Arial"/>
          <w:sz w:val="18"/>
          <w:szCs w:val="18"/>
          <w:color w:val="auto"/>
        </w:rPr>
      </w:pPr>
    </w:p>
    <w:p>
      <w:pPr>
        <w:ind w:left="360" w:right="20" w:firstLine="440"/>
        <w:spacing w:after="0" w:line="284" w:lineRule="auto"/>
        <w:tabs>
          <w:tab w:leader="none" w:pos="1055"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the Company does not elect to rely on Rule 434 under the Act, immediately following execution and delivery of the applicable Pricing Agreement, to prepare the Prospectus as amended and supplemented in relation to the applicable Designated Shares in a form approved by the Representatives and to file such Prospectus as amended or supplemented pursuant to Rule 424(b) under the Act not later than the Commission’s close of business on the second business day following the execution and delivery of the Pricing Agreement relating to the applicable Designated Shares or, if applicable, such earlier time as may be required by Rule 424(b), or if the Company elects to rely on Rule 434 under the Act, immediately following execution and delivery of the applicable Pricing Agreement, to prepare an abbreviated term sheet relating to the Designated Shares in a form approved by the Representatives that complies with the requirements of Rule 434 under the Act and to file such form of Rule 434 Prospectus complying with</w:t>
      </w:r>
    </w:p>
    <w:p>
      <w:pPr>
        <w:spacing w:after="0" w:line="2" w:lineRule="exact"/>
        <w:rPr>
          <w:rFonts w:ascii="Arial" w:cs="Arial" w:eastAsia="Arial" w:hAnsi="Arial"/>
          <w:sz w:val="16"/>
          <w:szCs w:val="16"/>
          <w:color w:val="auto"/>
        </w:rPr>
      </w:pPr>
    </w:p>
    <w:p>
      <w:pPr>
        <w:ind w:left="360"/>
        <w:spacing w:after="0" w:line="286" w:lineRule="auto"/>
        <w:rPr>
          <w:rFonts w:ascii="Arial" w:cs="Arial" w:eastAsia="Arial" w:hAnsi="Arial"/>
          <w:sz w:val="16"/>
          <w:szCs w:val="16"/>
          <w:color w:val="auto"/>
        </w:rPr>
      </w:pPr>
      <w:r>
        <w:rPr>
          <w:rFonts w:ascii="Arial" w:cs="Arial" w:eastAsia="Arial" w:hAnsi="Arial"/>
          <w:sz w:val="16"/>
          <w:szCs w:val="16"/>
          <w:color w:val="auto"/>
        </w:rPr>
        <w:t>Rule 434(c)(2) of the Act pursuant to Rule 424(b) under the Act not later than the Commission’s close of business on the business day following the execution and delivery of the Pricing Agreement relating to the applicable Designated Shares or, if applicable, such earlier time as may be required by Rule 424(b); to make no further amendment or any supplement to the Registration Statement or Prospectus as amended or supplemented after the date of the Pricing Agreement relating to such Designated Shares and prior to the Time of Delivery for such Designated Shares (or, if the applicable Pricing Agreement provides for an over-allotment option, prior to the Option Closing Time or, if such over-allotment option is not exercised by the Underwriters, prior to the expiration of such over-allotment option) which shall be reasonably disapproved by the Representatives for such Designated Shares promptly after reasonable notice thereof; to advise the Representatives promptly of any such amendment or supplement after such Time of Delivery (or, if the applicable Pricing Agreement provides for an over-allotment option, after the Option Closing Time or, if such over-allotment option is not exercised by the Underwriters, after the expiration of such over-allotment option)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160"/>
        <w:spacing w:after="0" w:line="271" w:lineRule="auto"/>
        <w:rPr>
          <w:sz w:val="20"/>
          <w:szCs w:val="20"/>
          <w:color w:val="auto"/>
        </w:rPr>
      </w:pPr>
      <w:r>
        <w:rPr>
          <w:rFonts w:ascii="Arial" w:cs="Arial" w:eastAsia="Arial" w:hAnsi="Arial"/>
          <w:sz w:val="17"/>
          <w:szCs w:val="17"/>
          <w:color w:val="auto"/>
        </w:rPr>
        <w:t>Designated Shares,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as amended or supplemented, of the suspension of the qualification of such Designated Shares for offering or sale in any jurisdiction, of the initiation or threatening of any proceeding for any such purpose, or of any request by the Commission for the amending or supplementing of the Registration Statement or Prospectus as amended or supplemented or for additional information; and, in the event of the issuance of any such stop order or of any such order preventing or suspending the use of any Prospectus as amended or supplemented relating to the Designated Shares or suspending any such qualification, to use promptly its best efforts to obtain its withdrawal;</w:t>
      </w:r>
    </w:p>
    <w:p>
      <w:pPr>
        <w:spacing w:after="0" w:line="152" w:lineRule="exact"/>
        <w:rPr>
          <w:sz w:val="20"/>
          <w:szCs w:val="20"/>
          <w:color w:val="auto"/>
        </w:rPr>
      </w:pPr>
    </w:p>
    <w:p>
      <w:pPr>
        <w:ind w:firstLine="440"/>
        <w:spacing w:after="0" w:line="257"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the Representatives may reasonably request to qualify such Designated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Shares, provided that in connection therewith the Company shall not be required to qualify as a foreign corporation or to file a general consent to service of process in any jurisdiction;</w:t>
      </w:r>
    </w:p>
    <w:p>
      <w:pPr>
        <w:spacing w:after="0" w:line="147" w:lineRule="exact"/>
        <w:rPr>
          <w:rFonts w:ascii="Arial" w:cs="Arial" w:eastAsia="Arial" w:hAnsi="Arial"/>
          <w:sz w:val="18"/>
          <w:szCs w:val="18"/>
          <w:color w:val="auto"/>
        </w:rPr>
      </w:pPr>
    </w:p>
    <w:p>
      <w:pPr>
        <w:ind w:right="20" w:firstLine="440"/>
        <w:spacing w:after="0" w:line="289"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Promptly to furnish to the Underwriters in New York City with copies of the Prospectus, as amended or supplemented, in such quantities as the Representatives may reasonably request, and, if the delivery of a prospectus is required at any time in connection with the offering or sale of the Designated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as amended or supplemented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126" w:lineRule="exact"/>
        <w:rPr>
          <w:rFonts w:ascii="Arial" w:cs="Arial" w:eastAsia="Arial" w:hAnsi="Arial"/>
          <w:sz w:val="16"/>
          <w:szCs w:val="16"/>
          <w:color w:val="auto"/>
        </w:rPr>
      </w:pPr>
    </w:p>
    <w:p>
      <w:pPr>
        <w:ind w:right="60" w:firstLine="440"/>
        <w:spacing w:after="0" w:line="312"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make generally available to its securityholders as soon as practicable, but in any event not later than eighteen months after the effective date of the Registration Statement (as defined in Rule 158(c)), an earnings statement of the Company (which need not be audited) complying with Section 11(a) of the Act and the rules and regulations of the Commission thereunder (including at the option of the Company Rule 158);</w:t>
      </w:r>
    </w:p>
    <w:p>
      <w:pPr>
        <w:spacing w:after="0" w:line="12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13" w:name="page14"/>
    <w:bookmarkEnd w:id="13"/>
    <w:p>
      <w:pPr>
        <w:ind w:left="340" w:firstLine="440"/>
        <w:spacing w:after="0" w:line="283" w:lineRule="auto"/>
        <w:tabs>
          <w:tab w:leader="none" w:pos="1035" w:val="left"/>
        </w:tabs>
        <w:numPr>
          <w:ilvl w:val="1"/>
          <w:numId w:val="11"/>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Shares and continuing through and including the 60th day after the date of the Pricing Agreement, not to offer, sell, contract to sell, pledge or otherwise issue or dispose of (or enter into any transaction which is designed to, or might reasonably be expected to, result in the disposition (whether by actual disposition or effective economic disposition due to cash settlement or otherwise) by the Company), directly or indirectly, or establish or increase a put equivalent position or liquidate or decrease a call equivalent position with the meaning of Section 16 of the Exchange Act and the rules and regulations of the Commission promulgated thereunder with respect to, (i) if such Designated Shares are Common Shares, any Common Shares, any capital shares of the Company which are substantially similar to Common Shares or any securities convertible into or exercisable, exchangeable or redeemable for Common Shares or any capital shares of the Company which are substantially similar to Common Shares or (ii) if such Designated Shares are Preferred Shares, any such Preferred Shares, any capital shares of the Company which are substantially similar to such Preferred Shares or any securities convertible into or exercisable, exchangeable or redeemable for any such Preferred Shares or any capital shares of the Company which are substantially similar to such Preferred Shares, in each case without the prior written consent of the Representatives; provided, however, that the foregoing restrictions shall not prohibit the sale of such Designated Shares to the Underwriters pursuant to this Agreement and the applicable Pricing Agreement, and shall not prohibit the Company from issuing (A) Common Shares pursuant to (x) the Company’s Dividend Reinvestment Plan as in effect on the date of the applicable Pricing Agreement,</w:t>
      </w:r>
    </w:p>
    <w:p>
      <w:pPr>
        <w:spacing w:after="0" w:line="3" w:lineRule="exact"/>
        <w:rPr>
          <w:rFonts w:ascii="Arial" w:cs="Arial" w:eastAsia="Arial" w:hAnsi="Arial"/>
          <w:sz w:val="16"/>
          <w:szCs w:val="16"/>
          <w:color w:val="auto"/>
        </w:rPr>
      </w:pPr>
    </w:p>
    <w:p>
      <w:pPr>
        <w:ind w:left="340" w:right="20" w:hanging="10"/>
        <w:spacing w:after="0" w:line="281" w:lineRule="auto"/>
        <w:tabs>
          <w:tab w:leader="none" w:pos="5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of the Company’s employee or trustee benefit plans, including upon exercise of share options granted pursuant thereto, as such plans are in effect on the date of the applicable Pricing Agreement or (z) the exercise of contractual rights existing on the date of the applicable Pricing Agreement by current and former holders of partnership or other interests in certain of the “DownREIT” and other Entities listed in Annex III hereto which may require or permit (in lieu of a payment in cash) the issuance of Common Shares by the Company, and (B) any securities (the “Acquisition Securities”) convertible into or exercisable, exchangeable or redeemable for Common Shares as consideration for the acquisition of real property, provided, that the</w:t>
      </w:r>
    </w:p>
    <w:p>
      <w:pPr>
        <w:spacing w:after="0" w:line="3" w:lineRule="exact"/>
        <w:rPr>
          <w:sz w:val="20"/>
          <w:szCs w:val="20"/>
          <w:color w:val="auto"/>
        </w:rPr>
      </w:pPr>
    </w:p>
    <w:p>
      <w:pPr>
        <w:ind w:left="340" w:right="120"/>
        <w:spacing w:after="0" w:line="234" w:lineRule="auto"/>
        <w:rPr>
          <w:sz w:val="20"/>
          <w:szCs w:val="20"/>
          <w:color w:val="auto"/>
        </w:rPr>
      </w:pPr>
      <w:r>
        <w:rPr>
          <w:rFonts w:ascii="Arial" w:cs="Arial" w:eastAsia="Arial" w:hAnsi="Arial"/>
          <w:sz w:val="16"/>
          <w:szCs w:val="16"/>
          <w:color w:val="auto"/>
        </w:rPr>
        <w:t>Acquisition Securities are not convertible, exercisable, exchangeable or redeemable for or into Common Shares prior to the day following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date of the Pricing Agreement, and provided, further, that the Company shall not release, modify or waive the restriction set forth in this clause</w:t>
      </w:r>
    </w:p>
    <w:p>
      <w:pPr>
        <w:spacing w:after="0" w:line="2" w:lineRule="exact"/>
        <w:rPr>
          <w:sz w:val="20"/>
          <w:szCs w:val="20"/>
          <w:color w:val="auto"/>
        </w:rPr>
      </w:pPr>
    </w:p>
    <w:p>
      <w:pPr>
        <w:ind w:left="620" w:hanging="290"/>
        <w:spacing w:after="0"/>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with respect to the Acquisition Securities without the prior written consent of the Representatives.</w:t>
      </w:r>
    </w:p>
    <w:p>
      <w:pPr>
        <w:spacing w:after="0" w:line="183" w:lineRule="exact"/>
        <w:rPr>
          <w:rFonts w:ascii="Arial" w:cs="Arial" w:eastAsia="Arial" w:hAnsi="Arial"/>
          <w:sz w:val="18"/>
          <w:szCs w:val="18"/>
          <w:color w:val="auto"/>
        </w:rPr>
      </w:pPr>
    </w:p>
    <w:p>
      <w:pPr>
        <w:ind w:left="340" w:right="140" w:firstLine="440"/>
        <w:spacing w:after="0" w:line="277" w:lineRule="auto"/>
        <w:tabs>
          <w:tab w:leader="none" w:pos="1015"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Designated Shares in the manner specified in the Prospectus under the caption “Use of Proceeds”; and</w:t>
      </w:r>
    </w:p>
    <w:p>
      <w:pPr>
        <w:spacing w:after="0" w:line="129" w:lineRule="exact"/>
        <w:rPr>
          <w:rFonts w:ascii="Arial" w:cs="Arial" w:eastAsia="Arial" w:hAnsi="Arial"/>
          <w:sz w:val="18"/>
          <w:szCs w:val="18"/>
          <w:color w:val="auto"/>
        </w:rPr>
      </w:pPr>
    </w:p>
    <w:p>
      <w:pPr>
        <w:ind w:left="340" w:firstLine="440"/>
        <w:spacing w:after="0" w:line="277" w:lineRule="auto"/>
        <w:tabs>
          <w:tab w:leader="none" w:pos="1045"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qualify as a “real estate investment trust” under the Code, and to use its best efforts to continue to meet the requirements to qualify as a “real estate investment trust.”</w:t>
      </w:r>
    </w:p>
    <w:p>
      <w:pPr>
        <w:spacing w:after="0" w:line="129" w:lineRule="exact"/>
        <w:rPr>
          <w:rFonts w:ascii="Arial" w:cs="Arial" w:eastAsia="Arial" w:hAnsi="Arial"/>
          <w:sz w:val="18"/>
          <w:szCs w:val="18"/>
          <w:color w:val="auto"/>
        </w:rPr>
      </w:pPr>
    </w:p>
    <w:p>
      <w:pPr>
        <w:ind w:left="-20" w:right="940" w:firstLine="233"/>
        <w:spacing w:after="0" w:line="277" w:lineRule="auto"/>
        <w:tabs>
          <w:tab w:leader="none" w:pos="3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covenants and agrees with the several Underwriters that the Company will pay or cause to be paid the following: (i) the fees, disbursements and expenses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4" w:name="page15"/>
    <w:bookmarkEnd w:id="14"/>
    <w:p>
      <w:pPr>
        <w:ind w:right="80"/>
        <w:spacing w:after="0" w:line="284" w:lineRule="auto"/>
        <w:rPr>
          <w:sz w:val="20"/>
          <w:szCs w:val="20"/>
          <w:color w:val="auto"/>
        </w:rPr>
      </w:pPr>
      <w:r>
        <w:rPr>
          <w:rFonts w:ascii="Arial" w:cs="Arial" w:eastAsia="Arial" w:hAnsi="Arial"/>
          <w:sz w:val="16"/>
          <w:szCs w:val="16"/>
          <w:color w:val="auto"/>
        </w:rPr>
        <w:t>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blue sky and legal investment surveys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and legal investment surveys;</w:t>
      </w:r>
    </w:p>
    <w:p>
      <w:pPr>
        <w:spacing w:after="0" w:line="3" w:lineRule="exact"/>
        <w:rPr>
          <w:sz w:val="20"/>
          <w:szCs w:val="20"/>
          <w:color w:val="auto"/>
        </w:rPr>
      </w:pPr>
    </w:p>
    <w:p>
      <w:pPr>
        <w:ind w:right="40" w:firstLine="8"/>
        <w:spacing w:after="0" w:line="292" w:lineRule="auto"/>
        <w:tabs>
          <w:tab w:leader="none" w:pos="3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filing fees incident to any required review by the National Association of Securities Dealers, Inc. of the terms of the sale of the Shares; (v) the cost of preparing certificates for the Shares; (vi) the costs and charges of any transfer agent or registrar or dividend disbursing agent; and (vii) all other costs and expenses incident to the performance of its obligations hereunder which are not otherwise specifically provided for in this Section. It is understood, however, that, except as provided in this Section, Section 8 and Section 11 hereof, the Underwriters will pay all of their own costs and expenses, including the fees of their counsel, transfer taxes on resale of any of the Shares by them, and any advertising expenses connected with any offers they may make.</w:t>
      </w:r>
    </w:p>
    <w:p>
      <w:pPr>
        <w:spacing w:after="0" w:line="135" w:lineRule="exact"/>
        <w:rPr>
          <w:rFonts w:ascii="Arial" w:cs="Arial" w:eastAsia="Arial" w:hAnsi="Arial"/>
          <w:sz w:val="16"/>
          <w:szCs w:val="16"/>
          <w:color w:val="auto"/>
        </w:rPr>
      </w:pPr>
    </w:p>
    <w:p>
      <w:pPr>
        <w:ind w:firstLine="233"/>
        <w:spacing w:after="0" w:line="276" w:lineRule="auto"/>
        <w:tabs>
          <w:tab w:leader="none" w:pos="402"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obligations of the Underwriters of any Designated Shares under the Pricing Agreement relating to such Designated Shares shall be subject, in the discretion of the Representatives, to the condition that all representations and warranties and other statements of the Company in, or incorporated by reference from this Agreement into, the Pricing Agreement relating to such Designated Shares are, at and as of the Time of Delivery for such Designated Shares (and, if applicable, at and as of the Option Closing Time for any such Designated Shares) true and correct, to the condition that the Company shall have performed all of its obligations hereunder theretofore to be performed, and to the following additional conditions:</w:t>
      </w:r>
    </w:p>
    <w:p>
      <w:pPr>
        <w:spacing w:after="0" w:line="132" w:lineRule="exact"/>
        <w:rPr>
          <w:rFonts w:ascii="Arial" w:cs="Arial" w:eastAsia="Arial" w:hAnsi="Arial"/>
          <w:sz w:val="17"/>
          <w:szCs w:val="17"/>
          <w:color w:val="auto"/>
        </w:rPr>
      </w:pPr>
    </w:p>
    <w:p>
      <w:pPr>
        <w:ind w:left="360" w:right="280" w:firstLine="440"/>
        <w:spacing w:after="0" w:line="276" w:lineRule="auto"/>
        <w:tabs>
          <w:tab w:leader="none" w:pos="1055" w:val="left"/>
        </w:tabs>
        <w:numPr>
          <w:ilvl w:val="2"/>
          <w:numId w:val="15"/>
        </w:numPr>
        <w:rPr>
          <w:rFonts w:ascii="Arial" w:cs="Arial" w:eastAsia="Arial" w:hAnsi="Arial"/>
          <w:sz w:val="17"/>
          <w:szCs w:val="17"/>
          <w:color w:val="auto"/>
        </w:rPr>
      </w:pPr>
      <w:r>
        <w:rPr>
          <w:rFonts w:ascii="Arial" w:cs="Arial" w:eastAsia="Arial" w:hAnsi="Arial"/>
          <w:sz w:val="17"/>
          <w:szCs w:val="17"/>
          <w:color w:val="auto"/>
        </w:rPr>
        <w:t>The Prospectus as amended or supplemented in relation to the applicable Designated Shares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32" w:lineRule="exact"/>
        <w:rPr>
          <w:rFonts w:ascii="Arial" w:cs="Arial" w:eastAsia="Arial" w:hAnsi="Arial"/>
          <w:sz w:val="17"/>
          <w:szCs w:val="17"/>
          <w:color w:val="auto"/>
        </w:rPr>
      </w:pPr>
    </w:p>
    <w:p>
      <w:pPr>
        <w:ind w:left="360" w:right="80" w:firstLine="440"/>
        <w:spacing w:after="0" w:line="276" w:lineRule="auto"/>
        <w:tabs>
          <w:tab w:leader="none" w:pos="1065" w:val="left"/>
        </w:tabs>
        <w:numPr>
          <w:ilvl w:val="2"/>
          <w:numId w:val="15"/>
        </w:numPr>
        <w:rPr>
          <w:rFonts w:ascii="Arial" w:cs="Arial" w:eastAsia="Arial" w:hAnsi="Arial"/>
          <w:sz w:val="17"/>
          <w:szCs w:val="17"/>
          <w:color w:val="auto"/>
        </w:rPr>
      </w:pPr>
      <w:r>
        <w:rPr>
          <w:rFonts w:ascii="Arial" w:cs="Arial" w:eastAsia="Arial" w:hAnsi="Arial"/>
          <w:sz w:val="17"/>
          <w:szCs w:val="17"/>
          <w:color w:val="auto"/>
        </w:rPr>
        <w:t>Sidley Austin Brown &amp; Wood LLP, counsel for the Underwriters, shall have furnished to the Representatives such opinion or opinions, dated the Time of Delivery for such Designated Shares, with respect to the organization of the Company, the validity of the Designated Shares being delivered at such Time of Delivery, the Registration Statement, the Prospectus as amended or supplemented and other related matters as the Representatives may reasonably request, and such counsel shall have received such papers and information as they may reasonably request to enable them to pass upon such matters (in rendering such opinion, Sidley Austin Brown &amp; Wood LLP</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ind w:left="10"/>
        <w:spacing w:after="0"/>
        <w:rPr>
          <w:sz w:val="20"/>
          <w:szCs w:val="20"/>
          <w:color w:val="auto"/>
        </w:rPr>
      </w:pPr>
      <w:r>
        <w:rPr>
          <w:rFonts w:ascii="Arial" w:cs="Arial" w:eastAsia="Arial" w:hAnsi="Arial"/>
          <w:sz w:val="18"/>
          <w:szCs w:val="18"/>
          <w:color w:val="auto"/>
        </w:rPr>
        <w:t>may rely, as to all matters arising under or governed by the laws of the State of Maryland, on the opinion of Shaw Pittman LLP);</w:t>
      </w:r>
    </w:p>
    <w:p>
      <w:pPr>
        <w:spacing w:after="0" w:line="198" w:lineRule="exact"/>
        <w:rPr>
          <w:sz w:val="20"/>
          <w:szCs w:val="20"/>
          <w:color w:val="auto"/>
        </w:rPr>
      </w:pPr>
    </w:p>
    <w:p>
      <w:pPr>
        <w:ind w:left="10" w:right="140" w:firstLine="440"/>
        <w:spacing w:after="0" w:line="308" w:lineRule="auto"/>
        <w:tabs>
          <w:tab w:leader="none" w:pos="704" w:val="left"/>
        </w:tabs>
        <w:numPr>
          <w:ilvl w:val="1"/>
          <w:numId w:val="16"/>
        </w:numPr>
        <w:rPr>
          <w:rFonts w:ascii="Arial" w:cs="Arial" w:eastAsia="Arial" w:hAnsi="Arial"/>
          <w:sz w:val="17"/>
          <w:szCs w:val="17"/>
          <w:color w:val="auto"/>
        </w:rPr>
      </w:pPr>
      <w:r>
        <w:rPr>
          <w:rFonts w:ascii="Arial" w:cs="Arial" w:eastAsia="Arial" w:hAnsi="Arial"/>
          <w:sz w:val="17"/>
          <w:szCs w:val="17"/>
          <w:color w:val="auto"/>
        </w:rPr>
        <w:t>Shaw Pittman LLP, counsel for the Company, shall have furnished to the Representatives their written opinion, dated the Time of Delivery for such Designated Shares, in form and substance satisfactory to the Representatives, to the effect set forth in Schedule A hereto;</w:t>
      </w:r>
    </w:p>
    <w:p>
      <w:pPr>
        <w:spacing w:after="0" w:line="106" w:lineRule="exact"/>
        <w:rPr>
          <w:rFonts w:ascii="Arial" w:cs="Arial" w:eastAsia="Arial" w:hAnsi="Arial"/>
          <w:sz w:val="17"/>
          <w:szCs w:val="17"/>
          <w:color w:val="auto"/>
        </w:rPr>
      </w:pPr>
    </w:p>
    <w:p>
      <w:pPr>
        <w:ind w:left="10" w:right="160" w:firstLine="440"/>
        <w:spacing w:after="0" w:line="284" w:lineRule="auto"/>
        <w:tabs>
          <w:tab w:leader="none" w:pos="714"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 addition to the above opinion, the Representatives shall have received the opinion or opinions of Shaw Pittman LLP, Tax Counsel to the Company, dated the Time of Delivery for such Designated Shares, in form and substance satisfactory to the Representatives, to the effect that (1) the Company qualified as a real estate investment trust (“REIT”) under the Code for its taxable years ending through December 31, 2003,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 “Federal Income Tax Consequences,” (y) the Prospectus Supplement under the caption “Certain Federal Income Tax Considerations” and</w:t>
      </w:r>
    </w:p>
    <w:p>
      <w:pPr>
        <w:spacing w:after="0" w:line="4" w:lineRule="exact"/>
        <w:rPr>
          <w:rFonts w:ascii="Arial" w:cs="Arial" w:eastAsia="Arial" w:hAnsi="Arial"/>
          <w:sz w:val="16"/>
          <w:szCs w:val="16"/>
          <w:color w:val="auto"/>
        </w:rPr>
      </w:pPr>
    </w:p>
    <w:p>
      <w:pPr>
        <w:ind w:left="10" w:hanging="10"/>
        <w:spacing w:after="0" w:line="252" w:lineRule="auto"/>
        <w:tabs>
          <w:tab w:leader="none" w:pos="2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Current Report on Form 8-K filed with the Commission on March 11, 2004 (hereafter, the “Company’s Form 8-K”)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Prospectus, to the extent that it discusses matters of law or legal conclusions or purports to describe certain provisions of the federal tax laws, is a correct summary of the matters discussed therein, and the opinions of such counsel appearing in the Prospectus under the caption “Federal Income Tax Consequences” are hereby confirmed;</w:t>
      </w:r>
    </w:p>
    <w:p>
      <w:pPr>
        <w:spacing w:after="0" w:line="152" w:lineRule="exact"/>
        <w:rPr>
          <w:rFonts w:ascii="Arial" w:cs="Arial" w:eastAsia="Arial" w:hAnsi="Arial"/>
          <w:sz w:val="18"/>
          <w:szCs w:val="18"/>
          <w:color w:val="auto"/>
        </w:rPr>
      </w:pPr>
    </w:p>
    <w:p>
      <w:pPr>
        <w:ind w:left="10" w:right="20" w:firstLine="440"/>
        <w:spacing w:after="0" w:line="264" w:lineRule="auto"/>
        <w:tabs>
          <w:tab w:leader="none" w:pos="7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Shares and at the Time of Delivery for such Designated Shares, Grant Thornton LLP, the independent accountants of the Company, shall have furnished to the Underwriters a “comfort letter” in form and substance satisfactory to the Representatives;</w:t>
      </w:r>
    </w:p>
    <w:p>
      <w:pPr>
        <w:spacing w:after="0" w:line="154" w:lineRule="exact"/>
        <w:rPr>
          <w:rFonts w:ascii="Arial" w:cs="Arial" w:eastAsia="Arial" w:hAnsi="Arial"/>
          <w:sz w:val="18"/>
          <w:szCs w:val="18"/>
          <w:color w:val="auto"/>
        </w:rPr>
      </w:pPr>
    </w:p>
    <w:p>
      <w:pPr>
        <w:ind w:left="10" w:right="100" w:firstLine="440"/>
        <w:spacing w:after="0" w:line="264" w:lineRule="auto"/>
        <w:tabs>
          <w:tab w:leader="none" w:pos="684" w:val="left"/>
        </w:tabs>
        <w:numPr>
          <w:ilvl w:val="1"/>
          <w:numId w:val="17"/>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the Chief Executive Officer or Chief Operating Officer and the Chief Financial Officer shall have furnished to the Representatives a certificate substantially in the form of Annex II hereto;</w:t>
      </w:r>
    </w:p>
    <w:p>
      <w:pPr>
        <w:spacing w:after="0" w:line="140" w:lineRule="exact"/>
        <w:rPr>
          <w:rFonts w:ascii="Arial" w:cs="Arial" w:eastAsia="Arial" w:hAnsi="Arial"/>
          <w:sz w:val="18"/>
          <w:szCs w:val="18"/>
          <w:color w:val="auto"/>
        </w:rPr>
      </w:pPr>
    </w:p>
    <w:p>
      <w:pPr>
        <w:ind w:left="10" w:right="160" w:firstLine="440"/>
        <w:spacing w:after="0" w:line="259" w:lineRule="auto"/>
        <w:tabs>
          <w:tab w:leader="none" w:pos="714" w:val="left"/>
        </w:tabs>
        <w:numPr>
          <w:ilvl w:val="1"/>
          <w:numId w:val="17"/>
        </w:numPr>
        <w:rPr>
          <w:rFonts w:ascii="Arial" w:cs="Arial" w:eastAsia="Arial" w:hAnsi="Arial"/>
          <w:sz w:val="18"/>
          <w:szCs w:val="18"/>
          <w:color w:val="auto"/>
        </w:rPr>
      </w:pPr>
      <w:r>
        <w:rPr>
          <w:rFonts w:ascii="Arial" w:cs="Arial" w:eastAsia="Arial" w:hAnsi="Arial"/>
          <w:sz w:val="18"/>
          <w:szCs w:val="18"/>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w:t>
      </w:r>
    </w:p>
    <w:p>
      <w:pPr>
        <w:spacing w:after="0" w:line="146" w:lineRule="exact"/>
        <w:rPr>
          <w:sz w:val="20"/>
          <w:szCs w:val="20"/>
          <w:color w:val="auto"/>
        </w:rPr>
      </w:pPr>
    </w:p>
    <w:p>
      <w:pPr>
        <w:jc w:val="center"/>
        <w:ind w:right="33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0"/>
          </w:cols>
          <w:pgMar w:left="590" w:top="935" w:right="23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t>the respective dates as of which information is given in the Prospectus as amended or supplemented there shall not have been any change in the authorized, issued or outstanding capital shares of the Company or increase in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Shares on the terms and in the manner contemplated in the Prospectus as amended or supplemented;</w:t>
      </w:r>
    </w:p>
    <w:p>
      <w:pPr>
        <w:spacing w:after="0" w:line="162" w:lineRule="exact"/>
        <w:rPr>
          <w:sz w:val="20"/>
          <w:szCs w:val="20"/>
          <w:color w:val="auto"/>
        </w:rPr>
      </w:pPr>
    </w:p>
    <w:p>
      <w:pPr>
        <w:ind w:right="160" w:firstLine="440"/>
        <w:spacing w:after="0" w:line="279" w:lineRule="auto"/>
        <w:tabs>
          <w:tab w:leader="none" w:pos="7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or after the date of the Pricing Agreement relating to the Designated Shares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130" w:lineRule="exact"/>
        <w:rPr>
          <w:rFonts w:ascii="Arial" w:cs="Arial" w:eastAsia="Arial" w:hAnsi="Arial"/>
          <w:sz w:val="17"/>
          <w:szCs w:val="17"/>
          <w:color w:val="auto"/>
        </w:rPr>
      </w:pPr>
    </w:p>
    <w:p>
      <w:pPr>
        <w:ind w:right="100" w:firstLine="440"/>
        <w:spacing w:after="0" w:line="291" w:lineRule="auto"/>
        <w:tabs>
          <w:tab w:leader="none" w:pos="6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Shares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or the delivery of the Designated Shares on the terms and in the manner contemplated in the Prospectus as amended or supplemented;</w:t>
      </w:r>
    </w:p>
    <w:p>
      <w:pPr>
        <w:spacing w:after="0" w:line="126" w:lineRule="exact"/>
        <w:rPr>
          <w:rFonts w:ascii="Arial" w:cs="Arial" w:eastAsia="Arial" w:hAnsi="Arial"/>
          <w:sz w:val="16"/>
          <w:szCs w:val="16"/>
          <w:color w:val="auto"/>
        </w:rPr>
      </w:pPr>
    </w:p>
    <w:p>
      <w:pPr>
        <w:ind w:right="420" w:firstLine="440"/>
        <w:spacing w:after="0" w:line="277" w:lineRule="auto"/>
        <w:tabs>
          <w:tab w:leader="none" w:pos="6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as amended or supplemented;</w:t>
      </w:r>
    </w:p>
    <w:p>
      <w:pPr>
        <w:spacing w:after="0" w:line="143" w:lineRule="exact"/>
        <w:rPr>
          <w:rFonts w:ascii="Arial" w:cs="Arial" w:eastAsia="Arial" w:hAnsi="Arial"/>
          <w:sz w:val="18"/>
          <w:szCs w:val="18"/>
          <w:color w:val="auto"/>
        </w:rPr>
      </w:pPr>
    </w:p>
    <w:p>
      <w:pPr>
        <w:ind w:right="40" w:firstLine="440"/>
        <w:spacing w:after="0" w:line="257"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Shares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and as to such other matters as the Representatives may reasonably request;</w:t>
      </w:r>
    </w:p>
    <w:p>
      <w:pPr>
        <w:spacing w:after="0" w:line="14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7" w:name="page18"/>
    <w:bookmarkEnd w:id="17"/>
    <w:p>
      <w:pPr>
        <w:ind w:left="340" w:right="240" w:firstLine="440"/>
        <w:spacing w:after="0" w:line="277" w:lineRule="auto"/>
        <w:tabs>
          <w:tab w:leader="none" w:pos="10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 or prior to the date of the Pricing Agreement, the Representatives shall have received an agreement substantially in the form of Annex IV hereto signed by each of the persons listed in Schedule III to such Pricing Agreement;</w:t>
      </w:r>
    </w:p>
    <w:p>
      <w:pPr>
        <w:spacing w:after="0" w:line="143" w:lineRule="exact"/>
        <w:rPr>
          <w:rFonts w:ascii="Arial" w:cs="Arial" w:eastAsia="Arial" w:hAnsi="Arial"/>
          <w:sz w:val="18"/>
          <w:szCs w:val="18"/>
          <w:color w:val="auto"/>
        </w:rPr>
      </w:pPr>
    </w:p>
    <w:p>
      <w:pPr>
        <w:ind w:left="1080" w:hanging="300"/>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Designated Shares shall have been approved for listing on the NYSE, subject to official notice of issuance; and</w:t>
      </w:r>
    </w:p>
    <w:p>
      <w:pPr>
        <w:spacing w:after="0" w:line="184" w:lineRule="exact"/>
        <w:rPr>
          <w:rFonts w:ascii="Arial" w:cs="Arial" w:eastAsia="Arial" w:hAnsi="Arial"/>
          <w:sz w:val="18"/>
          <w:szCs w:val="18"/>
          <w:color w:val="auto"/>
        </w:rPr>
      </w:pPr>
    </w:p>
    <w:p>
      <w:pPr>
        <w:ind w:left="340" w:firstLine="440"/>
        <w:spacing w:after="0" w:line="270" w:lineRule="auto"/>
        <w:tabs>
          <w:tab w:leader="none" w:pos="1045" w:val="left"/>
        </w:tabs>
        <w:numPr>
          <w:ilvl w:val="1"/>
          <w:numId w:val="19"/>
        </w:numPr>
        <w:rPr>
          <w:rFonts w:ascii="Arial" w:cs="Arial" w:eastAsia="Arial" w:hAnsi="Arial"/>
          <w:sz w:val="17"/>
          <w:szCs w:val="17"/>
          <w:color w:val="auto"/>
        </w:rPr>
      </w:pPr>
      <w:r>
        <w:rPr>
          <w:rFonts w:ascii="Arial" w:cs="Arial" w:eastAsia="Arial" w:hAnsi="Arial"/>
          <w:sz w:val="17"/>
          <w:szCs w:val="17"/>
          <w:color w:val="auto"/>
        </w:rPr>
        <w:t>In the event that the Pricing Agreement with respect to the Designated Shares grants the Underwriters an option to purchase Option Shares from the Company and the Underwriters exercise such option to purchase all or any of the Option Shares, the obligations of the Underwriters to purchase such Option Shares at the Option Closing Time shall be subject to the further conditions that the Representatives shall have received legal opinions of Sidley Austin Brown &amp; Wood llp and Shaw Pittman LLP, dated such Option Closing Time, relating to the Option Shares to be purchased and otherwise to the same effect as the respective opinions referred to in Sections 7(b), (c) and (d), a certificate from the Chief Financial Officer of the Company, dated such Option Closing Time, to the same effect as the certificate required to be delivered at the Time of Delivery pursuant to Section 7(f), a certificate or certificates of officers of the Company, dated such Option Closing Time, to the same effect as the certificates required pursuant to Section 7(k), and a “comfort letter,” dated such Option Closing Time, from Grant Thornton LLP in the same form and substance as the letter furnished to the Underwriters at the Time of Delivery except that the “specified date” in such letter shall be a date not more than five days prior to such Option Closing Time, and that all of the foregoing are satisfactory to the Representatives.</w:t>
      </w:r>
    </w:p>
    <w:p>
      <w:pPr>
        <w:spacing w:after="0" w:line="137" w:lineRule="exact"/>
        <w:rPr>
          <w:rFonts w:ascii="Arial" w:cs="Arial" w:eastAsia="Arial" w:hAnsi="Arial"/>
          <w:sz w:val="17"/>
          <w:szCs w:val="17"/>
          <w:color w:val="auto"/>
        </w:rPr>
      </w:pPr>
    </w:p>
    <w:p>
      <w:pPr>
        <w:ind w:left="-20" w:right="20" w:firstLine="233"/>
        <w:spacing w:after="0" w:line="286" w:lineRule="auto"/>
        <w:tabs>
          <w:tab w:leader="none" w:pos="38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or any other prospectus relating to the Shares,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or any other prospectus relating to the Shares or any such amendment or supplement in reliance upon and in conformity with written information furnished to the Company by any Underwriter of Designated Shares through the Representatives expressly for use in the Prospectus as amended or supplemented relating to such Shares; and provided, further, that this indemnity agreement with respect to any Preliminary Prospectus shall not inure to the benefit of any Underwriter from whom the person asserting any such losses,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8" w:name="page19"/>
    <w:bookmarkEnd w:id="18"/>
    <w:p>
      <w:pPr>
        <w:spacing w:after="0" w:line="293" w:lineRule="auto"/>
        <w:rPr>
          <w:sz w:val="20"/>
          <w:szCs w:val="20"/>
          <w:color w:val="auto"/>
        </w:rPr>
      </w:pPr>
      <w:r>
        <w:rPr>
          <w:rFonts w:ascii="Arial" w:cs="Arial" w:eastAsia="Arial" w:hAnsi="Arial"/>
          <w:sz w:val="16"/>
          <w:szCs w:val="16"/>
          <w:color w:val="auto"/>
        </w:rPr>
        <w:t>claims, damages or liabilities purchased Designated Shares, if a copy of the Prospectus as amended or supplemented relating to the Designated Shares (excluding documents incorporated or deemed to be incorporated by reference therein) was not sent or given by or on behalf of such Underwriter to such person, if such is required by the Act or the rules and regulations of the Commission thereunder, at or prior to the written confirmation of the sale of such Designated Shares to such person and if the Prospectus as amended or supplemented relating to the Designated Shares would have corrected the defect giving rise to such loss, claim, damage or liability, except that this proviso shall not be applicable if such defect shall have been corrected in a document which is incorporated or deemed to be incorporated by reference in the Prospectus as amended or supplemented relating to the Designated Shares.</w:t>
      </w:r>
    </w:p>
    <w:p>
      <w:pPr>
        <w:spacing w:after="0" w:line="138" w:lineRule="exact"/>
        <w:rPr>
          <w:sz w:val="20"/>
          <w:szCs w:val="20"/>
          <w:color w:val="auto"/>
        </w:rPr>
      </w:pPr>
    </w:p>
    <w:p>
      <w:pPr>
        <w:ind w:right="20" w:firstLine="233"/>
        <w:spacing w:after="0" w:line="287"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or any other prospectus relating to the Shares,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or any other prospectus relating to the Shares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28" w:lineRule="exact"/>
        <w:rPr>
          <w:rFonts w:ascii="Arial" w:cs="Arial" w:eastAsia="Arial" w:hAnsi="Arial"/>
          <w:sz w:val="16"/>
          <w:szCs w:val="16"/>
          <w:color w:val="auto"/>
        </w:rPr>
      </w:pPr>
    </w:p>
    <w:p>
      <w:pPr>
        <w:ind w:firstLine="233"/>
        <w:spacing w:after="0" w:line="288" w:lineRule="auto"/>
        <w:tabs>
          <w:tab w:leader="none" w:pos="47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ind w:right="40"/>
        <w:spacing w:after="0" w:line="257" w:lineRule="auto"/>
        <w:rPr>
          <w:sz w:val="20"/>
          <w:szCs w:val="20"/>
          <w:color w:val="auto"/>
        </w:rPr>
      </w:pPr>
      <w:r>
        <w:rPr>
          <w:rFonts w:ascii="Arial" w:cs="Arial" w:eastAsia="Arial" w:hAnsi="Arial"/>
          <w:sz w:val="18"/>
          <w:szCs w:val="18"/>
          <w:color w:val="auto"/>
        </w:rPr>
        <w:t>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compromises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61" w:lineRule="exact"/>
        <w:rPr>
          <w:sz w:val="20"/>
          <w:szCs w:val="20"/>
          <w:color w:val="auto"/>
        </w:rPr>
      </w:pPr>
    </w:p>
    <w:p>
      <w:pPr>
        <w:ind w:left="480" w:hanging="247"/>
        <w:spacing w:after="0"/>
        <w:tabs>
          <w:tab w:leader="none" w:pos="4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8 is unavailable to or insufficient to hold harmless an indemnified party under subsection (a) or</w:t>
      </w:r>
    </w:p>
    <w:p>
      <w:pPr>
        <w:spacing w:after="0" w:line="34" w:lineRule="exact"/>
        <w:rPr>
          <w:rFonts w:ascii="Arial" w:cs="Arial" w:eastAsia="Arial" w:hAnsi="Arial"/>
          <w:sz w:val="17"/>
          <w:szCs w:val="17"/>
          <w:color w:val="auto"/>
        </w:rPr>
      </w:pPr>
    </w:p>
    <w:p>
      <w:pPr>
        <w:ind w:firstLine="8"/>
        <w:spacing w:after="0" w:line="283"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Shares on the other from the offering of the Designated Shares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Shares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ind w:right="20"/>
        <w:spacing w:after="0" w:line="277" w:lineRule="auto"/>
        <w:rPr>
          <w:sz w:val="20"/>
          <w:szCs w:val="20"/>
          <w:color w:val="auto"/>
        </w:rPr>
      </w:pPr>
      <w:r>
        <w:rPr>
          <w:rFonts w:ascii="Arial" w:cs="Arial" w:eastAsia="Arial" w:hAnsi="Arial"/>
          <w:sz w:val="18"/>
          <w:szCs w:val="18"/>
          <w:color w:val="auto"/>
        </w:rPr>
        <w:t>Designated Shares in this subsection (d) to contribute are several in proportion to their respective underwriting obligations with respect to such Shares and not joint.</w:t>
      </w:r>
    </w:p>
    <w:p>
      <w:pPr>
        <w:spacing w:after="0" w:line="143" w:lineRule="exact"/>
        <w:rPr>
          <w:sz w:val="20"/>
          <w:szCs w:val="20"/>
          <w:color w:val="auto"/>
        </w:rPr>
      </w:pPr>
    </w:p>
    <w:p>
      <w:pPr>
        <w:ind w:right="80" w:firstLine="233"/>
        <w:spacing w:after="0" w:line="257" w:lineRule="auto"/>
        <w:tabs>
          <w:tab w:leader="none" w:pos="4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48" w:lineRule="exact"/>
        <w:rPr>
          <w:sz w:val="20"/>
          <w:szCs w:val="20"/>
          <w:color w:val="auto"/>
        </w:rPr>
      </w:pPr>
    </w:p>
    <w:p>
      <w:pPr>
        <w:ind w:right="60" w:firstLine="233"/>
        <w:spacing w:after="0" w:line="268" w:lineRule="auto"/>
        <w:tabs>
          <w:tab w:leader="none" w:pos="40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If any Underwriter shall default in its obligation to purchase the Designated Shares which it has agreed to purchase at the Time of Delivery or, if applicable, at the Option Closing Time under the Pricing Agreement relating to such Designated Shares, the Representatives may in their discretion arrange for themselves or another party or other parties to purchase such Designated Shares on the terms contained herein. If within thirty-six hours after such default by any Underwriter the Representatives do not arrange for the purchase of such Designated Shares, then the Company shall be entitled to a further period of thirty-six hours within which to procure another party or other parties satisfactory to the Representatives to purchase such Designated Shares on such terms. In the event that, within the respective prescribed period, the Representatives notify the Company that they have so arranged for the purchase of such Designated Shares, or the Company notifies the Representatives that it has so arranged for the purchase of such Designated Shares, the Representatives or the Company shall have the right to postpone the Time of Delivery or the Option Closing Time, as the case may be, for such Designated Shares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Shares.</w:t>
      </w:r>
    </w:p>
    <w:p>
      <w:pPr>
        <w:spacing w:after="0" w:line="147" w:lineRule="exact"/>
        <w:rPr>
          <w:sz w:val="20"/>
          <w:szCs w:val="20"/>
          <w:color w:val="auto"/>
        </w:rPr>
      </w:pPr>
    </w:p>
    <w:p>
      <w:pPr>
        <w:ind w:firstLine="233"/>
        <w:spacing w:after="0" w:line="271" w:lineRule="auto"/>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Designated Shares of a defaulting Underwriter or Underwriters by the Representatives and the Company as provided in subsection (a) above, the aggregate number of such Designated Shares which remains unpurchased does not exceed one-tenth of the aggregate number of Designated Shares to be purchased at the Time of Delivery or the Option Closing Time, as the case may be, then the Company shall have the right to require each non-defaulting Underwriter to purchase the number of Designated Shares which such Underwriter agreed to purchase at the Time of Delivery or such Option Closing Time, as the case may be, under the Pricing Agreement relating to such Designated Shares and, in addition, to require each non-defaulting Underwriter to purchase its pro rata share (based on the number of Designated Shares which such Underwriter agreed to purchase under such Pricing Agreement) of the Designated Shares of such defaulting Underwriter or Underwriters for which such arrangements have not been made; but nothing herein shall relieve a defaulting Underwriter from liability for its default.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firstLine="233"/>
        <w:spacing w:after="0" w:line="269" w:lineRule="auto"/>
        <w:tabs>
          <w:tab w:leader="none" w:pos="47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Designated Shares of a defaulting Underwriter or Underwriters by the Representatives and the Company as provided in subsection (a) above, the aggregate number of Designated Shares which remains unpurchased exceeds one-tenth of the aggregate number of the Designated Shares to be purchased at the Time of Delivery or the Option Closing Time, as the case may be, as referred to in subsection (b) above, or if the Company shall not exercise the right described in subsection (b) above to require non-defaulting Underwriters to purchase Designated Shares of a defaulting Underwriter or Underwriters, then, in the case of a failure to purchase Designated Shares at the Time of Delivery, the Pricing Agreement relating to such Designated Shares shall thereupon terminate, without liability on the part of any non-defaulting Underwriter or the Company, except for the expenses to be borne by the Company and the Underwriters as provided in Section 6 hereof and the indemnity and contribution agreements in Section 8 hereof or, in the case of a failure to purchase Designated Shares at an Option Closing Time which is after the Time of Delivery, the several obligations of the Underwriters to purchase and the obligation of the Company to sell such Designated Shares at such Option Closing Time shall terminate without liability on the part of any non-defaulting Underwriter or the Company; but nothing herein shall relieve a defaulting Underwriter from liability for its default.</w:t>
      </w:r>
    </w:p>
    <w:p>
      <w:pPr>
        <w:spacing w:after="0" w:line="156" w:lineRule="exact"/>
        <w:rPr>
          <w:sz w:val="20"/>
          <w:szCs w:val="20"/>
          <w:color w:val="auto"/>
        </w:rPr>
      </w:pPr>
    </w:p>
    <w:p>
      <w:pPr>
        <w:ind w:firstLine="233"/>
        <w:spacing w:after="0" w:line="279" w:lineRule="auto"/>
        <w:tabs>
          <w:tab w:leader="none" w:pos="49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Shares.</w:t>
      </w:r>
    </w:p>
    <w:p>
      <w:pPr>
        <w:spacing w:after="0" w:line="130" w:lineRule="exact"/>
        <w:rPr>
          <w:rFonts w:ascii="Arial" w:cs="Arial" w:eastAsia="Arial" w:hAnsi="Arial"/>
          <w:sz w:val="17"/>
          <w:szCs w:val="17"/>
          <w:color w:val="auto"/>
        </w:rPr>
      </w:pPr>
    </w:p>
    <w:p>
      <w:pPr>
        <w:ind w:right="100" w:firstLine="233"/>
        <w:spacing w:after="0" w:line="255" w:lineRule="auto"/>
        <w:tabs>
          <w:tab w:leader="none" w:pos="4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Pricing Agreement shall be terminated pursuant to Section 9 hereof, the Company shall not then be under any liability to any Underwriter with respect to the Designated Shares covered by such Pricing Agreement except as provided in Section 6 and Section 8 hereof. If this Agreement shall be terminated as a result of any of the conditions set forth in Section 7 (other than clause (i), (iii) or (iv) of Section 7(i) hereto)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Shares, but the Company shall then be under no further liability to any Underwriter with respect to such Designated Shares except as provided in Section 6 and Section 8 hereof.</w:t>
      </w:r>
    </w:p>
    <w:p>
      <w:pPr>
        <w:spacing w:after="0" w:line="148" w:lineRule="exact"/>
        <w:rPr>
          <w:rFonts w:ascii="Arial" w:cs="Arial" w:eastAsia="Arial" w:hAnsi="Arial"/>
          <w:sz w:val="18"/>
          <w:szCs w:val="18"/>
          <w:color w:val="auto"/>
        </w:rPr>
      </w:pPr>
    </w:p>
    <w:p>
      <w:pPr>
        <w:ind w:right="480" w:firstLine="233"/>
        <w:spacing w:after="0" w:line="286" w:lineRule="auto"/>
        <w:tabs>
          <w:tab w:leader="none" w:pos="4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all dealings hereunder, the Representatives of the Underwriters of Designated Shares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39"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spacing w:after="0" w:line="276" w:lineRule="auto"/>
        <w:rPr>
          <w:sz w:val="20"/>
          <w:szCs w:val="20"/>
          <w:color w:val="auto"/>
        </w:rPr>
      </w:pPr>
      <w:r>
        <w:rPr>
          <w:rFonts w:ascii="Arial" w:cs="Arial" w:eastAsia="Arial" w:hAnsi="Arial"/>
          <w:sz w:val="17"/>
          <w:szCs w:val="17"/>
          <w:color w:val="auto"/>
        </w:rPr>
        <w:t>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46" w:lineRule="exact"/>
        <w:rPr>
          <w:sz w:val="20"/>
          <w:szCs w:val="20"/>
          <w:color w:val="auto"/>
        </w:rPr>
      </w:pPr>
    </w:p>
    <w:p>
      <w:pPr>
        <w:ind w:left="500" w:hanging="267"/>
        <w:spacing w:after="0"/>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Agreement and each Pricing Agreement shall be binding upon, and inure solely to the benefit of, the Underwriters, the Company and, to the</w:t>
      </w:r>
    </w:p>
    <w:p>
      <w:pPr>
        <w:spacing w:after="0" w:line="34" w:lineRule="exact"/>
        <w:rPr>
          <w:rFonts w:ascii="Arial" w:cs="Arial" w:eastAsia="Arial" w:hAnsi="Arial"/>
          <w:sz w:val="17"/>
          <w:szCs w:val="17"/>
          <w:color w:val="auto"/>
        </w:rPr>
      </w:pPr>
    </w:p>
    <w:p>
      <w:pPr>
        <w:spacing w:after="0" w:line="254" w:lineRule="auto"/>
        <w:rPr>
          <w:rFonts w:ascii="Arial" w:cs="Arial" w:eastAsia="Arial" w:hAnsi="Arial"/>
          <w:sz w:val="17"/>
          <w:szCs w:val="17"/>
          <w:color w:val="auto"/>
        </w:rPr>
      </w:pPr>
      <w:r>
        <w:rPr>
          <w:rFonts w:ascii="Arial" w:cs="Arial" w:eastAsia="Arial" w:hAnsi="Arial"/>
          <w:sz w:val="18"/>
          <w:szCs w:val="18"/>
          <w:color w:val="auto"/>
        </w:rPr>
        <w:t>extent provided in Section 8 and Section 10 hereof, the officers of the Company who signed the Registration Statement, and trustees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Shares from any Underwriter shall be deemed a successor or assign by reason merely of such purchase.</w:t>
      </w:r>
    </w:p>
    <w:p>
      <w:pPr>
        <w:spacing w:after="0" w:line="149" w:lineRule="exact"/>
        <w:rPr>
          <w:rFonts w:ascii="Arial" w:cs="Arial" w:eastAsia="Arial" w:hAnsi="Arial"/>
          <w:sz w:val="17"/>
          <w:szCs w:val="17"/>
          <w:color w:val="auto"/>
        </w:rPr>
      </w:pPr>
    </w:p>
    <w:p>
      <w:pPr>
        <w:ind w:right="740" w:firstLine="233"/>
        <w:spacing w:after="0" w:line="277" w:lineRule="auto"/>
        <w:tabs>
          <w:tab w:leader="none" w:pos="4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29" w:lineRule="exact"/>
        <w:rPr>
          <w:rFonts w:ascii="Arial" w:cs="Arial" w:eastAsia="Arial" w:hAnsi="Arial"/>
          <w:sz w:val="18"/>
          <w:szCs w:val="18"/>
          <w:color w:val="auto"/>
        </w:rPr>
      </w:pPr>
    </w:p>
    <w:p>
      <w:pPr>
        <w:ind w:left="500" w:hanging="267"/>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Agreement and each Pricing Agreement shall be governed by and construed in accordance with the laws of the State of New York.</w:t>
      </w:r>
    </w:p>
    <w:p>
      <w:pPr>
        <w:spacing w:after="0" w:line="198" w:lineRule="exact"/>
        <w:rPr>
          <w:rFonts w:ascii="Arial" w:cs="Arial" w:eastAsia="Arial" w:hAnsi="Arial"/>
          <w:sz w:val="18"/>
          <w:szCs w:val="18"/>
          <w:color w:val="auto"/>
        </w:rPr>
      </w:pPr>
    </w:p>
    <w:p>
      <w:pPr>
        <w:ind w:firstLine="233"/>
        <w:spacing w:after="0" w:line="342" w:lineRule="auto"/>
        <w:tabs>
          <w:tab w:leader="none" w:pos="49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left="240"/>
        <w:spacing w:after="0"/>
        <w:rPr>
          <w:sz w:val="20"/>
          <w:szCs w:val="20"/>
          <w:color w:val="auto"/>
        </w:rPr>
      </w:pPr>
      <w:r>
        <w:rPr>
          <w:rFonts w:ascii="Arial" w:cs="Arial" w:eastAsia="Arial" w:hAnsi="Arial"/>
          <w:sz w:val="18"/>
          <w:szCs w:val="18"/>
          <w:color w:val="auto"/>
        </w:rPr>
        <w:t>If the foregoing is in accordance with your understanding, please sign and return this Agreement to us.</w:t>
      </w: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526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14605</wp:posOffset>
            </wp:positionV>
            <wp:extent cx="2023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Donald C. Wood</w:t>
      </w:r>
    </w:p>
    <w:p>
      <w:pPr>
        <w:spacing w:after="0" w:line="23" w:lineRule="exact"/>
        <w:rPr>
          <w:sz w:val="20"/>
          <w:szCs w:val="20"/>
          <w:color w:val="auto"/>
        </w:rPr>
      </w:pPr>
    </w:p>
    <w:p>
      <w:pPr>
        <w:jc w:val="right"/>
        <w:ind w:right="1379"/>
        <w:spacing w:after="0"/>
        <w:rPr>
          <w:sz w:val="20"/>
          <w:szCs w:val="20"/>
          <w:color w:val="auto"/>
        </w:rPr>
      </w:pPr>
      <w:r>
        <w:rPr>
          <w:rFonts w:ascii="Arial" w:cs="Arial" w:eastAsia="Arial" w:hAnsi="Arial"/>
          <w:sz w:val="18"/>
          <w:szCs w:val="18"/>
          <w:color w:val="auto"/>
        </w:rPr>
        <w:t>Title: President and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00" w:lineRule="exact"/>
        <w:rPr>
          <w:sz w:val="20"/>
          <w:szCs w:val="20"/>
          <w:color w:val="auto"/>
        </w:rPr>
      </w:pP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Mark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90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Mark Waxman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Director</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ANNEX 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l,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 named 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St. Paul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April 2, 2004 (the “Underwriting Agreement”), between the Company on the one hand and Wachovia Capital Markets, LLC, as representative of the several Underwriters named in Schedule I hereto (the “Underwriters”), on the other hand, to issue and sell to the Underwriters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 designated to act on behalf of the Representatives pursuant to Section 12 of the Underwriting Agreement is Wachovia Capital Markets, LLC, and the Representatives designated to act on behalf of each of the Underwriters of the Designated Shares pursuant to Section 12 of the Underwriting Agreement and the address of the Representatives referred to in such Section 12 are set forth in Schedule II hereto.</w:t>
      </w:r>
    </w:p>
    <w:p>
      <w:pPr>
        <w:spacing w:after="0" w:line="131" w:lineRule="exact"/>
        <w:rPr>
          <w:sz w:val="20"/>
          <w:szCs w:val="20"/>
          <w:color w:val="auto"/>
        </w:rPr>
      </w:pPr>
    </w:p>
    <w:p>
      <w:pPr>
        <w:ind w:right="920" w:firstLine="215"/>
        <w:spacing w:after="0" w:line="277" w:lineRule="auto"/>
        <w:rPr>
          <w:sz w:val="20"/>
          <w:szCs w:val="20"/>
          <w:color w:val="auto"/>
        </w:rPr>
      </w:pPr>
      <w:r>
        <w:rPr>
          <w:rFonts w:ascii="Arial" w:cs="Arial" w:eastAsia="Arial" w:hAnsi="Arial"/>
          <w:sz w:val="18"/>
          <w:szCs w:val="18"/>
          <w:color w:val="auto"/>
        </w:rPr>
        <w:t>A supplement to the Prospectus relating to the Designated Shares, in the form heretofore delivered to you, is now proposed to be filed with the Commission.</w:t>
      </w:r>
    </w:p>
    <w:p>
      <w:pPr>
        <w:spacing w:after="0" w:line="14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ind w:right="400"/>
        <w:spacing w:after="0" w:line="277" w:lineRule="auto"/>
        <w:rPr>
          <w:sz w:val="20"/>
          <w:szCs w:val="20"/>
          <w:color w:val="auto"/>
        </w:rPr>
      </w:pPr>
      <w:r>
        <w:rPr>
          <w:rFonts w:ascii="Arial" w:cs="Arial" w:eastAsia="Arial" w:hAnsi="Arial"/>
          <w:sz w:val="18"/>
          <w:szCs w:val="18"/>
          <w:color w:val="auto"/>
        </w:rPr>
        <w:t>forth in Schedule II hereto, the number of Initial Shares (as defined in Schedule II hereto) set forth opposite the name of such Underwriter in Schedule I hereto.</w:t>
      </w:r>
    </w:p>
    <w:p>
      <w:pPr>
        <w:spacing w:after="0" w:line="143"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addition, subject to the terms and conditions set forth herein and in the Underwriting Agreement incorporated herein by reference, the Company hereby grants an option to the Underwriters to purchase, severally and not jointly, up to the number of Option Shares (as defined in Schedule II hereto) specified in Schedule II hereto at the place and purchase price to the Underwriters set forth in Schedule II hereto and at the Option Closing Time specified by the Representatives as provided below. The option hereby granted will expire at 11:59 p.m. (New York City time) on the 30th day after the date of this Pricing Agreement and may be exercised once, in whole or in part, for the purpose of covering over-allotments which may be made in connection with the offering and distribution of the Initial Shares upon notice by the Representatives to the Company setting forth the number of Option Shares as to which the several Underwriters are then exercising the option and the Option Closing Time for such Option Shares. Any such Option Closing Time shall be determined by the Representatives but shall not be later than seven full business days after the exercise of such option nor in any event prior to the Time of Delivery. If the option is exercised as to all or any portion of the Option Shares, each of the Underwriters, acting severally and not jointly, will be obligated to purchase that proportion of the total number of Option Shares then being purchased which the number of Initial Shares set forth in Schedule II hereto opposite the name of such Underwriter bears to the total number of Initial Shares (subject in each case to such adjustments as the Representatives in their discretion shall make to eliminate any sales or purchases of fractional shares), and the Company shall be obligated to issue and sell such Option Shares to the several Underwriters, in each case subject to the terms and conditions set forth herein and in the Underwriting Agreement incorporated by reference herein.</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THIS PAGE INTENTIONALLY LEFT BLANK]</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6" w:name="page27"/>
    <w:bookmarkEnd w:id="26"/>
    <w:p>
      <w:pPr>
        <w:ind w:firstLine="225"/>
        <w:spacing w:after="0" w:line="264" w:lineRule="auto"/>
        <w:rPr>
          <w:sz w:val="20"/>
          <w:szCs w:val="20"/>
          <w:color w:val="auto"/>
        </w:rPr>
      </w:pPr>
      <w:r>
        <w:rPr>
          <w:rFonts w:ascii="Arial" w:cs="Arial" w:eastAsia="Arial" w:hAnsi="Arial"/>
          <w:sz w:val="18"/>
          <w:szCs w:val="18"/>
          <w:color w:val="auto"/>
        </w:rPr>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1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74930</wp:posOffset>
            </wp:positionV>
            <wp:extent cx="2675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its own behalf and as Representative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2590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720" w:type="dxa"/>
            <w:vAlign w:val="bottom"/>
            <w:gridSpan w:val="5"/>
          </w:tcPr>
          <w:p>
            <w:pPr>
              <w:ind w:left="60"/>
              <w:spacing w:after="0"/>
              <w:rPr>
                <w:sz w:val="20"/>
                <w:szCs w:val="20"/>
                <w:color w:val="auto"/>
              </w:rPr>
            </w:pPr>
            <w:r>
              <w:rPr>
                <w:rFonts w:ascii="Arial" w:cs="Arial" w:eastAsia="Arial" w:hAnsi="Arial"/>
                <w:sz w:val="18"/>
                <w:szCs w:val="18"/>
                <w:color w:val="auto"/>
              </w:rPr>
              <w:t>SCHEDULE I</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1"/>
        </w:trPr>
        <w:tc>
          <w:tcPr>
            <w:tcW w:w="2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Number of</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56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Underwriter</w:t>
            </w: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Initial Shares</w:t>
            </w: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256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to be Purchased</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580" w:type="dxa"/>
            <w:vAlign w:val="bottom"/>
          </w:tcPr>
          <w:p>
            <w:pPr>
              <w:spacing w:after="0"/>
              <w:rPr>
                <w:sz w:val="4"/>
                <w:szCs w:val="4"/>
                <w:color w:val="auto"/>
              </w:rPr>
            </w:pPr>
          </w:p>
        </w:tc>
        <w:tc>
          <w:tcPr>
            <w:tcW w:w="2560" w:type="dxa"/>
            <w:vAlign w:val="bottom"/>
            <w:tcBorders>
              <w:bottom w:val="single" w:sz="8" w:color="808080"/>
            </w:tcBorders>
          </w:tcPr>
          <w:p>
            <w:pPr>
              <w:spacing w:after="0"/>
              <w:rPr>
                <w:sz w:val="4"/>
                <w:szCs w:val="4"/>
                <w:color w:val="auto"/>
              </w:rPr>
            </w:pPr>
          </w:p>
        </w:tc>
        <w:tc>
          <w:tcPr>
            <w:tcW w:w="16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140" w:type="dxa"/>
            <w:vAlign w:val="bottom"/>
            <w:gridSpan w:val="2"/>
          </w:tcPr>
          <w:p>
            <w:pPr>
              <w:ind w:left="2580"/>
              <w:spacing w:after="0"/>
              <w:rPr>
                <w:sz w:val="20"/>
                <w:szCs w:val="20"/>
                <w:color w:val="auto"/>
              </w:rPr>
            </w:pPr>
            <w:r>
              <w:rPr>
                <w:rFonts w:ascii="Arial" w:cs="Arial" w:eastAsia="Arial" w:hAnsi="Arial"/>
                <w:sz w:val="18"/>
                <w:szCs w:val="18"/>
                <w:color w:val="auto"/>
              </w:rPr>
              <w:t>Wachovia Capital Markets, LLC</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7"/>
              </w:rPr>
              <w:t>l,000</w:t>
            </w: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580" w:type="dxa"/>
            <w:vAlign w:val="bottom"/>
          </w:tcPr>
          <w:p>
            <w:pPr>
              <w:spacing w:after="0"/>
              <w:rPr>
                <w:sz w:val="20"/>
                <w:szCs w:val="20"/>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gridSpan w:val="2"/>
          </w:tcPr>
          <w:p>
            <w:pPr>
              <w:jc w:val="center"/>
              <w:ind w:right="680"/>
              <w:spacing w:after="0"/>
              <w:rPr>
                <w:sz w:val="20"/>
                <w:szCs w:val="20"/>
                <w:color w:val="auto"/>
              </w:rPr>
            </w:pPr>
            <w:r>
              <w:rPr>
                <w:rFonts w:ascii="Arial" w:cs="Arial" w:eastAsia="Arial" w:hAnsi="Arial"/>
                <w:sz w:val="18"/>
                <w:szCs w:val="18"/>
                <w:color w:val="auto"/>
                <w:w w:val="97"/>
              </w:rPr>
              <w:t>l,000</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2"/>
        </w:trPr>
        <w:tc>
          <w:tcPr>
            <w:tcW w:w="25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Title of Designated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Designated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Initial Offering Price to Public Per Share for Designated Shares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Purchase Price per Share for Designated Shares to be Paid by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Specified funds for payment of 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Liquidation Preference Per Share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Designated Shares, if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Dividend Payment Dates,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Sinking fund requirements, 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Names and addresses of Representatives: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SCHEDULE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0"/>
        <w:spacing w:after="0"/>
        <w:tabs>
          <w:tab w:leader="none" w:pos="5160" w:val="left"/>
        </w:tabs>
        <w:rPr>
          <w:sz w:val="20"/>
          <w:szCs w:val="20"/>
          <w:color w:val="auto"/>
        </w:rPr>
      </w:pPr>
      <w:r>
        <w:rPr>
          <w:rFonts w:ascii="Arial" w:cs="Arial" w:eastAsia="Arial" w:hAnsi="Arial"/>
          <w:sz w:val="18"/>
          <w:szCs w:val="18"/>
          <w:color w:val="auto"/>
        </w:rPr>
        <w:t>shares. The Designated Shares consist of an aggregate of</w:t>
      </w:r>
      <w:r>
        <w:rPr>
          <w:sz w:val="20"/>
          <w:szCs w:val="20"/>
          <w:color w:val="auto"/>
        </w:rPr>
        <w:tab/>
      </w:r>
      <w:r>
        <w:rPr>
          <w:rFonts w:ascii="Arial" w:cs="Arial" w:eastAsia="Arial" w:hAnsi="Arial"/>
          <w:sz w:val="15"/>
          <w:szCs w:val="15"/>
          <w:color w:val="auto"/>
        </w:rPr>
        <w:t>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-10160</wp:posOffset>
            </wp:positionV>
            <wp:extent cx="285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75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-10160</wp:posOffset>
            </wp:positionV>
            <wp:extent cx="285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3" w:lineRule="exact"/>
        <w:rPr>
          <w:sz w:val="20"/>
          <w:szCs w:val="20"/>
          <w:color w:val="auto"/>
        </w:rPr>
      </w:pPr>
    </w:p>
    <w:p>
      <w:pPr>
        <w:ind w:left="40" w:right="40"/>
        <w:spacing w:after="0" w:line="281" w:lineRule="auto"/>
        <w:rPr>
          <w:sz w:val="20"/>
          <w:szCs w:val="20"/>
          <w:color w:val="auto"/>
        </w:rPr>
      </w:pPr>
      <w:r>
        <w:rPr>
          <w:rFonts w:ascii="Arial" w:cs="Arial" w:eastAsia="Arial" w:hAnsi="Arial"/>
          <w:sz w:val="16"/>
          <w:szCs w:val="16"/>
          <w:color w:val="auto"/>
        </w:rPr>
        <w:t>Shares (the “Initial Shares”) that the Underwriters have agreed, severally and not jointly, to purchase and that the Company has agreed to sell and an aggregate of up to</w:t>
      </w:r>
    </w:p>
    <w:p>
      <w:pPr>
        <w:spacing w:after="0" w:line="1" w:lineRule="exact"/>
        <w:rPr>
          <w:sz w:val="20"/>
          <w:szCs w:val="20"/>
          <w:color w:val="auto"/>
        </w:rPr>
      </w:pPr>
    </w:p>
    <w:p>
      <w:pPr>
        <w:ind w:left="40" w:right="20" w:firstLine="495"/>
        <w:spacing w:after="0" w:line="254" w:lineRule="auto"/>
        <w:rPr>
          <w:sz w:val="20"/>
          <w:szCs w:val="20"/>
          <w:color w:val="auto"/>
        </w:rPr>
      </w:pPr>
      <w:r>
        <w:rPr>
          <w:rFonts w:ascii="Arial" w:cs="Arial" w:eastAsia="Arial" w:hAnsi="Arial"/>
          <w:sz w:val="18"/>
          <w:szCs w:val="18"/>
          <w:color w:val="auto"/>
        </w:rPr>
        <w:t>Designated Shares (the “Option Shares”) that the Underwriters have the option to purchase, severally and not jointly, from the Company, all subject to the terms and conditions set forth in this Pricing Agreement and the Underwriting Agreement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-444500</wp:posOffset>
            </wp:positionV>
            <wp:extent cx="285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70" w:lineRule="exact"/>
        <w:rPr>
          <w:sz w:val="20"/>
          <w:szCs w:val="20"/>
          <w:color w:val="auto"/>
        </w:rPr>
      </w:pPr>
    </w:p>
    <w:p>
      <w:pPr>
        <w:ind w:left="640" w:hanging="59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-10160</wp:posOffset>
            </wp:positionV>
            <wp:extent cx="285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205" w:lineRule="exact"/>
        <w:rPr>
          <w:sz w:val="20"/>
          <w:szCs w:val="20"/>
          <w:color w:val="auto"/>
        </w:rPr>
      </w:pPr>
    </w:p>
    <w:p>
      <w:pPr>
        <w:ind w:left="40" w:firstLine="8"/>
        <w:spacing w:after="0" w:line="257" w:lineRule="auto"/>
        <w:tabs>
          <w:tab w:leader="none" w:pos="6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 share; provided, however, that the purchase price per share for any Option Shares purchased by the Underwriters shall be reduced by an amount per share equal to the aggregate amount per share of any dividends or distributions declared, paid or payable with respect to the Initial Shares but not payable with respect to such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-582295</wp:posOffset>
            </wp:positionV>
            <wp:extent cx="285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Wire transfer of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Wachovia Capital Markets, LLC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7 St. Paul Street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Baltimore, Maryland 21202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389890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700" w:space="460"/>
            <w:col w:w="6240"/>
          </w:cols>
          <w:pgMar w:left="240" w:top="935"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Address for Notices, etc.:</w:t>
            </w:r>
          </w:p>
        </w:tc>
        <w:tc>
          <w:tcPr>
            <w:tcW w:w="7380" w:type="dxa"/>
            <w:vAlign w:val="bottom"/>
            <w:gridSpan w:val="3"/>
          </w:tcPr>
          <w:p>
            <w:pPr>
              <w:ind w:left="1160"/>
              <w:spacing w:after="0"/>
              <w:rPr>
                <w:sz w:val="20"/>
                <w:szCs w:val="20"/>
                <w:color w:val="auto"/>
              </w:rPr>
            </w:pPr>
            <w:r>
              <w:rPr>
                <w:rFonts w:ascii="Arial" w:cs="Arial" w:eastAsia="Arial" w:hAnsi="Arial"/>
                <w:sz w:val="18"/>
                <w:szCs w:val="18"/>
                <w:color w:val="auto"/>
              </w:rPr>
              <w:t>Wachovia Capital Markets, LLC</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1160"/>
              <w:spacing w:after="0"/>
              <w:rPr>
                <w:sz w:val="20"/>
                <w:szCs w:val="20"/>
                <w:color w:val="auto"/>
              </w:rPr>
            </w:pPr>
            <w:r>
              <w:rPr>
                <w:rFonts w:ascii="Arial" w:cs="Arial" w:eastAsia="Arial" w:hAnsi="Arial"/>
                <w:sz w:val="18"/>
                <w:szCs w:val="18"/>
                <w:color w:val="auto"/>
              </w:rPr>
              <w:t>7 St. Paul Street</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1160"/>
              <w:spacing w:after="0"/>
              <w:rPr>
                <w:sz w:val="20"/>
                <w:szCs w:val="20"/>
                <w:color w:val="auto"/>
              </w:rPr>
            </w:pPr>
            <w:r>
              <w:rPr>
                <w:rFonts w:ascii="Arial" w:cs="Arial" w:eastAsia="Arial" w:hAnsi="Arial"/>
                <w:sz w:val="18"/>
                <w:szCs w:val="18"/>
                <w:color w:val="auto"/>
              </w:rPr>
              <w:t>Baltimore, Maryland 21202</w:t>
            </w:r>
          </w:p>
        </w:tc>
      </w:tr>
      <w:tr>
        <w:trPr>
          <w:trHeight w:val="230"/>
        </w:trPr>
        <w:tc>
          <w:tcPr>
            <w:tcW w:w="4040" w:type="dxa"/>
            <w:vAlign w:val="bottom"/>
          </w:tcPr>
          <w:p>
            <w:pPr>
              <w:spacing w:after="0"/>
              <w:rPr>
                <w:sz w:val="20"/>
                <w:szCs w:val="20"/>
                <w:color w:val="auto"/>
              </w:rPr>
            </w:pPr>
          </w:p>
        </w:tc>
        <w:tc>
          <w:tcPr>
            <w:tcW w:w="7380" w:type="dxa"/>
            <w:vAlign w:val="bottom"/>
            <w:gridSpan w:val="3"/>
          </w:tcPr>
          <w:p>
            <w:pPr>
              <w:ind w:left="1160"/>
              <w:spacing w:after="0"/>
              <w:rPr>
                <w:sz w:val="20"/>
                <w:szCs w:val="20"/>
                <w:color w:val="auto"/>
              </w:rPr>
            </w:pPr>
            <w:r>
              <w:rPr>
                <w:rFonts w:ascii="Arial" w:cs="Arial" w:eastAsia="Arial" w:hAnsi="Arial"/>
                <w:sz w:val="18"/>
                <w:szCs w:val="18"/>
                <w:color w:val="auto"/>
              </w:rPr>
              <w:t>Attention: Barrett Kollme</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Other Terms:</w:t>
            </w:r>
          </w:p>
        </w:tc>
        <w:tc>
          <w:tcPr>
            <w:tcW w:w="3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92"/>
        </w:trPr>
        <w:tc>
          <w:tcPr>
            <w:tcW w:w="4040" w:type="dxa"/>
            <w:vAlign w:val="bottom"/>
          </w:tcPr>
          <w:p>
            <w:pPr>
              <w:spacing w:after="0"/>
              <w:rPr>
                <w:sz w:val="20"/>
                <w:szCs w:val="20"/>
                <w:color w:val="auto"/>
              </w:rPr>
            </w:pPr>
            <w:r>
              <w:rPr>
                <w:rFonts w:ascii="Arial" w:cs="Arial" w:eastAsia="Arial" w:hAnsi="Arial"/>
                <w:sz w:val="18"/>
                <w:szCs w:val="18"/>
                <w:color w:val="auto"/>
              </w:rPr>
              <w:t>Time of Delivery:</w:t>
            </w:r>
          </w:p>
        </w:tc>
        <w:tc>
          <w:tcPr>
            <w:tcW w:w="3740" w:type="dxa"/>
            <w:vAlign w:val="bottom"/>
          </w:tcPr>
          <w:p>
            <w:pPr>
              <w:ind w:left="1160"/>
              <w:spacing w:after="0"/>
              <w:rPr>
                <w:sz w:val="20"/>
                <w:szCs w:val="20"/>
                <w:color w:val="auto"/>
              </w:rPr>
            </w:pPr>
            <w:r>
              <w:rPr>
                <w:rFonts w:ascii="Arial" w:cs="Arial" w:eastAsia="Arial" w:hAnsi="Arial"/>
                <w:sz w:val="18"/>
                <w:szCs w:val="18"/>
                <w:color w:val="auto"/>
                <w:w w:val="94"/>
              </w:rPr>
              <w:t>9:00 a.m. (New York City time) on</w:t>
            </w:r>
          </w:p>
        </w:tc>
        <w:tc>
          <w:tcPr>
            <w:tcW w:w="440" w:type="dxa"/>
            <w:vAlign w:val="bottom"/>
            <w:tcBorders>
              <w:bottom w:val="single" w:sz="8" w:color="auto"/>
            </w:tcBorders>
          </w:tcPr>
          <w:p>
            <w:pPr>
              <w:spacing w:after="0"/>
              <w:rPr>
                <w:sz w:val="24"/>
                <w:szCs w:val="24"/>
                <w:color w:val="auto"/>
              </w:rPr>
            </w:pPr>
          </w:p>
        </w:tc>
        <w:tc>
          <w:tcPr>
            <w:tcW w:w="3200" w:type="dxa"/>
            <w:vAlign w:val="bottom"/>
          </w:tcPr>
          <w:p>
            <w:pPr>
              <w:spacing w:after="0"/>
              <w:rPr>
                <w:sz w:val="24"/>
                <w:szCs w:val="24"/>
                <w:color w:val="auto"/>
              </w:rPr>
            </w:pPr>
          </w:p>
        </w:tc>
      </w:tr>
      <w:tr>
        <w:trPr>
          <w:trHeight w:val="438"/>
        </w:trPr>
        <w:tc>
          <w:tcPr>
            <w:tcW w:w="4040" w:type="dxa"/>
            <w:vAlign w:val="bottom"/>
          </w:tcPr>
          <w:p>
            <w:pPr>
              <w:spacing w:after="0"/>
              <w:rPr>
                <w:sz w:val="20"/>
                <w:szCs w:val="20"/>
                <w:color w:val="auto"/>
              </w:rPr>
            </w:pPr>
            <w:r>
              <w:rPr>
                <w:rFonts w:ascii="Arial" w:cs="Arial" w:eastAsia="Arial" w:hAnsi="Arial"/>
                <w:sz w:val="18"/>
                <w:szCs w:val="18"/>
                <w:color w:val="auto"/>
              </w:rPr>
              <w:t>Closing Location:</w:t>
            </w:r>
          </w:p>
        </w:tc>
        <w:tc>
          <w:tcPr>
            <w:tcW w:w="7380" w:type="dxa"/>
            <w:vAlign w:val="bottom"/>
            <w:gridSpan w:val="3"/>
          </w:tcPr>
          <w:p>
            <w:pPr>
              <w:ind w:left="1160"/>
              <w:spacing w:after="0"/>
              <w:rPr>
                <w:sz w:val="20"/>
                <w:szCs w:val="20"/>
                <w:color w:val="auto"/>
              </w:rPr>
            </w:pPr>
            <w:r>
              <w:rPr>
                <w:rFonts w:ascii="Arial" w:cs="Arial" w:eastAsia="Arial" w:hAnsi="Arial"/>
                <w:sz w:val="18"/>
                <w:szCs w:val="18"/>
                <w:color w:val="auto"/>
              </w:rPr>
              <w:t>Sidley Austin Brown &amp; Wood llp</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1160"/>
              <w:spacing w:after="0"/>
              <w:rPr>
                <w:sz w:val="20"/>
                <w:szCs w:val="20"/>
                <w:color w:val="auto"/>
              </w:rPr>
            </w:pPr>
            <w:r>
              <w:rPr>
                <w:rFonts w:ascii="Arial" w:cs="Arial" w:eastAsia="Arial" w:hAnsi="Arial"/>
                <w:sz w:val="18"/>
                <w:szCs w:val="18"/>
                <w:color w:val="auto"/>
              </w:rPr>
              <w:t>555 California Street</w:t>
            </w:r>
          </w:p>
        </w:tc>
      </w:tr>
      <w:tr>
        <w:trPr>
          <w:trHeight w:val="230"/>
        </w:trPr>
        <w:tc>
          <w:tcPr>
            <w:tcW w:w="4040" w:type="dxa"/>
            <w:vAlign w:val="bottom"/>
          </w:tcPr>
          <w:p>
            <w:pPr>
              <w:spacing w:after="0"/>
              <w:rPr>
                <w:sz w:val="20"/>
                <w:szCs w:val="20"/>
                <w:color w:val="auto"/>
              </w:rPr>
            </w:pPr>
          </w:p>
        </w:tc>
        <w:tc>
          <w:tcPr>
            <w:tcW w:w="7380" w:type="dxa"/>
            <w:vAlign w:val="bottom"/>
            <w:gridSpan w:val="3"/>
          </w:tcPr>
          <w:p>
            <w:pPr>
              <w:ind w:left="1160"/>
              <w:spacing w:after="0"/>
              <w:rPr>
                <w:sz w:val="20"/>
                <w:szCs w:val="20"/>
                <w:color w:val="auto"/>
              </w:rPr>
            </w:pPr>
            <w:r>
              <w:rPr>
                <w:rFonts w:ascii="Arial" w:cs="Arial" w:eastAsia="Arial" w:hAnsi="Arial"/>
                <w:sz w:val="18"/>
                <w:szCs w:val="18"/>
                <w:color w:val="auto"/>
              </w:rPr>
              <w:t>San Francisco, California 94104</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Place of Delivery of Designated Shares:</w:t>
            </w:r>
          </w:p>
        </w:tc>
        <w:tc>
          <w:tcPr>
            <w:tcW w:w="7380" w:type="dxa"/>
            <w:vAlign w:val="bottom"/>
            <w:gridSpan w:val="3"/>
          </w:tcPr>
          <w:p>
            <w:pPr>
              <w:ind w:left="1160"/>
              <w:spacing w:after="0"/>
              <w:rPr>
                <w:sz w:val="20"/>
                <w:szCs w:val="20"/>
                <w:color w:val="auto"/>
              </w:rPr>
            </w:pPr>
            <w:r>
              <w:rPr>
                <w:rFonts w:ascii="Arial" w:cs="Arial" w:eastAsia="Arial" w:hAnsi="Arial"/>
                <w:sz w:val="18"/>
                <w:szCs w:val="18"/>
                <w:color w:val="auto"/>
              </w:rPr>
              <w:t>New York, New York</w:t>
            </w:r>
          </w:p>
        </w:tc>
      </w:tr>
      <w:tr>
        <w:trPr>
          <w:trHeight w:val="405"/>
        </w:trPr>
        <w:tc>
          <w:tcPr>
            <w:tcW w:w="4040" w:type="dxa"/>
            <w:vAlign w:val="bottom"/>
          </w:tcPr>
          <w:p>
            <w:pPr>
              <w:spacing w:after="0"/>
              <w:rPr>
                <w:sz w:val="24"/>
                <w:szCs w:val="24"/>
                <w:color w:val="auto"/>
              </w:rPr>
            </w:pPr>
          </w:p>
        </w:tc>
        <w:tc>
          <w:tcPr>
            <w:tcW w:w="3740" w:type="dxa"/>
            <w:vAlign w:val="bottom"/>
          </w:tcPr>
          <w:p>
            <w:pPr>
              <w:ind w:left="162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26"/>
        </w:trPr>
        <w:tc>
          <w:tcPr>
            <w:tcW w:w="404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30" w:name="page31"/>
    <w:bookmarkEnd w:id="30"/>
    <w:p>
      <w:pPr>
        <w:jc w:val="center"/>
        <w:ind w:right="-1200"/>
        <w:spacing w:after="0"/>
        <w:rPr>
          <w:sz w:val="20"/>
          <w:szCs w:val="20"/>
          <w:color w:val="auto"/>
        </w:rPr>
      </w:pPr>
      <w:r>
        <w:rPr>
          <w:rFonts w:ascii="Arial" w:cs="Arial" w:eastAsia="Arial" w:hAnsi="Arial"/>
          <w:sz w:val="18"/>
          <w:szCs w:val="18"/>
          <w:color w:val="auto"/>
        </w:rPr>
        <w:t>SCHEDULE III</w:t>
      </w:r>
    </w:p>
    <w:p>
      <w:pPr>
        <w:spacing w:after="0" w:line="198" w:lineRule="exact"/>
        <w:rPr>
          <w:sz w:val="20"/>
          <w:szCs w:val="20"/>
          <w:color w:val="auto"/>
        </w:rPr>
      </w:pPr>
    </w:p>
    <w:p>
      <w:pPr>
        <w:jc w:val="right"/>
        <w:ind w:right="3239"/>
        <w:spacing w:after="0"/>
        <w:rPr>
          <w:sz w:val="20"/>
          <w:szCs w:val="20"/>
          <w:color w:val="auto"/>
        </w:rPr>
      </w:pPr>
      <w:r>
        <w:rPr>
          <w:rFonts w:ascii="Arial" w:cs="Arial" w:eastAsia="Arial" w:hAnsi="Arial"/>
          <w:sz w:val="18"/>
          <w:szCs w:val="18"/>
          <w:color w:val="auto"/>
        </w:rPr>
        <w:t>List of Persons Subject to Lock-Up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Mark S. Ordan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Larry E. Finger</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SCHEDULE A</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[Not filed with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ANNEX II</w:t>
      </w:r>
    </w:p>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CERTIFICATE OF THE PRESIDENT AND CHIEF EXECUTIVE OFFICER</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7(f) OF THE UNDERWRITING AGREEMENT</w:t>
      </w:r>
    </w:p>
    <w:p>
      <w:pPr>
        <w:spacing w:after="0" w:line="170"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 Donald C. Wood, the President and Chief Executive Officer and a Trustee, and I, Larry E. Finger, the Senior Vice President and Chief Financial Officer, of Federal Realty Investment Trust, certify that:</w:t>
      </w:r>
    </w:p>
    <w:p>
      <w:pPr>
        <w:spacing w:after="0" w:line="143" w:lineRule="exact"/>
        <w:rPr>
          <w:sz w:val="20"/>
          <w:szCs w:val="20"/>
          <w:color w:val="auto"/>
        </w:rPr>
      </w:pPr>
    </w:p>
    <w:p>
      <w:pPr>
        <w:ind w:left="360" w:right="80" w:firstLine="440"/>
        <w:spacing w:after="0" w:line="259" w:lineRule="auto"/>
        <w:tabs>
          <w:tab w:leader="none" w:pos="10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2003, as amended by Amendment No. 1 on Form 10-K/A and Amendment No. 2 on Form 10-K/A (collectively, the “Report”), and the Current Reports on Form 8-K filed with or furnished to the Securities and Exchange Commission on January 15, 2004, February 17, 2004, March 11, 2004 and April l, 2004, fully comply with the requirements of Section 13(a) or 15(d) of the Securities and Exchange Act of 1934; and</w:t>
      </w:r>
    </w:p>
    <w:p>
      <w:pPr>
        <w:spacing w:after="0" w:line="146" w:lineRule="exact"/>
        <w:rPr>
          <w:rFonts w:ascii="Arial" w:cs="Arial" w:eastAsia="Arial" w:hAnsi="Arial"/>
          <w:sz w:val="18"/>
          <w:szCs w:val="18"/>
          <w:color w:val="auto"/>
        </w:rPr>
      </w:pPr>
    </w:p>
    <w:p>
      <w:pPr>
        <w:ind w:left="360" w:right="420" w:firstLine="440"/>
        <w:spacing w:after="0" w:line="277" w:lineRule="auto"/>
        <w:tabs>
          <w:tab w:leader="none" w:pos="10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Federal Realty Investment Trust as of its date of filing with the Securities and Exchange Commission.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April l,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272415</wp:posOffset>
            </wp:positionV>
            <wp:extent cx="34817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and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142875</wp:posOffset>
            </wp:positionV>
            <wp:extent cx="34817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31"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Larry E. Finger</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and Treasurer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ANNEX III</w:t>
      </w:r>
    </w:p>
    <w:p>
      <w:pPr>
        <w:spacing w:after="0" w:line="3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4"/>
              </w:rPr>
              <w:t>Company’s Direct or</w:t>
            </w:r>
          </w:p>
        </w:tc>
        <w:tc>
          <w:tcPr>
            <w:tcW w:w="0" w:type="dxa"/>
            <w:vAlign w:val="bottom"/>
          </w:tcPr>
          <w:p>
            <w:pPr>
              <w:spacing w:after="0"/>
              <w:rPr>
                <w:sz w:val="1"/>
                <w:szCs w:val="1"/>
                <w:color w:val="auto"/>
              </w:rPr>
            </w:pPr>
          </w:p>
        </w:tc>
      </w:tr>
      <w:tr>
        <w:trPr>
          <w:trHeight w:val="149"/>
        </w:trPr>
        <w:tc>
          <w:tcPr>
            <w:tcW w:w="556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FEDERAL REALTY INVESTMENT TRUST</w:t>
            </w:r>
          </w:p>
        </w:tc>
        <w:tc>
          <w:tcPr>
            <w:tcW w:w="44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Indirect Ownership</w:t>
            </w:r>
          </w:p>
        </w:tc>
        <w:tc>
          <w:tcPr>
            <w:tcW w:w="0" w:type="dxa"/>
            <w:vAlign w:val="bottom"/>
          </w:tcPr>
          <w:p>
            <w:pPr>
              <w:spacing w:after="0"/>
              <w:rPr>
                <w:sz w:val="1"/>
                <w:szCs w:val="1"/>
                <w:color w:val="auto"/>
              </w:rPr>
            </w:pPr>
          </w:p>
        </w:tc>
      </w:tr>
      <w:tr>
        <w:trPr>
          <w:trHeight w:val="186"/>
        </w:trPr>
        <w:tc>
          <w:tcPr>
            <w:tcW w:w="55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53"/>
        </w:trPr>
        <w:tc>
          <w:tcPr>
            <w:tcW w:w="55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25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FR Associates Limited Partnership (“FR”)</w:t>
            </w:r>
          </w:p>
        </w:tc>
        <w:tc>
          <w:tcPr>
            <w:tcW w:w="298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Arial" w:cs="Arial" w:eastAsia="Arial" w:hAnsi="Arial"/>
                <w:sz w:val="18"/>
                <w:szCs w:val="18"/>
                <w:color w:val="auto"/>
              </w:rPr>
              <w:t>Andorra Associates</w:t>
            </w:r>
          </w:p>
        </w:tc>
        <w:tc>
          <w:tcPr>
            <w:tcW w:w="4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99% (1% FR)</w:t>
            </w: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Governor Plaza Associates</w:t>
            </w:r>
          </w:p>
        </w:tc>
        <w:tc>
          <w:tcPr>
            <w:tcW w:w="44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99% (1% FR)</w:t>
            </w: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Arial" w:cs="Arial" w:eastAsia="Arial" w:hAnsi="Arial"/>
                <w:sz w:val="18"/>
                <w:szCs w:val="18"/>
                <w:color w:val="auto"/>
              </w:rPr>
              <w:t>Shopping Center Associates</w:t>
            </w:r>
          </w:p>
        </w:tc>
        <w:tc>
          <w:tcPr>
            <w:tcW w:w="4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99% (1% FR)</w:t>
            </w: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Berman Enterprises II Limited Partnership</w:t>
            </w:r>
          </w:p>
        </w:tc>
        <w:tc>
          <w:tcPr>
            <w:tcW w:w="44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99% (1% FR)</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FRIT Escondido Promenade, LLC</w:t>
            </w:r>
          </w:p>
        </w:tc>
        <w:tc>
          <w:tcPr>
            <w:tcW w:w="2980" w:type="dxa"/>
            <w:vAlign w:val="bottom"/>
            <w:gridSpan w:val="2"/>
          </w:tcPr>
          <w:p>
            <w:pPr>
              <w:ind w:left="4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FRIT Leasing &amp; Development Services, Inc.</w:t>
            </w:r>
          </w:p>
        </w:tc>
        <w:tc>
          <w:tcPr>
            <w:tcW w:w="44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57"/>
        </w:trPr>
        <w:tc>
          <w:tcPr>
            <w:tcW w:w="5560" w:type="dxa"/>
            <w:vAlign w:val="bottom"/>
          </w:tcPr>
          <w:p>
            <w:pPr>
              <w:spacing w:after="0"/>
              <w:rPr>
                <w:sz w:val="20"/>
                <w:szCs w:val="20"/>
                <w:color w:val="auto"/>
              </w:rPr>
            </w:pPr>
            <w:r>
              <w:rPr>
                <w:rFonts w:ascii="Arial" w:cs="Arial" w:eastAsia="Arial" w:hAnsi="Arial"/>
                <w:sz w:val="18"/>
                <w:szCs w:val="18"/>
                <w:color w:val="auto"/>
              </w:rPr>
              <w:t>Congressional Plaza Associates, LLC</w:t>
            </w:r>
          </w:p>
        </w:tc>
        <w:tc>
          <w:tcPr>
            <w:tcW w:w="2980" w:type="dxa"/>
            <w:vAlign w:val="bottom"/>
            <w:gridSpan w:val="2"/>
          </w:tcPr>
          <w:p>
            <w:pPr>
              <w:ind w:left="440"/>
              <w:spacing w:after="0" w:line="256" w:lineRule="exact"/>
              <w:rPr>
                <w:sz w:val="20"/>
                <w:szCs w:val="20"/>
                <w:color w:val="auto"/>
              </w:rPr>
            </w:pPr>
            <w:r>
              <w:rPr>
                <w:rFonts w:ascii="Arial" w:cs="Arial" w:eastAsia="Arial" w:hAnsi="Arial"/>
                <w:sz w:val="18"/>
                <w:szCs w:val="18"/>
                <w:color w:val="auto"/>
              </w:rPr>
              <w:t>55.7065%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FR Pike 7 Limited Partnership (DownREIT)</w:t>
            </w:r>
          </w:p>
        </w:tc>
        <w:tc>
          <w:tcPr>
            <w:tcW w:w="298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Federal Realty Partners L. P. (Master DownREIT-531,724 units</w:t>
            </w:r>
          </w:p>
        </w:tc>
        <w:tc>
          <w:tcPr>
            <w:tcW w:w="4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40 units (FedRP Inc.)</w:t>
            </w: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outstanding – 429,904 units have been redeemed)</w:t>
            </w:r>
          </w:p>
        </w:tc>
        <w:tc>
          <w:tcPr>
            <w:tcW w:w="44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40 units (FRLP Inc.)</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Federal Realty Partners, Inc.</w:t>
            </w:r>
          </w:p>
        </w:tc>
        <w:tc>
          <w:tcPr>
            <w:tcW w:w="4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02"/>
        </w:trPr>
        <w:tc>
          <w:tcPr>
            <w:tcW w:w="556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rPr>
              <w:t>Loehmann’s Plaza Limited Partnership (DownREIT – 250,000 units</w:t>
            </w:r>
          </w:p>
        </w:tc>
        <w:tc>
          <w:tcPr>
            <w:tcW w:w="440" w:type="dxa"/>
            <w:vAlign w:val="bottom"/>
            <w:shd w:val="clear" w:color="auto" w:fill="EEEEEE"/>
          </w:tcPr>
          <w:p>
            <w:pPr>
              <w:spacing w:after="0"/>
              <w:rPr>
                <w:sz w:val="17"/>
                <w:szCs w:val="17"/>
                <w:color w:val="auto"/>
              </w:rPr>
            </w:pPr>
          </w:p>
        </w:tc>
        <w:tc>
          <w:tcPr>
            <w:tcW w:w="2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60,000 units (FedRP Inc.)</w:t>
            </w:r>
          </w:p>
        </w:tc>
        <w:tc>
          <w:tcPr>
            <w:tcW w:w="0" w:type="dxa"/>
            <w:vAlign w:val="bottom"/>
          </w:tcPr>
          <w:p>
            <w:pPr>
              <w:spacing w:after="0"/>
              <w:rPr>
                <w:sz w:val="1"/>
                <w:szCs w:val="1"/>
                <w:color w:val="auto"/>
              </w:rPr>
            </w:pPr>
          </w:p>
        </w:tc>
      </w:tr>
      <w:tr>
        <w:trPr>
          <w:trHeight w:val="230"/>
        </w:trPr>
        <w:tc>
          <w:tcPr>
            <w:tcW w:w="55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outstanding)</w:t>
            </w:r>
          </w:p>
        </w:tc>
        <w:tc>
          <w:tcPr>
            <w:tcW w:w="440" w:type="dxa"/>
            <w:vAlign w:val="bottom"/>
            <w:shd w:val="clear" w:color="auto" w:fill="EEEEEE"/>
          </w:tcPr>
          <w:p>
            <w:pPr>
              <w:spacing w:after="0"/>
              <w:rPr>
                <w:sz w:val="20"/>
                <w:szCs w:val="20"/>
                <w:color w:val="auto"/>
              </w:rPr>
            </w:pPr>
          </w:p>
        </w:tc>
        <w:tc>
          <w:tcPr>
            <w:tcW w:w="2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FRLP, Inc.</w:t>
            </w:r>
          </w:p>
        </w:tc>
        <w:tc>
          <w:tcPr>
            <w:tcW w:w="4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FR Leesburg Plaza, LLC</w:t>
            </w:r>
          </w:p>
        </w:tc>
        <w:tc>
          <w:tcPr>
            <w:tcW w:w="298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5560" w:type="dxa"/>
            <w:vAlign w:val="bottom"/>
          </w:tcPr>
          <w:p>
            <w:pPr>
              <w:ind w:left="140"/>
              <w:spacing w:after="0" w:line="201" w:lineRule="exact"/>
              <w:rPr>
                <w:sz w:val="20"/>
                <w:szCs w:val="20"/>
                <w:color w:val="auto"/>
              </w:rPr>
            </w:pPr>
            <w:r>
              <w:rPr>
                <w:rFonts w:ascii="Arial" w:cs="Arial" w:eastAsia="Arial" w:hAnsi="Arial"/>
                <w:sz w:val="18"/>
                <w:szCs w:val="18"/>
                <w:color w:val="auto"/>
                <w:w w:val="94"/>
              </w:rPr>
              <w:t>FR Leesburg Plaza, LP (DownREIT–352,500 total units issued – 17,583</w:t>
            </w:r>
          </w:p>
        </w:tc>
        <w:tc>
          <w:tcPr>
            <w:tcW w:w="440" w:type="dxa"/>
            <w:vAlign w:val="bottom"/>
          </w:tcPr>
          <w:p>
            <w:pPr>
              <w:spacing w:after="0"/>
              <w:rPr>
                <w:sz w:val="17"/>
                <w:szCs w:val="17"/>
                <w:color w:val="auto"/>
              </w:rPr>
            </w:pPr>
          </w:p>
        </w:tc>
        <w:tc>
          <w:tcPr>
            <w:tcW w:w="2540" w:type="dxa"/>
            <w:vAlign w:val="bottom"/>
          </w:tcPr>
          <w:p>
            <w:pPr>
              <w:spacing w:after="0" w:line="201" w:lineRule="exact"/>
              <w:rPr>
                <w:sz w:val="20"/>
                <w:szCs w:val="20"/>
                <w:color w:val="auto"/>
              </w:rPr>
            </w:pPr>
            <w:r>
              <w:rPr>
                <w:rFonts w:ascii="Arial" w:cs="Arial" w:eastAsia="Arial" w:hAnsi="Arial"/>
                <w:sz w:val="18"/>
                <w:szCs w:val="18"/>
                <w:color w:val="auto"/>
              </w:rPr>
              <w:t>232,083 units (LLC)</w:t>
            </w:r>
          </w:p>
        </w:tc>
        <w:tc>
          <w:tcPr>
            <w:tcW w:w="0" w:type="dxa"/>
            <w:vAlign w:val="bottom"/>
          </w:tcPr>
          <w:p>
            <w:pPr>
              <w:spacing w:after="0"/>
              <w:rPr>
                <w:sz w:val="1"/>
                <w:szCs w:val="1"/>
                <w:color w:val="auto"/>
              </w:rPr>
            </w:pPr>
          </w:p>
        </w:tc>
      </w:tr>
      <w:tr>
        <w:trPr>
          <w:trHeight w:val="230"/>
        </w:trPr>
        <w:tc>
          <w:tcPr>
            <w:tcW w:w="5560" w:type="dxa"/>
            <w:vAlign w:val="bottom"/>
          </w:tcPr>
          <w:p>
            <w:pPr>
              <w:ind w:left="260"/>
              <w:spacing w:after="0"/>
              <w:rPr>
                <w:sz w:val="20"/>
                <w:szCs w:val="20"/>
                <w:color w:val="auto"/>
              </w:rPr>
            </w:pPr>
            <w:r>
              <w:rPr>
                <w:rFonts w:ascii="Arial" w:cs="Arial" w:eastAsia="Arial" w:hAnsi="Arial"/>
                <w:sz w:val="18"/>
                <w:szCs w:val="18"/>
                <w:color w:val="auto"/>
              </w:rPr>
              <w:t>units have been redeemed)</w:t>
            </w:r>
          </w:p>
        </w:tc>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5"/>
              </w:rPr>
              <w:t>FRIT Property Services, Inc. (f/k/a Terranomics Retail Services, Inc. f/k/a</w:t>
            </w:r>
          </w:p>
        </w:tc>
        <w:tc>
          <w:tcPr>
            <w:tcW w:w="440" w:type="dxa"/>
            <w:vAlign w:val="bottom"/>
            <w:shd w:val="clear" w:color="auto" w:fill="EEEEEE"/>
          </w:tcPr>
          <w:p>
            <w:pPr>
              <w:spacing w:after="0"/>
              <w:rPr>
                <w:sz w:val="17"/>
                <w:szCs w:val="17"/>
                <w:color w:val="auto"/>
              </w:rPr>
            </w:pPr>
          </w:p>
        </w:tc>
        <w:tc>
          <w:tcPr>
            <w:tcW w:w="2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100% nonvoting stock</w:t>
            </w:r>
          </w:p>
        </w:tc>
        <w:tc>
          <w:tcPr>
            <w:tcW w:w="0" w:type="dxa"/>
            <w:vAlign w:val="bottom"/>
          </w:tcPr>
          <w:p>
            <w:pPr>
              <w:spacing w:after="0"/>
              <w:rPr>
                <w:sz w:val="1"/>
                <w:szCs w:val="1"/>
                <w:color w:val="auto"/>
              </w:rPr>
            </w:pPr>
          </w:p>
        </w:tc>
      </w:tr>
      <w:tr>
        <w:trPr>
          <w:trHeight w:val="230"/>
        </w:trPr>
        <w:tc>
          <w:tcPr>
            <w:tcW w:w="55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TRS Acquisition, Inc.)</w:t>
            </w:r>
          </w:p>
        </w:tc>
        <w:tc>
          <w:tcPr>
            <w:tcW w:w="440" w:type="dxa"/>
            <w:vAlign w:val="bottom"/>
            <w:shd w:val="clear" w:color="auto" w:fill="EEEEEE"/>
          </w:tcPr>
          <w:p>
            <w:pPr>
              <w:spacing w:after="0"/>
              <w:rPr>
                <w:sz w:val="20"/>
                <w:szCs w:val="20"/>
                <w:color w:val="auto"/>
              </w:rPr>
            </w:pPr>
          </w:p>
        </w:tc>
        <w:tc>
          <w:tcPr>
            <w:tcW w:w="2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Federal Realty Management Services, Inc.</w:t>
            </w:r>
          </w:p>
        </w:tc>
        <w:tc>
          <w:tcPr>
            <w:tcW w:w="4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FR Federal Plaza, Inc.</w:t>
            </w:r>
          </w:p>
        </w:tc>
        <w:tc>
          <w:tcPr>
            <w:tcW w:w="44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Arial" w:cs="Arial" w:eastAsia="Arial" w:hAnsi="Arial"/>
                <w:sz w:val="18"/>
                <w:szCs w:val="18"/>
                <w:color w:val="auto"/>
              </w:rPr>
              <w:t>FR Federal Plaza, LLC</w:t>
            </w:r>
          </w:p>
        </w:tc>
        <w:tc>
          <w:tcPr>
            <w:tcW w:w="4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100% (FedPlaza Inc.)</w:t>
            </w: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FR Plaza del Mercado, Inc.</w:t>
            </w:r>
          </w:p>
        </w:tc>
        <w:tc>
          <w:tcPr>
            <w:tcW w:w="44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Arial" w:cs="Arial" w:eastAsia="Arial" w:hAnsi="Arial"/>
                <w:sz w:val="18"/>
                <w:szCs w:val="18"/>
                <w:color w:val="auto"/>
              </w:rPr>
              <w:t>FR Plaza del Mercado, LLC</w:t>
            </w:r>
          </w:p>
        </w:tc>
        <w:tc>
          <w:tcPr>
            <w:tcW w:w="4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100% (Plaza del Merc. Inc.)</w:t>
            </w: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FR Mercer Mall, Inc.</w:t>
            </w:r>
          </w:p>
        </w:tc>
        <w:tc>
          <w:tcPr>
            <w:tcW w:w="44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FR Mercer Mall, LLC</w:t>
            </w:r>
          </w:p>
        </w:tc>
        <w:tc>
          <w:tcPr>
            <w:tcW w:w="4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100% (Mercer, Inc.)</w:t>
            </w: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FR Westgate Mall, Inc.</w:t>
            </w:r>
          </w:p>
        </w:tc>
        <w:tc>
          <w:tcPr>
            <w:tcW w:w="44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FR Westgate Mall, LLC</w:t>
            </w:r>
          </w:p>
        </w:tc>
        <w:tc>
          <w:tcPr>
            <w:tcW w:w="4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100% (Westgate Inc.)</w:t>
            </w: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Street Retail, Inc.</w:t>
            </w:r>
          </w:p>
        </w:tc>
        <w:tc>
          <w:tcPr>
            <w:tcW w:w="44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44" w:lineRule="exact"/>
        <w:rPr>
          <w:sz w:val="20"/>
          <w:szCs w:val="20"/>
          <w:color w:val="auto"/>
        </w:rPr>
      </w:pPr>
    </w:p>
    <w:p>
      <w:pPr>
        <w:ind w:right="760" w:firstLine="8"/>
        <w:spacing w:after="0" w:line="194" w:lineRule="auto"/>
        <w:tabs>
          <w:tab w:leader="none" w:pos="12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An amendment reflecting a reallocation of membership interests has been sent to the members for signature, which would increase the Company’s percentage interest to 64.1030% effective as of January 1, 2004.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4" w:name="page35"/>
    <w:bookmarkEnd w:id="34"/>
    <w:tbl>
      <w:tblPr>
        <w:tblLayout w:type="fixed"/>
        <w:tblInd w:w="1440" w:type="dxa"/>
        <w:tblCellMar>
          <w:top w:w="0" w:type="dxa"/>
          <w:left w:w="0" w:type="dxa"/>
          <w:bottom w:w="0" w:type="dxa"/>
          <w:right w:w="0" w:type="dxa"/>
        </w:tblCellMar>
      </w:tblPr>
      <w:tr>
        <w:trPr>
          <w:trHeight w:val="186"/>
        </w:trPr>
        <w:tc>
          <w:tcPr>
            <w:tcW w:w="5220" w:type="dxa"/>
            <w:vAlign w:val="bottom"/>
          </w:tcPr>
          <w:p>
            <w:pPr>
              <w:ind w:left="1600"/>
              <w:spacing w:after="0"/>
              <w:rPr>
                <w:sz w:val="20"/>
                <w:szCs w:val="20"/>
                <w:color w:val="auto"/>
              </w:rPr>
            </w:pPr>
            <w:r>
              <w:rPr>
                <w:rFonts w:ascii="Arial" w:cs="Arial" w:eastAsia="Arial" w:hAnsi="Arial"/>
                <w:sz w:val="14"/>
                <w:szCs w:val="14"/>
                <w:b w:val="1"/>
                <w:bCs w:val="1"/>
                <w:color w:val="auto"/>
              </w:rPr>
              <w:t>STREET RETAIL, INC. (“SRI”)</w:t>
            </w:r>
          </w:p>
        </w:tc>
        <w:tc>
          <w:tcPr>
            <w:tcW w:w="7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66"/>
        </w:trPr>
        <w:tc>
          <w:tcPr>
            <w:tcW w:w="5220" w:type="dxa"/>
            <w:vAlign w:val="bottom"/>
            <w:tcBorders>
              <w:bottom w:val="single" w:sz="8" w:color="808080"/>
            </w:tcBorders>
          </w:tcPr>
          <w:p>
            <w:pPr>
              <w:spacing w:after="0"/>
              <w:rPr>
                <w:sz w:val="5"/>
                <w:szCs w:val="5"/>
                <w:color w:val="auto"/>
              </w:rPr>
            </w:pPr>
          </w:p>
        </w:tc>
        <w:tc>
          <w:tcPr>
            <w:tcW w:w="3320" w:type="dxa"/>
            <w:vAlign w:val="bottom"/>
            <w:gridSpan w:val="2"/>
          </w:tcPr>
          <w:p>
            <w:pPr>
              <w:spacing w:after="0"/>
              <w:rPr>
                <w:sz w:val="5"/>
                <w:szCs w:val="5"/>
                <w:color w:val="auto"/>
              </w:rPr>
            </w:pPr>
          </w:p>
        </w:tc>
      </w:tr>
      <w:tr>
        <w:trPr>
          <w:trHeight w:val="61"/>
        </w:trPr>
        <w:tc>
          <w:tcPr>
            <w:tcW w:w="5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540" w:type="dxa"/>
            <w:vAlign w:val="bottom"/>
          </w:tcPr>
          <w:p>
            <w:pPr>
              <w:spacing w:after="0"/>
              <w:rPr>
                <w:sz w:val="5"/>
                <w:szCs w:val="5"/>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SRI Old Town, LLC</w:t>
            </w:r>
          </w:p>
        </w:tc>
        <w:tc>
          <w:tcPr>
            <w:tcW w:w="3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100%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Street Retail Forest Hills I, LLC</w:t>
            </w:r>
          </w:p>
        </w:tc>
        <w:tc>
          <w:tcPr>
            <w:tcW w:w="3320" w:type="dxa"/>
            <w:vAlign w:val="bottom"/>
            <w:gridSpan w:val="2"/>
          </w:tcPr>
          <w:p>
            <w:pPr>
              <w:ind w:left="420"/>
              <w:spacing w:after="0"/>
              <w:rPr>
                <w:sz w:val="20"/>
                <w:szCs w:val="20"/>
                <w:color w:val="auto"/>
              </w:rPr>
            </w:pPr>
            <w:r>
              <w:rPr>
                <w:rFonts w:ascii="Arial" w:cs="Arial" w:eastAsia="Arial" w:hAnsi="Arial"/>
                <w:sz w:val="18"/>
                <w:szCs w:val="18"/>
                <w:color w:val="auto"/>
              </w:rPr>
              <w:t>100%</w:t>
            </w: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Street Retail Forest Hills II, LLC</w:t>
            </w:r>
          </w:p>
        </w:tc>
        <w:tc>
          <w:tcPr>
            <w:tcW w:w="3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100%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Street Retail Tempe I, LLC</w:t>
            </w:r>
          </w:p>
        </w:tc>
        <w:tc>
          <w:tcPr>
            <w:tcW w:w="780" w:type="dxa"/>
            <w:vAlign w:val="bottom"/>
          </w:tcPr>
          <w:p>
            <w:pPr>
              <w:ind w:left="420"/>
              <w:spacing w:after="0"/>
              <w:rPr>
                <w:sz w:val="20"/>
                <w:szCs w:val="20"/>
                <w:color w:val="auto"/>
              </w:rPr>
            </w:pPr>
            <w:r>
              <w:rPr>
                <w:rFonts w:ascii="Arial" w:cs="Arial" w:eastAsia="Arial" w:hAnsi="Arial"/>
                <w:sz w:val="18"/>
                <w:szCs w:val="18"/>
                <w:color w:val="auto"/>
                <w:w w:val="94"/>
              </w:rPr>
              <w:t>85%</w:t>
            </w:r>
          </w:p>
        </w:tc>
        <w:tc>
          <w:tcPr>
            <w:tcW w:w="254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Street Retail West GP, Inc. (“SRWGP”)</w:t>
            </w:r>
          </w:p>
        </w:tc>
        <w:tc>
          <w:tcPr>
            <w:tcW w:w="3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100% voting stock</w:t>
            </w:r>
          </w:p>
        </w:tc>
      </w:tr>
      <w:tr>
        <w:trPr>
          <w:trHeight w:val="216"/>
        </w:trPr>
        <w:tc>
          <w:tcPr>
            <w:tcW w:w="5220" w:type="dxa"/>
            <w:vAlign w:val="bottom"/>
          </w:tcPr>
          <w:p>
            <w:pPr>
              <w:ind w:left="140"/>
              <w:spacing w:after="0"/>
              <w:rPr>
                <w:sz w:val="20"/>
                <w:szCs w:val="20"/>
                <w:color w:val="auto"/>
              </w:rPr>
            </w:pPr>
            <w:r>
              <w:rPr>
                <w:rFonts w:ascii="Arial" w:cs="Arial" w:eastAsia="Arial" w:hAnsi="Arial"/>
                <w:sz w:val="18"/>
                <w:szCs w:val="18"/>
                <w:color w:val="auto"/>
              </w:rPr>
              <w:t>Street Retail West I, L.P.</w:t>
            </w:r>
          </w:p>
        </w:tc>
        <w:tc>
          <w:tcPr>
            <w:tcW w:w="780" w:type="dxa"/>
            <w:vAlign w:val="bottom"/>
          </w:tcPr>
          <w:p>
            <w:pPr>
              <w:ind w:left="420"/>
              <w:spacing w:after="0"/>
              <w:rPr>
                <w:sz w:val="20"/>
                <w:szCs w:val="20"/>
                <w:color w:val="auto"/>
              </w:rPr>
            </w:pPr>
            <w:r>
              <w:rPr>
                <w:rFonts w:ascii="Arial" w:cs="Arial" w:eastAsia="Arial" w:hAnsi="Arial"/>
                <w:sz w:val="18"/>
                <w:szCs w:val="18"/>
                <w:color w:val="auto"/>
                <w:w w:val="94"/>
              </w:rPr>
              <w:t>90%</w:t>
            </w:r>
          </w:p>
        </w:tc>
        <w:tc>
          <w:tcPr>
            <w:tcW w:w="2540" w:type="dxa"/>
            <w:vAlign w:val="bottom"/>
          </w:tcPr>
          <w:p>
            <w:pPr>
              <w:ind w:left="20"/>
              <w:spacing w:after="0"/>
              <w:rPr>
                <w:sz w:val="20"/>
                <w:szCs w:val="20"/>
                <w:color w:val="auto"/>
              </w:rPr>
            </w:pPr>
            <w:r>
              <w:rPr>
                <w:rFonts w:ascii="Arial" w:cs="Arial" w:eastAsia="Arial" w:hAnsi="Arial"/>
                <w:sz w:val="18"/>
                <w:szCs w:val="18"/>
                <w:color w:val="auto"/>
              </w:rPr>
              <w:t>(10% SRI)</w:t>
            </w:r>
          </w:p>
        </w:tc>
      </w:tr>
      <w:tr>
        <w:trPr>
          <w:trHeight w:val="216"/>
        </w:trPr>
        <w:tc>
          <w:tcPr>
            <w:tcW w:w="52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Street Retail West II, L.P.</w:t>
            </w:r>
          </w:p>
        </w:tc>
        <w:tc>
          <w:tcPr>
            <w:tcW w:w="780" w:type="dxa"/>
            <w:vAlign w:val="bottom"/>
            <w:shd w:val="clear" w:color="auto" w:fill="EEEEEE"/>
          </w:tcPr>
          <w:p>
            <w:pPr>
              <w:ind w:left="420"/>
              <w:spacing w:after="0"/>
              <w:rPr>
                <w:sz w:val="20"/>
                <w:szCs w:val="20"/>
                <w:color w:val="auto"/>
              </w:rPr>
            </w:pPr>
            <w:r>
              <w:rPr>
                <w:rFonts w:ascii="Arial" w:cs="Arial" w:eastAsia="Arial" w:hAnsi="Arial"/>
                <w:sz w:val="18"/>
                <w:szCs w:val="18"/>
                <w:color w:val="auto"/>
                <w:w w:val="94"/>
              </w:rPr>
              <w:t>90%</w:t>
            </w:r>
          </w:p>
        </w:tc>
        <w:tc>
          <w:tcPr>
            <w:tcW w:w="2540" w:type="dxa"/>
            <w:vAlign w:val="bottom"/>
            <w:shd w:val="clear" w:color="auto" w:fill="EEEEEE"/>
          </w:tcPr>
          <w:p>
            <w:pPr>
              <w:ind w:left="20"/>
              <w:spacing w:after="0"/>
              <w:rPr>
                <w:sz w:val="20"/>
                <w:szCs w:val="20"/>
                <w:color w:val="auto"/>
              </w:rPr>
            </w:pPr>
            <w:r>
              <w:rPr>
                <w:rFonts w:ascii="Arial" w:cs="Arial" w:eastAsia="Arial" w:hAnsi="Arial"/>
                <w:sz w:val="18"/>
                <w:szCs w:val="18"/>
                <w:color w:val="auto"/>
              </w:rPr>
              <w:t>(10% SRI)</w:t>
            </w:r>
          </w:p>
        </w:tc>
      </w:tr>
      <w:tr>
        <w:trPr>
          <w:trHeight w:val="216"/>
        </w:trPr>
        <w:tc>
          <w:tcPr>
            <w:tcW w:w="5220" w:type="dxa"/>
            <w:vAlign w:val="bottom"/>
          </w:tcPr>
          <w:p>
            <w:pPr>
              <w:ind w:left="140"/>
              <w:spacing w:after="0"/>
              <w:rPr>
                <w:sz w:val="20"/>
                <w:szCs w:val="20"/>
                <w:color w:val="auto"/>
              </w:rPr>
            </w:pPr>
            <w:r>
              <w:rPr>
                <w:rFonts w:ascii="Arial" w:cs="Arial" w:eastAsia="Arial" w:hAnsi="Arial"/>
                <w:sz w:val="18"/>
                <w:szCs w:val="18"/>
                <w:color w:val="auto"/>
              </w:rPr>
              <w:t>Street Retail West 3, L.P.</w:t>
            </w:r>
          </w:p>
        </w:tc>
        <w:tc>
          <w:tcPr>
            <w:tcW w:w="780" w:type="dxa"/>
            <w:vAlign w:val="bottom"/>
          </w:tcPr>
          <w:p>
            <w:pPr>
              <w:ind w:left="420"/>
              <w:spacing w:after="0"/>
              <w:rPr>
                <w:sz w:val="20"/>
                <w:szCs w:val="20"/>
                <w:color w:val="auto"/>
              </w:rPr>
            </w:pPr>
            <w:r>
              <w:rPr>
                <w:rFonts w:ascii="Arial" w:cs="Arial" w:eastAsia="Arial" w:hAnsi="Arial"/>
                <w:sz w:val="18"/>
                <w:szCs w:val="18"/>
                <w:color w:val="auto"/>
                <w:w w:val="94"/>
              </w:rPr>
              <w:t>90%</w:t>
            </w:r>
          </w:p>
        </w:tc>
        <w:tc>
          <w:tcPr>
            <w:tcW w:w="2540" w:type="dxa"/>
            <w:vAlign w:val="bottom"/>
          </w:tcPr>
          <w:p>
            <w:pPr>
              <w:ind w:left="20"/>
              <w:spacing w:after="0"/>
              <w:rPr>
                <w:sz w:val="20"/>
                <w:szCs w:val="20"/>
                <w:color w:val="auto"/>
              </w:rPr>
            </w:pPr>
            <w:r>
              <w:rPr>
                <w:rFonts w:ascii="Arial" w:cs="Arial" w:eastAsia="Arial" w:hAnsi="Arial"/>
                <w:sz w:val="18"/>
                <w:szCs w:val="18"/>
                <w:color w:val="auto"/>
              </w:rPr>
              <w:t>(10% SRI)</w:t>
            </w:r>
          </w:p>
        </w:tc>
      </w:tr>
      <w:tr>
        <w:trPr>
          <w:trHeight w:val="216"/>
        </w:trPr>
        <w:tc>
          <w:tcPr>
            <w:tcW w:w="52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Street Retail West 4, L.P.</w:t>
            </w:r>
          </w:p>
        </w:tc>
        <w:tc>
          <w:tcPr>
            <w:tcW w:w="780" w:type="dxa"/>
            <w:vAlign w:val="bottom"/>
            <w:shd w:val="clear" w:color="auto" w:fill="EEEEEE"/>
          </w:tcPr>
          <w:p>
            <w:pPr>
              <w:ind w:left="420"/>
              <w:spacing w:after="0"/>
              <w:rPr>
                <w:sz w:val="20"/>
                <w:szCs w:val="20"/>
                <w:color w:val="auto"/>
              </w:rPr>
            </w:pPr>
            <w:r>
              <w:rPr>
                <w:rFonts w:ascii="Arial" w:cs="Arial" w:eastAsia="Arial" w:hAnsi="Arial"/>
                <w:sz w:val="18"/>
                <w:szCs w:val="18"/>
                <w:color w:val="auto"/>
                <w:w w:val="94"/>
              </w:rPr>
              <w:t>90%</w:t>
            </w:r>
          </w:p>
        </w:tc>
        <w:tc>
          <w:tcPr>
            <w:tcW w:w="2540" w:type="dxa"/>
            <w:vAlign w:val="bottom"/>
            <w:shd w:val="clear" w:color="auto" w:fill="EEEEEE"/>
          </w:tcPr>
          <w:p>
            <w:pPr>
              <w:spacing w:after="0"/>
              <w:rPr>
                <w:sz w:val="18"/>
                <w:szCs w:val="18"/>
                <w:color w:val="auto"/>
              </w:rPr>
            </w:pPr>
          </w:p>
        </w:tc>
      </w:tr>
      <w:tr>
        <w:trPr>
          <w:trHeight w:val="216"/>
        </w:trPr>
        <w:tc>
          <w:tcPr>
            <w:tcW w:w="5220" w:type="dxa"/>
            <w:vAlign w:val="bottom"/>
          </w:tcPr>
          <w:p>
            <w:pPr>
              <w:ind w:left="140"/>
              <w:spacing w:after="0"/>
              <w:rPr>
                <w:sz w:val="20"/>
                <w:szCs w:val="20"/>
                <w:color w:val="auto"/>
              </w:rPr>
            </w:pPr>
            <w:r>
              <w:rPr>
                <w:rFonts w:ascii="Arial" w:cs="Arial" w:eastAsia="Arial" w:hAnsi="Arial"/>
                <w:sz w:val="18"/>
                <w:szCs w:val="18"/>
                <w:color w:val="auto"/>
              </w:rPr>
              <w:t>Street Retail West 6, L.P.</w:t>
            </w:r>
          </w:p>
        </w:tc>
        <w:tc>
          <w:tcPr>
            <w:tcW w:w="780" w:type="dxa"/>
            <w:vAlign w:val="bottom"/>
          </w:tcPr>
          <w:p>
            <w:pPr>
              <w:ind w:left="420"/>
              <w:spacing w:after="0"/>
              <w:rPr>
                <w:sz w:val="20"/>
                <w:szCs w:val="20"/>
                <w:color w:val="auto"/>
              </w:rPr>
            </w:pPr>
            <w:r>
              <w:rPr>
                <w:rFonts w:ascii="Arial" w:cs="Arial" w:eastAsia="Arial" w:hAnsi="Arial"/>
                <w:sz w:val="18"/>
                <w:szCs w:val="18"/>
                <w:color w:val="auto"/>
                <w:w w:val="94"/>
              </w:rPr>
              <w:t>90%</w:t>
            </w:r>
          </w:p>
        </w:tc>
        <w:tc>
          <w:tcPr>
            <w:tcW w:w="2540" w:type="dxa"/>
            <w:vAlign w:val="bottom"/>
          </w:tcPr>
          <w:p>
            <w:pPr>
              <w:spacing w:after="0"/>
              <w:rPr>
                <w:sz w:val="18"/>
                <w:szCs w:val="18"/>
                <w:color w:val="auto"/>
              </w:rPr>
            </w:pPr>
          </w:p>
        </w:tc>
      </w:tr>
      <w:tr>
        <w:trPr>
          <w:trHeight w:val="216"/>
        </w:trPr>
        <w:tc>
          <w:tcPr>
            <w:tcW w:w="52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Street Retail West 7, L.P.</w:t>
            </w:r>
          </w:p>
        </w:tc>
        <w:tc>
          <w:tcPr>
            <w:tcW w:w="780" w:type="dxa"/>
            <w:vAlign w:val="bottom"/>
            <w:shd w:val="clear" w:color="auto" w:fill="EEEEEE"/>
          </w:tcPr>
          <w:p>
            <w:pPr>
              <w:ind w:left="420"/>
              <w:spacing w:after="0"/>
              <w:rPr>
                <w:sz w:val="20"/>
                <w:szCs w:val="20"/>
                <w:color w:val="auto"/>
              </w:rPr>
            </w:pPr>
            <w:r>
              <w:rPr>
                <w:rFonts w:ascii="Arial" w:cs="Arial" w:eastAsia="Arial" w:hAnsi="Arial"/>
                <w:sz w:val="18"/>
                <w:szCs w:val="18"/>
                <w:color w:val="auto"/>
                <w:w w:val="94"/>
              </w:rPr>
              <w:t>90%</w:t>
            </w:r>
          </w:p>
        </w:tc>
        <w:tc>
          <w:tcPr>
            <w:tcW w:w="2540" w:type="dxa"/>
            <w:vAlign w:val="bottom"/>
            <w:shd w:val="clear" w:color="auto" w:fill="EEEEEE"/>
          </w:tcPr>
          <w:p>
            <w:pPr>
              <w:spacing w:after="0"/>
              <w:rPr>
                <w:sz w:val="18"/>
                <w:szCs w:val="18"/>
                <w:color w:val="auto"/>
              </w:rPr>
            </w:pPr>
          </w:p>
        </w:tc>
      </w:tr>
      <w:tr>
        <w:trPr>
          <w:trHeight w:val="216"/>
        </w:trPr>
        <w:tc>
          <w:tcPr>
            <w:tcW w:w="5220" w:type="dxa"/>
            <w:vAlign w:val="bottom"/>
          </w:tcPr>
          <w:p>
            <w:pPr>
              <w:ind w:left="140"/>
              <w:spacing w:after="0"/>
              <w:rPr>
                <w:sz w:val="20"/>
                <w:szCs w:val="20"/>
                <w:color w:val="auto"/>
              </w:rPr>
            </w:pPr>
            <w:r>
              <w:rPr>
                <w:rFonts w:ascii="Arial" w:cs="Arial" w:eastAsia="Arial" w:hAnsi="Arial"/>
                <w:sz w:val="18"/>
                <w:szCs w:val="18"/>
                <w:color w:val="auto"/>
              </w:rPr>
              <w:t>Street Retail West 10, L.P.</w:t>
            </w:r>
          </w:p>
        </w:tc>
        <w:tc>
          <w:tcPr>
            <w:tcW w:w="780" w:type="dxa"/>
            <w:vAlign w:val="bottom"/>
          </w:tcPr>
          <w:p>
            <w:pPr>
              <w:ind w:left="420"/>
              <w:spacing w:after="0"/>
              <w:rPr>
                <w:sz w:val="20"/>
                <w:szCs w:val="20"/>
                <w:color w:val="auto"/>
              </w:rPr>
            </w:pPr>
            <w:r>
              <w:rPr>
                <w:rFonts w:ascii="Arial" w:cs="Arial" w:eastAsia="Arial" w:hAnsi="Arial"/>
                <w:sz w:val="18"/>
                <w:szCs w:val="18"/>
                <w:color w:val="auto"/>
                <w:w w:val="94"/>
              </w:rPr>
              <w:t>90%</w:t>
            </w:r>
          </w:p>
        </w:tc>
        <w:tc>
          <w:tcPr>
            <w:tcW w:w="254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Street Retail San Antonio, LP</w:t>
            </w:r>
          </w:p>
        </w:tc>
        <w:tc>
          <w:tcPr>
            <w:tcW w:w="3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.1% (SRI San Anton)</w:t>
            </w:r>
          </w:p>
        </w:tc>
      </w:tr>
      <w:tr>
        <w:trPr>
          <w:trHeight w:val="216"/>
        </w:trPr>
        <w:tc>
          <w:tcPr>
            <w:tcW w:w="5220" w:type="dxa"/>
            <w:vAlign w:val="bottom"/>
            <w:shd w:val="clear" w:color="auto" w:fill="EEEEEE"/>
          </w:tcPr>
          <w:p>
            <w:pPr>
              <w:spacing w:after="0"/>
              <w:rPr>
                <w:sz w:val="18"/>
                <w:szCs w:val="18"/>
                <w:color w:val="auto"/>
              </w:rPr>
            </w:pPr>
          </w:p>
        </w:tc>
        <w:tc>
          <w:tcPr>
            <w:tcW w:w="3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99.9% (SRI Texas)</w:t>
            </w: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rPr>
              <w:t>SRI San Antonio, Inc. (f/k/a Dim Sum, Inc. f/k/a FR Acquisition</w:t>
            </w:r>
          </w:p>
        </w:tc>
        <w:tc>
          <w:tcPr>
            <w:tcW w:w="33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100% voting stock</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Holding Co., Inc.)</w:t>
            </w:r>
          </w:p>
        </w:tc>
        <w:tc>
          <w:tcPr>
            <w:tcW w:w="78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SRI Texas, Inc.</w:t>
            </w:r>
          </w:p>
        </w:tc>
        <w:tc>
          <w:tcPr>
            <w:tcW w:w="3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100% voting stock</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JS&amp;DB, Inc.</w:t>
            </w:r>
          </w:p>
        </w:tc>
        <w:tc>
          <w:tcPr>
            <w:tcW w:w="3320" w:type="dxa"/>
            <w:vAlign w:val="bottom"/>
            <w:gridSpan w:val="2"/>
          </w:tcPr>
          <w:p>
            <w:pPr>
              <w:ind w:left="420"/>
              <w:spacing w:after="0"/>
              <w:rPr>
                <w:sz w:val="20"/>
                <w:szCs w:val="20"/>
                <w:color w:val="auto"/>
              </w:rPr>
            </w:pPr>
            <w:r>
              <w:rPr>
                <w:rFonts w:ascii="Arial" w:cs="Arial" w:eastAsia="Arial" w:hAnsi="Arial"/>
                <w:sz w:val="18"/>
                <w:szCs w:val="18"/>
                <w:color w:val="auto"/>
              </w:rPr>
              <w:t>100% voting stock</w:t>
            </w: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SRI Holding Company, Inc.</w:t>
            </w:r>
          </w:p>
        </w:tc>
        <w:tc>
          <w:tcPr>
            <w:tcW w:w="3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100% nonvoting stock</w:t>
            </w:r>
          </w:p>
        </w:tc>
      </w:tr>
      <w:tr>
        <w:trPr>
          <w:trHeight w:val="216"/>
        </w:trPr>
        <w:tc>
          <w:tcPr>
            <w:tcW w:w="5220" w:type="dxa"/>
            <w:vAlign w:val="bottom"/>
          </w:tcPr>
          <w:p>
            <w:pPr>
              <w:ind w:left="140"/>
              <w:spacing w:after="0"/>
              <w:rPr>
                <w:sz w:val="20"/>
                <w:szCs w:val="20"/>
                <w:color w:val="auto"/>
              </w:rPr>
            </w:pPr>
            <w:r>
              <w:rPr>
                <w:rFonts w:ascii="Arial" w:cs="Arial" w:eastAsia="Arial" w:hAnsi="Arial"/>
                <w:sz w:val="18"/>
                <w:szCs w:val="18"/>
                <w:color w:val="auto"/>
              </w:rPr>
              <w:t>Street Retail West 9, L.P.</w:t>
            </w:r>
          </w:p>
        </w:tc>
        <w:tc>
          <w:tcPr>
            <w:tcW w:w="780" w:type="dxa"/>
            <w:vAlign w:val="bottom"/>
          </w:tcPr>
          <w:p>
            <w:pPr>
              <w:ind w:left="420"/>
              <w:spacing w:after="0"/>
              <w:rPr>
                <w:sz w:val="20"/>
                <w:szCs w:val="20"/>
                <w:color w:val="auto"/>
              </w:rPr>
            </w:pPr>
            <w:r>
              <w:rPr>
                <w:rFonts w:ascii="Arial" w:cs="Arial" w:eastAsia="Arial" w:hAnsi="Arial"/>
                <w:sz w:val="18"/>
                <w:szCs w:val="18"/>
                <w:color w:val="auto"/>
                <w:w w:val="94"/>
              </w:rPr>
              <w:t>90%</w:t>
            </w:r>
          </w:p>
        </w:tc>
        <w:tc>
          <w:tcPr>
            <w:tcW w:w="2540" w:type="dxa"/>
            <w:vAlign w:val="bottom"/>
          </w:tcPr>
          <w:p>
            <w:pPr>
              <w:ind w:left="20"/>
              <w:spacing w:after="0"/>
              <w:rPr>
                <w:sz w:val="20"/>
                <w:szCs w:val="20"/>
                <w:color w:val="auto"/>
              </w:rPr>
            </w:pPr>
            <w:r>
              <w:rPr>
                <w:rFonts w:ascii="Arial" w:cs="Arial" w:eastAsia="Arial" w:hAnsi="Arial"/>
                <w:sz w:val="18"/>
                <w:szCs w:val="18"/>
                <w:color w:val="auto"/>
              </w:rPr>
              <w:t>(SRI Holding)</w:t>
            </w: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FRIT San Jose Town and Country Village, LLC</w:t>
            </w:r>
          </w:p>
        </w:tc>
        <w:tc>
          <w:tcPr>
            <w:tcW w:w="3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100%</w:t>
            </w:r>
          </w:p>
        </w:tc>
      </w:tr>
      <w:tr>
        <w:trPr>
          <w:trHeight w:val="216"/>
        </w:trPr>
        <w:tc>
          <w:tcPr>
            <w:tcW w:w="5220" w:type="dxa"/>
            <w:vAlign w:val="bottom"/>
          </w:tcPr>
          <w:p>
            <w:pPr>
              <w:ind w:left="140"/>
              <w:spacing w:after="0"/>
              <w:rPr>
                <w:sz w:val="20"/>
                <w:szCs w:val="20"/>
                <w:color w:val="auto"/>
              </w:rPr>
            </w:pPr>
            <w:r>
              <w:rPr>
                <w:rFonts w:ascii="Arial" w:cs="Arial" w:eastAsia="Arial" w:hAnsi="Arial"/>
                <w:sz w:val="18"/>
                <w:szCs w:val="18"/>
                <w:color w:val="auto"/>
              </w:rPr>
              <w:t>San Jose Residential, Inc.</w:t>
            </w:r>
          </w:p>
        </w:tc>
        <w:tc>
          <w:tcPr>
            <w:tcW w:w="3320" w:type="dxa"/>
            <w:vAlign w:val="bottom"/>
            <w:gridSpan w:val="2"/>
          </w:tcPr>
          <w:p>
            <w:pPr>
              <w:ind w:left="420"/>
              <w:spacing w:after="0"/>
              <w:rPr>
                <w:sz w:val="20"/>
                <w:szCs w:val="20"/>
                <w:color w:val="auto"/>
              </w:rPr>
            </w:pPr>
            <w:r>
              <w:rPr>
                <w:rFonts w:ascii="Arial" w:cs="Arial" w:eastAsia="Arial" w:hAnsi="Arial"/>
                <w:sz w:val="18"/>
                <w:szCs w:val="18"/>
                <w:color w:val="auto"/>
              </w:rPr>
              <w:t>100% nonvoting stock (LLC)</w:t>
            </w: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Santana Row Services, Inc.</w:t>
            </w:r>
          </w:p>
        </w:tc>
        <w:tc>
          <w:tcPr>
            <w:tcW w:w="3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100% voting</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Santana Row ROF, Inc.</w:t>
            </w:r>
          </w:p>
        </w:tc>
        <w:tc>
          <w:tcPr>
            <w:tcW w:w="3320" w:type="dxa"/>
            <w:vAlign w:val="bottom"/>
            <w:gridSpan w:val="2"/>
          </w:tcPr>
          <w:p>
            <w:pPr>
              <w:ind w:left="420"/>
              <w:spacing w:after="0"/>
              <w:rPr>
                <w:sz w:val="20"/>
                <w:szCs w:val="20"/>
                <w:color w:val="auto"/>
              </w:rPr>
            </w:pPr>
            <w:r>
              <w:rPr>
                <w:rFonts w:ascii="Arial" w:cs="Arial" w:eastAsia="Arial" w:hAnsi="Arial"/>
                <w:sz w:val="18"/>
                <w:szCs w:val="18"/>
                <w:color w:val="auto"/>
              </w:rPr>
              <w:t>100% voting</w:t>
            </w:r>
          </w:p>
        </w:tc>
      </w:tr>
      <w:tr>
        <w:trPr>
          <w:trHeight w:val="216"/>
        </w:trPr>
        <w:tc>
          <w:tcPr>
            <w:tcW w:w="52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La Rive Gauche San Jose, LLC</w:t>
            </w:r>
          </w:p>
        </w:tc>
        <w:tc>
          <w:tcPr>
            <w:tcW w:w="33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37.5%</w:t>
            </w:r>
          </w:p>
        </w:tc>
      </w:tr>
      <w:tr>
        <w:trPr>
          <w:trHeight w:val="216"/>
        </w:trPr>
        <w:tc>
          <w:tcPr>
            <w:tcW w:w="5220" w:type="dxa"/>
            <w:vAlign w:val="bottom"/>
          </w:tcPr>
          <w:p>
            <w:pPr>
              <w:ind w:left="140"/>
              <w:spacing w:after="0"/>
              <w:rPr>
                <w:sz w:val="20"/>
                <w:szCs w:val="20"/>
                <w:color w:val="auto"/>
              </w:rPr>
            </w:pPr>
            <w:r>
              <w:rPr>
                <w:rFonts w:ascii="Arial" w:cs="Arial" w:eastAsia="Arial" w:hAnsi="Arial"/>
                <w:sz w:val="18"/>
                <w:szCs w:val="18"/>
                <w:color w:val="auto"/>
              </w:rPr>
              <w:t>Straits Santana Row, LLC</w:t>
            </w:r>
          </w:p>
        </w:tc>
        <w:tc>
          <w:tcPr>
            <w:tcW w:w="780" w:type="dxa"/>
            <w:vAlign w:val="bottom"/>
          </w:tcPr>
          <w:p>
            <w:pPr>
              <w:ind w:left="420"/>
              <w:spacing w:after="0"/>
              <w:rPr>
                <w:sz w:val="20"/>
                <w:szCs w:val="20"/>
                <w:color w:val="auto"/>
              </w:rPr>
            </w:pPr>
            <w:r>
              <w:rPr>
                <w:rFonts w:ascii="Arial" w:cs="Arial" w:eastAsia="Arial" w:hAnsi="Arial"/>
                <w:sz w:val="18"/>
                <w:szCs w:val="18"/>
                <w:color w:val="auto"/>
                <w:w w:val="94"/>
              </w:rPr>
              <w:t>90%</w:t>
            </w:r>
          </w:p>
        </w:tc>
        <w:tc>
          <w:tcPr>
            <w:tcW w:w="2540" w:type="dxa"/>
            <w:vAlign w:val="bottom"/>
          </w:tcPr>
          <w:p>
            <w:pPr>
              <w:spacing w:after="0"/>
              <w:rPr>
                <w:sz w:val="18"/>
                <w:szCs w:val="18"/>
                <w:color w:val="auto"/>
              </w:rPr>
            </w:pPr>
          </w:p>
        </w:tc>
      </w:tr>
      <w:tr>
        <w:trPr>
          <w:trHeight w:val="216"/>
        </w:trPr>
        <w:tc>
          <w:tcPr>
            <w:tcW w:w="52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Blowfish SR, LLC</w:t>
            </w:r>
          </w:p>
        </w:tc>
        <w:tc>
          <w:tcPr>
            <w:tcW w:w="780" w:type="dxa"/>
            <w:vAlign w:val="bottom"/>
            <w:shd w:val="clear" w:color="auto" w:fill="EEEEEE"/>
          </w:tcPr>
          <w:p>
            <w:pPr>
              <w:ind w:left="420"/>
              <w:spacing w:after="0"/>
              <w:rPr>
                <w:sz w:val="20"/>
                <w:szCs w:val="20"/>
                <w:color w:val="auto"/>
              </w:rPr>
            </w:pPr>
            <w:r>
              <w:rPr>
                <w:rFonts w:ascii="Arial" w:cs="Arial" w:eastAsia="Arial" w:hAnsi="Arial"/>
                <w:sz w:val="18"/>
                <w:szCs w:val="18"/>
                <w:color w:val="auto"/>
                <w:w w:val="94"/>
              </w:rPr>
              <w:t>30%</w:t>
            </w:r>
          </w:p>
        </w:tc>
        <w:tc>
          <w:tcPr>
            <w:tcW w:w="2540" w:type="dxa"/>
            <w:vAlign w:val="bottom"/>
            <w:shd w:val="clear" w:color="auto" w:fill="EEEEEE"/>
          </w:tcPr>
          <w:p>
            <w:pPr>
              <w:spacing w:after="0"/>
              <w:rPr>
                <w:sz w:val="18"/>
                <w:szCs w:val="18"/>
                <w:color w:val="auto"/>
              </w:rPr>
            </w:pPr>
          </w:p>
        </w:tc>
      </w:tr>
      <w:tr>
        <w:trPr>
          <w:trHeight w:val="216"/>
        </w:trPr>
        <w:tc>
          <w:tcPr>
            <w:tcW w:w="5220" w:type="dxa"/>
            <w:vAlign w:val="bottom"/>
          </w:tcPr>
          <w:p>
            <w:pPr>
              <w:ind w:left="140"/>
              <w:spacing w:after="0"/>
              <w:rPr>
                <w:sz w:val="20"/>
                <w:szCs w:val="20"/>
                <w:color w:val="auto"/>
              </w:rPr>
            </w:pPr>
            <w:r>
              <w:rPr>
                <w:rFonts w:ascii="Arial" w:cs="Arial" w:eastAsia="Arial" w:hAnsi="Arial"/>
                <w:sz w:val="18"/>
                <w:szCs w:val="18"/>
                <w:color w:val="auto"/>
              </w:rPr>
              <w:t>Village Café Santana Row, LLC</w:t>
            </w:r>
          </w:p>
        </w:tc>
        <w:tc>
          <w:tcPr>
            <w:tcW w:w="3320" w:type="dxa"/>
            <w:vAlign w:val="bottom"/>
            <w:gridSpan w:val="2"/>
          </w:tcPr>
          <w:p>
            <w:pPr>
              <w:ind w:left="420"/>
              <w:spacing w:after="0"/>
              <w:rPr>
                <w:sz w:val="20"/>
                <w:szCs w:val="20"/>
                <w:color w:val="auto"/>
              </w:rPr>
            </w:pPr>
            <w:r>
              <w:rPr>
                <w:rFonts w:ascii="Arial" w:cs="Arial" w:eastAsia="Arial" w:hAnsi="Arial"/>
                <w:sz w:val="18"/>
                <w:szCs w:val="18"/>
                <w:color w:val="auto"/>
              </w:rPr>
              <w:t>49.3%</w:t>
            </w:r>
          </w:p>
        </w:tc>
      </w:tr>
      <w:tr>
        <w:trPr>
          <w:trHeight w:val="216"/>
        </w:trPr>
        <w:tc>
          <w:tcPr>
            <w:tcW w:w="52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Yankee Pier Santana Row, LLC</w:t>
            </w:r>
          </w:p>
        </w:tc>
        <w:tc>
          <w:tcPr>
            <w:tcW w:w="780" w:type="dxa"/>
            <w:vAlign w:val="bottom"/>
            <w:shd w:val="clear" w:color="auto" w:fill="EEEEEE"/>
          </w:tcPr>
          <w:p>
            <w:pPr>
              <w:ind w:left="420"/>
              <w:spacing w:after="0"/>
              <w:rPr>
                <w:sz w:val="20"/>
                <w:szCs w:val="20"/>
                <w:color w:val="auto"/>
              </w:rPr>
            </w:pPr>
            <w:r>
              <w:rPr>
                <w:rFonts w:ascii="Arial" w:cs="Arial" w:eastAsia="Arial" w:hAnsi="Arial"/>
                <w:sz w:val="18"/>
                <w:szCs w:val="18"/>
                <w:color w:val="auto"/>
                <w:w w:val="94"/>
              </w:rPr>
              <w:t>75%</w:t>
            </w:r>
          </w:p>
        </w:tc>
        <w:tc>
          <w:tcPr>
            <w:tcW w:w="2540" w:type="dxa"/>
            <w:vAlign w:val="bottom"/>
            <w:shd w:val="clear" w:color="auto" w:fill="EEEEEE"/>
          </w:tcPr>
          <w:p>
            <w:pPr>
              <w:spacing w:after="0"/>
              <w:rPr>
                <w:sz w:val="18"/>
                <w:szCs w:val="18"/>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Pizza Antica, LLC</w:t>
            </w:r>
          </w:p>
        </w:tc>
        <w:tc>
          <w:tcPr>
            <w:tcW w:w="780" w:type="dxa"/>
            <w:vAlign w:val="bottom"/>
          </w:tcPr>
          <w:p>
            <w:pPr>
              <w:ind w:left="420"/>
              <w:spacing w:after="0"/>
              <w:rPr>
                <w:sz w:val="20"/>
                <w:szCs w:val="20"/>
                <w:color w:val="auto"/>
              </w:rPr>
            </w:pPr>
            <w:r>
              <w:rPr>
                <w:rFonts w:ascii="Arial" w:cs="Arial" w:eastAsia="Arial" w:hAnsi="Arial"/>
                <w:sz w:val="18"/>
                <w:szCs w:val="18"/>
                <w:color w:val="auto"/>
                <w:w w:val="94"/>
              </w:rPr>
              <w:t>20%</w:t>
            </w:r>
          </w:p>
        </w:tc>
        <w:tc>
          <w:tcPr>
            <w:tcW w:w="2540" w:type="dxa"/>
            <w:vAlign w:val="bottom"/>
          </w:tcPr>
          <w:p>
            <w:pPr>
              <w:spacing w:after="0"/>
              <w:rPr>
                <w:sz w:val="20"/>
                <w:szCs w:val="20"/>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3"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ANNEX IV</w:t>
      </w:r>
    </w:p>
    <w:p>
      <w:pPr>
        <w:spacing w:after="0" w:line="20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[Form of Lock-Up Agreement]</w:t>
      </w:r>
    </w:p>
    <w:p>
      <w:pPr>
        <w:spacing w:after="0" w:line="18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Shares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l, 2004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St. Paul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 xml:space="preserve">This letter is being delivered to you in connection with the proposed Pricing Agreement dated as of April l, 2004 (the “Agreement”), between Federal Realty Investment Trust, a Maryland real estate investment trust (the “Company”), and you, relating to an underwritten public offering of the Company’s common shares of beneficial interest, par value $0.01 (the “Common Shares”). </w:t>
      </w:r>
      <w:r>
        <w:rPr>
          <w:rFonts w:ascii="Arial" w:cs="Arial" w:eastAsia="Arial" w:hAnsi="Arial"/>
          <w:sz w:val="18"/>
          <w:szCs w:val="18"/>
          <w:b w:val="1"/>
          <w:bCs w:val="1"/>
          <w:color w:val="auto"/>
        </w:rPr>
        <w:t>[Note: If the Designated Shares are Preferred Shares, change references</w:t>
      </w:r>
      <w:r>
        <w:rPr>
          <w:rFonts w:ascii="Arial" w:cs="Arial" w:eastAsia="Arial" w:hAnsi="Arial"/>
          <w:sz w:val="18"/>
          <w:szCs w:val="18"/>
          <w:color w:val="auto"/>
        </w:rPr>
        <w:t xml:space="preserve"> </w:t>
      </w:r>
      <w:r>
        <w:rPr>
          <w:rFonts w:ascii="Arial" w:cs="Arial" w:eastAsia="Arial" w:hAnsi="Arial"/>
          <w:sz w:val="18"/>
          <w:szCs w:val="18"/>
          <w:b w:val="1"/>
          <w:bCs w:val="1"/>
          <w:color w:val="auto"/>
        </w:rPr>
        <w:t>from “Common Shares” to “Preferred Shares,” as appropriate.]</w:t>
      </w:r>
    </w:p>
    <w:p>
      <w:pPr>
        <w:spacing w:after="0" w:line="160"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In order to induce you to enter into the Agreement, the undersigned will not, without the prior written consent of Wachovia Capital Markets, LLC, offer, sell, contract to sell, pledge or otherwise dispose of (or enter into any transaction that is designed to, or might reasonably be expected to, result in the disposition of (whether by actual disposition or effective economic disposition due to cash settlement or otherwise) by the undersigned),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capital shares of the Company or any securities convertible into or exercisable, redeemable or exchangeable for such capital shares (in each case whether now owned or hereinafter acquired by the Company), or publicly announce an intention to effect any such transaction, for a period beginning on and including the date of the Agreement through and including the date which is 60 days after the date of the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contained herein shall prohibit the exercise of stock options by the undersigned under the Company’s stock option plans for employees or trustees or other purchases by the undersigned of capital shares of the Company or any securities convertible into or exercisable, redeemable or exchangeable for such capital shares under the Company’s stock purchase plan for employees or trustees, in each case as such plans are in effect on the date of the Agreement (provided that the undersigned understands and agrees that any and all capital shares of the Company and securities convertible into or exercisable, redeemable or exchangeable for such capital shares that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6" w:name="page37"/>
    <w:bookmarkEnd w:id="36"/>
    <w:p>
      <w:pPr>
        <w:ind w:right="40"/>
        <w:spacing w:after="0" w:line="283" w:lineRule="auto"/>
        <w:rPr>
          <w:sz w:val="20"/>
          <w:szCs w:val="20"/>
          <w:color w:val="auto"/>
        </w:rPr>
      </w:pPr>
      <w:r>
        <w:rPr>
          <w:rFonts w:ascii="Arial" w:cs="Arial" w:eastAsia="Arial" w:hAnsi="Arial"/>
          <w:sz w:val="16"/>
          <w:szCs w:val="16"/>
          <w:color w:val="auto"/>
        </w:rPr>
        <w:t xml:space="preserve">undersigned acquires on or after the date of this agreement (including, without limitation, upon the exercise of stock options or purchases under the Company’s stock purchase plan for employees or trustees) shall be subject to the terms and provisions of this agreement and, without limitation to the foregoing, the undersigned further understands and agrees that the undersigned will not transfer, sell or otherwise dispose of, directly or indirectly (including, without limitation, through a broker or dealer), any capital shares of the Company or any securities convertible into or exercisable, redeemable or exchangeable for such capital shares in payment of all or any portion of the exercise price of any such stock options exercised by the undersigned under any such stock option plans or in payment of all or any portion of the purchase price of any such capital shares or other securities purchased by the undersigned under any such stock purchase plans or otherwise effect a so-called “cashless” exercise or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undersigned may donate any capital shares of the Company or any securities convertible into or exercisable, redeemable or exchangeable for such capital shares to members of the undersigned’s immediate family, to a trust the beneficiaries of which are exclusively the undersigned or members of the undersigned’s immediate family or to charitable or educational organizations without the prior written consent of Wachovia Capital Markets, LLC if, in each case (i) such donation is a bona fide gift, (ii) the undersigned provides written notice of such gift to Wachovia Capital Markets, LLC no later than three business days prior to such gift, and</w:t>
      </w:r>
    </w:p>
    <w:p>
      <w:pPr>
        <w:spacing w:after="0" w:line="5" w:lineRule="exact"/>
        <w:rPr>
          <w:sz w:val="20"/>
          <w:szCs w:val="20"/>
          <w:color w:val="auto"/>
        </w:rPr>
      </w:pPr>
    </w:p>
    <w:p>
      <w:pPr>
        <w:ind w:firstLine="8"/>
        <w:spacing w:after="0" w:line="268" w:lineRule="auto"/>
        <w:tabs>
          <w:tab w:leader="none" w:pos="3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the donee executes and delivers to Wachovia Capital Markets, LLC, prior to or contemporaneously with such gift, a letter agreement, in form and substance reasonably satisfactory to Wachovia Capital Markets, LLC, in substantially the form of this letter agreement; </w:t>
      </w:r>
      <w:r>
        <w:rPr>
          <w:rFonts w:ascii="Arial" w:cs="Arial" w:eastAsia="Arial" w:hAnsi="Arial"/>
          <w:sz w:val="17"/>
          <w:szCs w:val="17"/>
          <w:b w:val="1"/>
          <w:bCs w:val="1"/>
          <w:color w:val="auto"/>
        </w:rPr>
        <w:t>[The following clause to be included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only in the lock-up agreement signed by Mr. Larry E. Finger and Donald C. Wood -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undersigned may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Common Shares having a value of up to </w:t>
      </w:r>
      <w:r>
        <w:rPr>
          <w:rFonts w:ascii="Arial" w:cs="Arial" w:eastAsia="Arial" w:hAnsi="Arial"/>
          <w:sz w:val="17"/>
          <w:szCs w:val="17"/>
          <w:b w:val="1"/>
          <w:bCs w:val="1"/>
          <w:color w:val="auto"/>
        </w:rPr>
        <w:t>[</w:t>
      </w:r>
      <w:r>
        <w:rPr>
          <w:rFonts w:ascii="Arial" w:cs="Arial" w:eastAsia="Arial" w:hAnsi="Arial"/>
          <w:sz w:val="17"/>
          <w:szCs w:val="17"/>
          <w:color w:val="auto"/>
        </w:rPr>
        <w:t>$100,000 for Mr. Finger</w:t>
      </w:r>
      <w:r>
        <w:rPr>
          <w:rFonts w:ascii="Arial" w:cs="Arial" w:eastAsia="Arial" w:hAnsi="Arial"/>
          <w:sz w:val="17"/>
          <w:szCs w:val="17"/>
          <w:b w:val="1"/>
          <w:bCs w:val="1"/>
          <w:color w:val="auto"/>
        </w:rPr>
        <w:t>] [</w:t>
      </w:r>
      <w:r>
        <w:rPr>
          <w:rFonts w:ascii="Arial" w:cs="Arial" w:eastAsia="Arial" w:hAnsi="Arial"/>
          <w:sz w:val="17"/>
          <w:szCs w:val="17"/>
          <w:color w:val="auto"/>
        </w:rPr>
        <w:t>$200,000 for Mr. Wood</w:t>
      </w:r>
      <w:r>
        <w:rPr>
          <w:rFonts w:ascii="Arial" w:cs="Arial" w:eastAsia="Arial" w:hAnsi="Arial"/>
          <w:sz w:val="17"/>
          <w:szCs w:val="17"/>
          <w:b w:val="1"/>
          <w:bCs w:val="1"/>
          <w:color w:val="auto"/>
        </w:rPr>
        <w:t>]</w:t>
      </w:r>
      <w:r>
        <w:rPr>
          <w:rFonts w:ascii="Arial" w:cs="Arial" w:eastAsia="Arial" w:hAnsi="Arial"/>
          <w:sz w:val="17"/>
          <w:szCs w:val="17"/>
          <w:color w:val="auto"/>
        </w:rPr>
        <w:t xml:space="preserve"> to any person for the purpose of providing proceeds to pay income and other taxes incurred by the undersigned as a result of the vesting in February 2004 of Common Shares that are controlled by the undersigned, without notice to, or the consent of, Wachovia Capital Markets, LLC</w:t>
      </w:r>
      <w:r>
        <w:rPr>
          <w:rFonts w:ascii="Arial" w:cs="Arial" w:eastAsia="Arial" w:hAnsi="Arial"/>
          <w:sz w:val="17"/>
          <w:szCs w:val="17"/>
          <w:b w:val="1"/>
          <w:bCs w:val="1"/>
          <w:color w:val="auto"/>
        </w:rPr>
        <w:t>]</w:t>
      </w:r>
      <w:r>
        <w:rPr>
          <w:rFonts w:ascii="Arial" w:cs="Arial" w:eastAsia="Arial" w:hAnsi="Arial"/>
          <w:sz w:val="17"/>
          <w:szCs w:val="17"/>
          <w:color w:val="auto"/>
        </w:rPr>
        <w:t>. For purposes of this paragraph, “immediate family” shall mean a spouse, lineal descendent, father, mother, brother or sister of the transferor. As used in this agreement, the term “capital shares” includes, without limitation, Common Shares and the Company’s preferred shares of beneficial interest, par value $0.01 per share.</w:t>
      </w:r>
    </w:p>
    <w:p>
      <w:pPr>
        <w:spacing w:after="0" w:line="15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If for any reason the Agreement shall be terminated prior to the Time of Delivery (as defined in the Agreement), the agreement set forth above shall likewise be terminated.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Immediately Follows]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In witness whereof, the undersigned has executed and delivered this letter agreement as of the day and year first set forth above.</w:t>
      </w:r>
    </w:p>
    <w:p>
      <w:pPr>
        <w:spacing w:after="0" w:line="200" w:lineRule="exact"/>
        <w:rPr>
          <w:sz w:val="20"/>
          <w:szCs w:val="20"/>
          <w:color w:val="auto"/>
        </w:rPr>
      </w:pPr>
    </w:p>
    <w:p>
      <w:pPr>
        <w:spacing w:after="0" w:line="23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203835</wp:posOffset>
            </wp:positionV>
            <wp:extent cx="32759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Print Name:</w:t>
      </w:r>
    </w:p>
    <w:p>
      <w:pPr>
        <w:spacing w:after="0" w:line="18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IV-3</w:t>
      </w:r>
    </w:p>
    <w:p>
      <w:pPr>
        <w:sectPr>
          <w:pgSz w:w="11900" w:h="16838" w:orient="portrait"/>
          <w:cols w:equalWidth="0" w:num="1">
            <w:col w:w="9979"/>
          </w:cols>
          <w:pgMar w:left="480" w:top="935"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 named 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St. Paul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April 2, 2004 (the “Underwriting Agreement”), between the Company on the one hand and Wachovia Capital Markets, LLC, as representative of the several Underwriters named in Schedule I hereto (the “Underwriters”), on the other hand, to issue and sell to the Underwriters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 designated to act on behalf of the Representatives pursuant to Section 12 of the Underwriting Agreement is Wachovia Capital Markets, LLC, and the Representatives designated to act on behalf of each of the Underwriters of the Designated Shares pursuant to Section 12 of the Underwriting Agreement and the address of the Representatives referred to in such Section 12 are set forth in Schedule II hereto.</w:t>
      </w:r>
    </w:p>
    <w:p>
      <w:pPr>
        <w:spacing w:after="0" w:line="131" w:lineRule="exact"/>
        <w:rPr>
          <w:sz w:val="20"/>
          <w:szCs w:val="20"/>
          <w:color w:val="auto"/>
        </w:rPr>
      </w:pPr>
    </w:p>
    <w:p>
      <w:pPr>
        <w:ind w:right="920" w:firstLine="215"/>
        <w:spacing w:after="0" w:line="277" w:lineRule="auto"/>
        <w:rPr>
          <w:sz w:val="20"/>
          <w:szCs w:val="20"/>
          <w:color w:val="auto"/>
        </w:rPr>
      </w:pPr>
      <w:r>
        <w:rPr>
          <w:rFonts w:ascii="Arial" w:cs="Arial" w:eastAsia="Arial" w:hAnsi="Arial"/>
          <w:sz w:val="18"/>
          <w:szCs w:val="18"/>
          <w:color w:val="auto"/>
        </w:rPr>
        <w:t>A supplement to the Prospectus relating to the Designated Shares, in the form heretofore delivered to you, is now proposed to be filed with the Commission.</w:t>
      </w:r>
    </w:p>
    <w:p>
      <w:pPr>
        <w:spacing w:after="0" w:line="14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number of Initial Shares (as defined in Schedule II hereto) set forth opposite the name of such Underwriter in Schedule I hereto.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9" w:name="page40"/>
    <w:bookmarkEnd w:id="39"/>
    <w:p>
      <w:pPr>
        <w:ind w:firstLine="225"/>
        <w:spacing w:after="0" w:line="286" w:lineRule="auto"/>
        <w:rPr>
          <w:sz w:val="20"/>
          <w:szCs w:val="20"/>
          <w:color w:val="auto"/>
        </w:rPr>
      </w:pPr>
      <w:r>
        <w:rPr>
          <w:rFonts w:ascii="Arial" w:cs="Arial" w:eastAsia="Arial" w:hAnsi="Arial"/>
          <w:sz w:val="16"/>
          <w:szCs w:val="16"/>
          <w:color w:val="auto"/>
        </w:rPr>
        <w:t>In addition, subject to the terms and conditions set forth herein and in the Underwriting Agreement incorporated herein by reference, the Company hereby grants an option to the Underwriters to purchase, severally and not jointly, up to the number of Option Shares (as defined in Schedule II hereto) specified in Schedule II hereto at the place and purchase price to the Underwriters set forth in Schedule II hereto and at the Option Closing Time specified by the Representatives as provided below. The option hereby granted will expire at 11:59 p.m. (New York City time) on the 30th day after the date of this Pricing Agreement and may be exercised once, in whole or in part, for the purpose of covering over-allotments which may be made in connection with the offering and distribution of the Initial Shares upon notice by the Representatives to the Company setting forth the number of Option Shares as to which the several Underwriters are then exercising the option and the Option Closing Time for such Option Shares. Any such Option Closing Time shall be determined by the Representatives but shall not be later than seven full business days after the exercise of such option nor in any event prior to the Time of Delivery. If the option is exercised as to all or any portion of the Option Shares, each of the Underwriters, acting severally and not jointly, will be obligated to purchase that proportion of the total number of Option Shares then being purchased which the number of Initial Shares set forth in Schedule II hereto opposite the name of such Underwriter bears to the total number of Initial Shares (subject in each case to such adjustments as the Representatives in their discretion shall make to eliminate any sales or purchases of fractional shares), and the Company shall be obligated to issue and sell such Option Shares to the several Underwriters, in each case subject to the terms and conditions set forth herein and in the Underwriting Agreement incorporated by reference herein.</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8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[REMAINDER OF THIS PAGE INTENTIONALLY LEFT BLANK]</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40" w:name="page41"/>
    <w:bookmarkEnd w:id="40"/>
    <w:p>
      <w:pPr>
        <w:ind w:firstLine="225"/>
        <w:spacing w:after="0" w:line="264" w:lineRule="auto"/>
        <w:rPr>
          <w:sz w:val="20"/>
          <w:szCs w:val="20"/>
          <w:color w:val="auto"/>
        </w:rPr>
      </w:pPr>
      <w:r>
        <w:rPr>
          <w:rFonts w:ascii="Arial" w:cs="Arial" w:eastAsia="Arial" w:hAnsi="Arial"/>
          <w:sz w:val="18"/>
          <w:szCs w:val="18"/>
          <w:color w:val="auto"/>
        </w:rPr>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562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21609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Donald C. Wood</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 President and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its own behalf and as Representative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w:t>
      </w:r>
    </w:p>
    <w:p>
      <w:pPr>
        <w:spacing w:after="0" w:line="40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Mark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90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Mark Waxman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Director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SCHEDULE I</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Number of</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98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Underwriter</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Initial Shares</w:t>
            </w: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298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to be Purchased</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580" w:type="dxa"/>
            <w:vAlign w:val="bottom"/>
          </w:tcPr>
          <w:p>
            <w:pPr>
              <w:spacing w:after="0"/>
              <w:rPr>
                <w:sz w:val="4"/>
                <w:szCs w:val="4"/>
                <w:color w:val="auto"/>
              </w:rPr>
            </w:pPr>
          </w:p>
        </w:tc>
        <w:tc>
          <w:tcPr>
            <w:tcW w:w="298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580" w:type="dxa"/>
            <w:vAlign w:val="bottom"/>
            <w:vMerge w:val="restart"/>
          </w:tcPr>
          <w:p>
            <w:pPr>
              <w:spacing w:after="0"/>
              <w:rPr>
                <w:sz w:val="6"/>
                <w:szCs w:val="6"/>
                <w:color w:val="auto"/>
              </w:rPr>
            </w:pPr>
          </w:p>
        </w:tc>
        <w:tc>
          <w:tcPr>
            <w:tcW w:w="29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Wachovia Capital Markets, LLC</w:t>
            </w:r>
          </w:p>
        </w:tc>
        <w:tc>
          <w:tcPr>
            <w:tcW w:w="2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1,640,062</w:t>
            </w:r>
          </w:p>
        </w:tc>
        <w:tc>
          <w:tcPr>
            <w:tcW w:w="500" w:type="dxa"/>
            <w:vAlign w:val="bottom"/>
            <w:shd w:val="clear" w:color="auto" w:fill="EEEEE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w w:val="91"/>
              </w:rPr>
              <w:t>Legg Mason Wood Walker, Incorporated</w:t>
            </w:r>
          </w:p>
        </w:tc>
        <w:tc>
          <w:tcPr>
            <w:tcW w:w="2800" w:type="dxa"/>
            <w:vAlign w:val="bottom"/>
            <w:gridSpan w:val="4"/>
          </w:tcPr>
          <w:p>
            <w:pPr>
              <w:jc w:val="right"/>
              <w:spacing w:after="0"/>
              <w:rPr>
                <w:sz w:val="20"/>
                <w:szCs w:val="20"/>
                <w:color w:val="auto"/>
              </w:rPr>
            </w:pPr>
            <w:r>
              <w:rPr>
                <w:rFonts w:ascii="Arial" w:cs="Arial" w:eastAsia="Arial" w:hAnsi="Arial"/>
                <w:sz w:val="18"/>
                <w:szCs w:val="18"/>
                <w:color w:val="auto"/>
              </w:rPr>
              <w:t>546,687</w:t>
            </w: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580" w:type="dxa"/>
            <w:vAlign w:val="bottom"/>
          </w:tcPr>
          <w:p>
            <w:pPr>
              <w:spacing w:after="0"/>
              <w:rPr>
                <w:sz w:val="22"/>
                <w:szCs w:val="22"/>
                <w:color w:val="auto"/>
              </w:rPr>
            </w:pPr>
          </w:p>
        </w:tc>
        <w:tc>
          <w:tcPr>
            <w:tcW w:w="2980" w:type="dxa"/>
            <w:vAlign w:val="bottom"/>
            <w:tcBorders>
              <w:bottom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EEEEEE"/>
            </w:tcBorders>
            <w:gridSpan w:val="3"/>
            <w:shd w:val="clear" w:color="auto" w:fill="EEEEEE"/>
          </w:tcPr>
          <w:p>
            <w:pPr>
              <w:spacing w:after="0"/>
              <w:rPr>
                <w:sz w:val="22"/>
                <w:szCs w:val="22"/>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2,186,749</w:t>
            </w:r>
          </w:p>
        </w:tc>
        <w:tc>
          <w:tcPr>
            <w:tcW w:w="500" w:type="dxa"/>
            <w:vAlign w:val="bottom"/>
            <w:tcBorders>
              <w:bottom w:val="single" w:sz="8" w:color="EEEEEE"/>
            </w:tcBorders>
            <w:shd w:val="clear" w:color="auto" w:fill="EEEEEE"/>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300" w:type="dxa"/>
            <w:vAlign w:val="bottom"/>
            <w:gridSpan w:val="5"/>
          </w:tcPr>
          <w:p>
            <w:pPr>
              <w:ind w:left="40"/>
              <w:spacing w:after="0"/>
              <w:rPr>
                <w:sz w:val="20"/>
                <w:szCs w:val="20"/>
                <w:color w:val="auto"/>
              </w:rPr>
            </w:pPr>
            <w:r>
              <w:rPr>
                <w:rFonts w:ascii="Arial" w:cs="Arial" w:eastAsia="Arial" w:hAnsi="Arial"/>
                <w:sz w:val="18"/>
                <w:szCs w:val="18"/>
                <w:color w:val="auto"/>
              </w:rPr>
              <w:t>I-1</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58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Title of Designated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Designated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Initial Offering Price to Public Per Share for Designated Shares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Purchase Price per Share for Designated Shares to be Paid by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Specified funds for payment of 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 and addresses of Representatives: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Time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SCHEDULE II</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2,514,760 shares. The Designated Shares consist of an aggregate of</w:t>
      </w:r>
    </w:p>
    <w:p>
      <w:pPr>
        <w:spacing w:after="0" w:line="23"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2,186,749 Designated Shares (the “Initial Shares”) that the Underwriters have agreed, severally and not jointly, to purchase and that the Company has agreed to sell and an aggregate of up to 328,011 Designated Shares (the “Option Shares”) that the Underwriters have the option to purchase, severally and not jointly, from the Company, all subject to the terms and conditions set forth in this Pricing Agreement and the Underwriting Agreement incorporated by reference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$45.730 per share.</w:t>
      </w:r>
    </w:p>
    <w:p>
      <w:pPr>
        <w:spacing w:after="0" w:line="225" w:lineRule="exact"/>
        <w:rPr>
          <w:sz w:val="20"/>
          <w:szCs w:val="20"/>
          <w:color w:val="auto"/>
        </w:rPr>
      </w:pPr>
    </w:p>
    <w:p>
      <w:pPr>
        <w:ind w:left="660" w:right="200"/>
        <w:spacing w:after="0" w:line="297" w:lineRule="auto"/>
        <w:rPr>
          <w:sz w:val="20"/>
          <w:szCs w:val="20"/>
          <w:color w:val="auto"/>
        </w:rPr>
      </w:pPr>
      <w:r>
        <w:rPr>
          <w:rFonts w:ascii="Arial" w:cs="Arial" w:eastAsia="Arial" w:hAnsi="Arial"/>
          <w:sz w:val="16"/>
          <w:szCs w:val="16"/>
          <w:color w:val="auto"/>
        </w:rPr>
        <w:t>$45.328 per share; provided, however, that the purchase price per share for any Option Shares purchased by the Underwriters shall be reduced by an amount per share equal to the aggregate amount per share of any dividends or distributions declared, paid or payable with respect to the Initial Shares but not payable with respect to such Option Shares.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Wire transfer of immediately available funds.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Wachovia Capital Markets,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St. Paul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Baltimore, Maryland 21202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Wachovia Capital Markets,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St. Paul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Baltimore, Maryland 21202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Barrett Kollme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9:00 a.m. (New York City time) on April 7, 2004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Sidley Austin Brown &amp; Wood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Francisco, California 94104</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700" w:space="460"/>
            <w:col w:w="6260"/>
          </w:cols>
          <w:pgMar w:left="240" w:top="936" w:right="239" w:bottom="1440" w:gutter="0" w:footer="0" w:header="0"/>
        </w:sectPr>
      </w:pPr>
    </w:p>
    <w:bookmarkStart w:id="43" w:name="page44"/>
    <w:bookmarkEnd w:id="43"/>
    <w:p>
      <w:pPr>
        <w:spacing w:after="0"/>
        <w:tabs>
          <w:tab w:leader="none" w:pos="5800" w:val="left"/>
        </w:tabs>
        <w:rPr>
          <w:sz w:val="20"/>
          <w:szCs w:val="20"/>
          <w:color w:val="auto"/>
        </w:rPr>
      </w:pPr>
      <w:r>
        <w:rPr>
          <w:rFonts w:ascii="Arial" w:cs="Arial" w:eastAsia="Arial" w:hAnsi="Arial"/>
          <w:sz w:val="18"/>
          <w:szCs w:val="18"/>
          <w:color w:val="auto"/>
        </w:rPr>
        <w:t>Place of Delivery of Designated Shares:</w:t>
      </w:r>
      <w:r>
        <w:rPr>
          <w:sz w:val="20"/>
          <w:szCs w:val="20"/>
          <w:color w:val="auto"/>
        </w:rPr>
        <w:tab/>
      </w:r>
      <w:r>
        <w:rPr>
          <w:rFonts w:ascii="Arial" w:cs="Arial" w:eastAsia="Arial" w:hAnsi="Arial"/>
          <w:sz w:val="17"/>
          <w:szCs w:val="17"/>
          <w:color w:val="auto"/>
        </w:rPr>
        <w:t>New York, New York</w:t>
      </w:r>
    </w:p>
    <w:p>
      <w:pPr>
        <w:sectPr>
          <w:pgSz w:w="11900" w:h="16838" w:orient="portrait"/>
          <w:cols w:equalWidth="0" w:num="1">
            <w:col w:w="10219"/>
          </w:cols>
          <w:pgMar w:left="240" w:top="1152" w:right="1440" w:bottom="1440" w:gutter="0" w:footer="0" w:header="0"/>
        </w:sectPr>
      </w:pP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type w:val="continuous"/>
        </w:sectPr>
      </w:pPr>
    </w:p>
    <w:bookmarkStart w:id="44" w:name="page45"/>
    <w:bookmarkEnd w:id="44"/>
    <w:p>
      <w:pPr>
        <w:jc w:val="center"/>
        <w:ind w:right="-1200"/>
        <w:spacing w:after="0"/>
        <w:rPr>
          <w:sz w:val="20"/>
          <w:szCs w:val="20"/>
          <w:color w:val="auto"/>
        </w:rPr>
      </w:pPr>
      <w:r>
        <w:rPr>
          <w:rFonts w:ascii="Arial" w:cs="Arial" w:eastAsia="Arial" w:hAnsi="Arial"/>
          <w:sz w:val="18"/>
          <w:szCs w:val="18"/>
          <w:color w:val="auto"/>
        </w:rPr>
        <w:t>SCHEDULE III</w:t>
      </w:r>
    </w:p>
    <w:p>
      <w:pPr>
        <w:spacing w:after="0" w:line="198" w:lineRule="exact"/>
        <w:rPr>
          <w:sz w:val="20"/>
          <w:szCs w:val="20"/>
          <w:color w:val="auto"/>
        </w:rPr>
      </w:pPr>
    </w:p>
    <w:p>
      <w:pPr>
        <w:jc w:val="right"/>
        <w:ind w:right="3239"/>
        <w:spacing w:after="0"/>
        <w:rPr>
          <w:sz w:val="20"/>
          <w:szCs w:val="20"/>
          <w:color w:val="auto"/>
        </w:rPr>
      </w:pPr>
      <w:r>
        <w:rPr>
          <w:rFonts w:ascii="Arial" w:cs="Arial" w:eastAsia="Arial" w:hAnsi="Arial"/>
          <w:sz w:val="18"/>
          <w:szCs w:val="18"/>
          <w:color w:val="auto"/>
        </w:rPr>
        <w:t>List of Persons Subject to Lock-Up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Mark S. Ordan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Larry E. Finger</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219"/>
          </w:cols>
          <w:pgMar w:left="240" w:top="935"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20852-4041</w:t>
      </w:r>
    </w:p>
    <w:p>
      <w:pPr>
        <w:spacing w:after="0" w:line="382" w:lineRule="exact"/>
        <w:rPr>
          <w:sz w:val="20"/>
          <w:szCs w:val="20"/>
          <w:color w:val="auto"/>
        </w:rPr>
      </w:pPr>
    </w:p>
    <w:p>
      <w:pPr>
        <w:ind w:left="2000"/>
        <w:spacing w:after="0"/>
        <w:tabs>
          <w:tab w:leader="none" w:pos="29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Federal Realty Investment Trust Registration Statement on Form S-3 Underwritten</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Public Offering of Up to 2,514,760 Common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140" w:firstLine="222"/>
        <w:spacing w:after="0" w:line="290" w:lineRule="auto"/>
        <w:rPr>
          <w:sz w:val="20"/>
          <w:szCs w:val="20"/>
          <w:color w:val="auto"/>
        </w:rPr>
      </w:pPr>
      <w:r>
        <w:rPr>
          <w:rFonts w:ascii="Arial" w:cs="Arial" w:eastAsia="Arial" w:hAnsi="Arial"/>
          <w:sz w:val="16"/>
          <w:szCs w:val="16"/>
          <w:color w:val="auto"/>
        </w:rPr>
        <w:t>We have acted as counsel to Federal Realty Investment Trust, a Maryland real estate investment trust (the “Company”), in connection with the filing with the Securities and Exchange Commission under the Securities Act of 1933, as amended, of a prospectus supplement to the prospectus contained in the registration statement on Form S-3, No. 333-100819 (collectively, the “Registration Statement”), which was declared effective on November 6, 2002. The prospectus supplement and prospectus together are herein referred to as the “Prospectus.” The Prospectus relates to the public offering of up to 2,514,760 common shares of beneficial interest, par value $.01 per share (the “Shares”), of the Company, pursuant to the terms of an underwriting agreement dated April 2, 2004 by and between the Company and Wachovia Capital Markets, LLC, as representative of the several underwriters named in Schedule I to the related pricing agreement (the “Underwriting Agreement”), and the related pricing agreement dated April 2, 2004 by and between the Company and Wachovia Capital Markets, LLC, as representative of the several underwriters named in Schedule I thereto (the “Pricing Agreement”).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purposes of this opinion, we have examined copies of the following documents:</w:t>
      </w:r>
    </w:p>
    <w:p>
      <w:pPr>
        <w:spacing w:after="0" w:line="225" w:lineRule="exact"/>
        <w:rPr>
          <w:sz w:val="20"/>
          <w:szCs w:val="20"/>
          <w:color w:val="auto"/>
        </w:rPr>
      </w:pPr>
    </w:p>
    <w:p>
      <w:pPr>
        <w:ind w:left="560" w:right="80" w:hanging="444"/>
        <w:spacing w:after="0" w:line="264"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Declaration of Trust of the Company, as certified by the Maryland State Department of Assessments and Taxation on March 26, 2004, in the form certified to us by the Senior Vice President, General Counsel and Secretary of the Company as being complete, accurate and in effect as of the date hereof (the “Declaration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560" w:right="240" w:hanging="444"/>
        <w:spacing w:after="0" w:line="308" w:lineRule="auto"/>
        <w:tabs>
          <w:tab w:leader="none" w:pos="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Amended and Restated Bylaws of the Company, as amended, restated or supplemented, in the form certified to us by the Senior Vice President, General Counsel and Secretary of the Company as being complete, accurate and in effect as of the date hereof (the “Bylaws”);</w:t>
      </w:r>
    </w:p>
    <w:p>
      <w:pPr>
        <w:spacing w:after="0" w:line="146" w:lineRule="exact"/>
        <w:rPr>
          <w:rFonts w:ascii="Arial" w:cs="Arial" w:eastAsia="Arial" w:hAnsi="Arial"/>
          <w:sz w:val="17"/>
          <w:szCs w:val="17"/>
          <w:color w:val="auto"/>
        </w:rPr>
      </w:pPr>
    </w:p>
    <w:p>
      <w:pPr>
        <w:ind w:left="560" w:hanging="444"/>
        <w:spacing w:after="0" w:line="342" w:lineRule="auto"/>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Articles of Incorporation of Street Retail, Inc., a Maryland corporation (“SRI”), as certified by the Maryland State Department of Assessments and Taxation on March 26, 2004, in the form certified to us by the Secretary of SRI as being complete, accurate and in effect as of the date hereof;</w:t>
      </w:r>
    </w:p>
    <w:p>
      <w:pPr>
        <w:spacing w:after="0" w:line="123" w:lineRule="exact"/>
        <w:rPr>
          <w:rFonts w:ascii="Arial" w:cs="Arial" w:eastAsia="Arial" w:hAnsi="Arial"/>
          <w:sz w:val="16"/>
          <w:szCs w:val="16"/>
          <w:color w:val="auto"/>
        </w:rPr>
      </w:pPr>
    </w:p>
    <w:p>
      <w:pPr>
        <w:ind w:left="560" w:right="20" w:hanging="444"/>
        <w:spacing w:after="0" w:line="277" w:lineRule="auto"/>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Bylaws, as amended, of SRI, as amended, restated or supplemented, in the form certified to us by the Secretary of SRI as being complete, accurate and in effect as of the date hereof;</w:t>
      </w:r>
    </w:p>
    <w:p>
      <w:pPr>
        <w:spacing w:after="0" w:line="170" w:lineRule="exact"/>
        <w:rPr>
          <w:rFonts w:ascii="Arial" w:cs="Arial" w:eastAsia="Arial" w:hAnsi="Arial"/>
          <w:sz w:val="18"/>
          <w:szCs w:val="18"/>
          <w:color w:val="auto"/>
        </w:rPr>
      </w:pPr>
    </w:p>
    <w:p>
      <w:pPr>
        <w:ind w:left="560" w:hanging="44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left="560" w:hanging="44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225" w:lineRule="exact"/>
        <w:rPr>
          <w:rFonts w:ascii="Arial" w:cs="Arial" w:eastAsia="Arial" w:hAnsi="Arial"/>
          <w:sz w:val="18"/>
          <w:szCs w:val="18"/>
          <w:color w:val="auto"/>
        </w:rPr>
      </w:pPr>
    </w:p>
    <w:p>
      <w:pPr>
        <w:ind w:left="560" w:hanging="44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225" w:lineRule="exact"/>
        <w:rPr>
          <w:rFonts w:ascii="Arial" w:cs="Arial" w:eastAsia="Arial" w:hAnsi="Arial"/>
          <w:sz w:val="18"/>
          <w:szCs w:val="18"/>
          <w:color w:val="auto"/>
        </w:rPr>
      </w:pPr>
    </w:p>
    <w:p>
      <w:pPr>
        <w:ind w:left="560" w:hanging="44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Pricing Agreement;</w:t>
      </w:r>
    </w:p>
    <w:p>
      <w:pPr>
        <w:spacing w:after="0" w:line="225" w:lineRule="exact"/>
        <w:rPr>
          <w:rFonts w:ascii="Arial" w:cs="Arial" w:eastAsia="Arial" w:hAnsi="Arial"/>
          <w:sz w:val="18"/>
          <w:szCs w:val="18"/>
          <w:color w:val="auto"/>
        </w:rPr>
      </w:pPr>
    </w:p>
    <w:p>
      <w:pPr>
        <w:ind w:left="560" w:right="140" w:hanging="444"/>
        <w:spacing w:after="0" w:line="286" w:lineRule="auto"/>
        <w:tabs>
          <w:tab w:leader="none" w:pos="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resolutions of the Pricing Committee of the Board of Trustees of the Company, dated April 2, 2004, with respect to the offering of the Shares, and resolutions of the Board of Trustees of the Company with respect to the offering of the Shares, dated March 29, 2004, as certified to us by the Senior Vice President, General Counsel and Secretary of the Company as being complete, accurate and in effect as of the date hereof;</w:t>
      </w:r>
    </w:p>
    <w:p>
      <w:pPr>
        <w:spacing w:after="0" w:line="165" w:lineRule="exact"/>
        <w:rPr>
          <w:rFonts w:ascii="Arial" w:cs="Arial" w:eastAsia="Arial" w:hAnsi="Arial"/>
          <w:sz w:val="17"/>
          <w:szCs w:val="17"/>
          <w:color w:val="auto"/>
        </w:rPr>
      </w:pPr>
    </w:p>
    <w:p>
      <w:pPr>
        <w:ind w:left="560" w:right="180" w:hanging="444"/>
        <w:spacing w:after="0" w:line="264" w:lineRule="auto"/>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minutes of the Board of Trustees of the Company, dated October 29, 2002, with respect to the Registration Statement (together with the resolutions described in (ix), above, the “Resolutions”), as certified to us by the Senior Vice President, General Counsel and Secretary of the Company as being complete, accurate and in effect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left="560" w:hanging="44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copy of the specimen certificate for the Shares to be issued pursuant to the Underwriting Agreement;</w:t>
      </w:r>
    </w:p>
    <w:p>
      <w:pPr>
        <w:spacing w:after="0" w:line="225" w:lineRule="exact"/>
        <w:rPr>
          <w:rFonts w:ascii="Arial" w:cs="Arial" w:eastAsia="Arial" w:hAnsi="Arial"/>
          <w:sz w:val="18"/>
          <w:szCs w:val="18"/>
          <w:color w:val="auto"/>
        </w:rPr>
      </w:pPr>
    </w:p>
    <w:p>
      <w:pPr>
        <w:ind w:left="560" w:hanging="44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documents incorporated by reference into the Registration Statement;</w:t>
      </w:r>
    </w:p>
    <w:p>
      <w:pPr>
        <w:spacing w:after="0" w:line="225" w:lineRule="exact"/>
        <w:rPr>
          <w:rFonts w:ascii="Arial" w:cs="Arial" w:eastAsia="Arial" w:hAnsi="Arial"/>
          <w:sz w:val="18"/>
          <w:szCs w:val="18"/>
          <w:color w:val="auto"/>
        </w:rPr>
      </w:pPr>
    </w:p>
    <w:p>
      <w:pPr>
        <w:ind w:left="560" w:hanging="44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w:t>
      </w:r>
    </w:p>
    <w:p>
      <w:pPr>
        <w:spacing w:after="0" w:line="225" w:lineRule="exact"/>
        <w:rPr>
          <w:rFonts w:ascii="Arial" w:cs="Arial" w:eastAsia="Arial" w:hAnsi="Arial"/>
          <w:sz w:val="18"/>
          <w:szCs w:val="18"/>
          <w:color w:val="auto"/>
        </w:rPr>
      </w:pPr>
    </w:p>
    <w:p>
      <w:pPr>
        <w:ind w:left="560" w:hanging="44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certificate of an officer of SRI dated as of the date hereof;</w:t>
      </w:r>
    </w:p>
    <w:p>
      <w:pPr>
        <w:spacing w:after="0" w:line="225" w:lineRule="exact"/>
        <w:rPr>
          <w:rFonts w:ascii="Arial" w:cs="Arial" w:eastAsia="Arial" w:hAnsi="Arial"/>
          <w:sz w:val="18"/>
          <w:szCs w:val="18"/>
          <w:color w:val="auto"/>
        </w:rPr>
      </w:pPr>
    </w:p>
    <w:p>
      <w:pPr>
        <w:ind w:left="560" w:hanging="44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certificates of good standing from the states where the Company and SRI are qualified to do business; and</w:t>
      </w:r>
    </w:p>
    <w:p>
      <w:pPr>
        <w:spacing w:after="0" w:line="225" w:lineRule="exact"/>
        <w:rPr>
          <w:rFonts w:ascii="Arial" w:cs="Arial" w:eastAsia="Arial" w:hAnsi="Arial"/>
          <w:sz w:val="18"/>
          <w:szCs w:val="18"/>
          <w:color w:val="auto"/>
        </w:rPr>
      </w:pPr>
    </w:p>
    <w:p>
      <w:pPr>
        <w:ind w:left="560" w:right="540" w:hanging="444"/>
        <w:spacing w:after="0" w:line="277"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70"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w:t>
      </w:r>
    </w:p>
    <w:p>
      <w:pPr>
        <w:spacing w:after="0" w:line="154"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connection with the opinions expressed below, we have assumed that, at and prior to the time of the sale and delivery of Shares pursuant to the Registration Statement, (i) the Resolutions have not been amended, modified or rescinded, (ii)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Shares or the validity of the Shares. We have also assumed that the offering, sale and delivery of Shares will not at the time of such offering, sale and delivery violate or conflict with (1) the Declaration of Trust, as then amended, restated and supplemented, and Bylaws, as then amended, restated and supplemented, of the Company, (2) any provision of any license, indenture, instrument, mortgage, contract, document or agreement to which the Company is then a party or by which the Company is then bound, or (3) any law or regulation or any decree, judgment or order then applicable to the Company. We have further assumed that the number of Shares to be offered and sold pursuant to the Registration Statement will not at the time of such offering and sale exceed the amount of such class of capital shares authorized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Declaration of Trust, as then amended, restated or supplemented, and unissued (and not otherwise reserved for issuance) at such time.</w:t>
      </w:r>
    </w:p>
    <w:p>
      <w:pPr>
        <w:spacing w:after="0" w:line="185"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Based upon, subject to and limited by the foregoing, we are of the opinion that the Shares, when sold, issued and delivered by the Company in accordance with the terms of the Underwriting Agreement and the Pricing Agreement, will be validly issued, fully paid and nonassessable.</w:t>
      </w:r>
    </w:p>
    <w:p>
      <w:pPr>
        <w:spacing w:after="0" w:line="106"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This opinion is limited to the laws of the United States, Title 8 of the Corporations and Associations Article of the Annotated Code of Maryland, and New York contract law (but not including any statutes, ordinances, administrative decisions, rules or regulations of any political subdivision of the State of New York), in each case excluding choice of law provisions thereof. Our opinion is rendered only with respect to the laws and the rules, regulations and orders thereunder that are currently in effect. We assume no obligation to advise you of any changes in the foregoing subsequent to the delivery of this opinion. We express no opinion as to compliance with any state securities laws, including the securities laws of the State of Maryland, or as to federal or state laws regarding fraudulent transfers. This opinion has been prepared solely for your use in connection with the filing of the Prospectus that forms a part of the Registration Statement, and should not be quoted in whole or in part or otherwise referred to, nor should it otherwise be filed with or furnished to, any governmental agency or other person or entity, without our express prior written consent.</w:t>
      </w:r>
    </w:p>
    <w:p>
      <w:pPr>
        <w:spacing w:after="0" w:line="152"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SHAW PITTMAN LLP</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SHAW PITTMAN LLP</w:t>
      </w:r>
    </w:p>
    <w:p>
      <w:pPr>
        <w:sectPr>
          <w:pgSz w:w="11900" w:h="16838" w:orient="portrait"/>
          <w:cols w:equalWidth="0" w:num="1">
            <w:col w:w="11340"/>
          </w:cols>
          <w:pgMar w:left="240" w:top="936"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8.1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40" w:firstLine="218"/>
        <w:spacing w:after="0" w:line="255"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issuance and sale of up to 2,186,749 common shares of beneficial interest, pursuant to a registration statement on Form S-3 (File No. 333-100819) (the “Registration Statement,” which term includes all documents incorporated and deemed to be incorporated by reference therein) and a Prospectus Supplement dated April 2, 2004 and a related Prospectus dated May 9, 2003 (collectively, the “Prospectus,” which term includes all documents incorporated and deemed to be incorporated by reference therein), filed with the Securities and Exchange Commission (the “Commission”).</w:t>
      </w:r>
    </w:p>
    <w:p>
      <w:pPr>
        <w:spacing w:after="0" w:line="153"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as amended, restated or supplemented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2"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2004;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(2004) taxable year and for future taxable years, and (iii) the discussions in (w) the Prospectus under the caption “Risk Factors,” specifically the discussion of the Company’s status as a REIT, (x) the Prospectus under the caption “Federal Income Tax Consequences,” and (y) the Company’s Current Report on Form 8-K filed with the Commission on March 11, 2004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discussions are part of, or incorporated by reference into, the Prospectus, insofar as they purport to describe or summarize certain provisions of the agreements, statutes or regulations referred to therein, are accurate descriptions or summaries in all material respects, and the discussion thereunder expresses the opinion of Shaw Pittman LLP insofar as it relates to matters of United States federal income tax law and legal conclusions with regard to those matters.</w:t>
      </w:r>
    </w:p>
    <w:p>
      <w:pPr>
        <w:spacing w:after="0" w:line="147"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opinions set forth in this letter are based on existing law as contained in the Code, Treasury Regulations (including any Temporary and Proposed Regulations),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38"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0"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37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SHAW PITTMAN LLP</w:t>
      </w:r>
    </w:p>
    <w:p>
      <w:pPr>
        <w:spacing w:after="0" w:line="22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B. Temkin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66040</wp:posOffset>
            </wp:positionV>
            <wp:extent cx="18522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Charles B. Temkin, P.C.</w:t>
      </w:r>
    </w:p>
    <w:sectPr>
      <w:pgSz w:w="11900" w:h="16838" w:orient="portrait"/>
      <w:cols w:equalWidth="0" w:num="1">
        <w:col w:w="11320"/>
      </w:cols>
      <w:pgMar w:left="24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lvl w:ilvl="1">
      <w:lvlJc w:val="left"/>
      <w:lvlText w:val="(%2)"/>
      <w:numFmt w:val="lowerLetter"/>
      <w:start w:val="1"/>
    </w:lvl>
  </w:abstractNum>
  <w:abstractNum w:abstractNumId="2">
    <w:nsid w:val="62BBD95A"/>
    <w:multiLevelType w:val="hybridMultilevel"/>
    <w:lvl w:ilvl="0">
      <w:lvlJc w:val="left"/>
      <w:lvlText w:val="(%1)"/>
      <w:numFmt w:val="lowerLetter"/>
      <w:start w:val="2"/>
    </w:lvl>
  </w:abstractNum>
  <w:abstractNum w:abstractNumId="3">
    <w:nsid w:val="436C6125"/>
    <w:multiLevelType w:val="hybridMultilevel"/>
    <w:lvl w:ilvl="0">
      <w:lvlJc w:val="left"/>
      <w:lvlText w:val="(%1)"/>
      <w:numFmt w:val="lowerLetter"/>
      <w:start w:val="3"/>
    </w:lvl>
  </w:abstractNum>
  <w:abstractNum w:abstractNumId="4">
    <w:nsid w:val="628C895D"/>
    <w:multiLevelType w:val="hybridMultilevel"/>
    <w:lvl w:ilvl="0">
      <w:lvlJc w:val="left"/>
      <w:lvlText w:val="(%1)"/>
      <w:numFmt w:val="lowerLetter"/>
      <w:start w:val="6"/>
    </w:lvl>
  </w:abstractNum>
  <w:abstractNum w:abstractNumId="5">
    <w:nsid w:val="333AB105"/>
    <w:multiLevelType w:val="hybridMultilevel"/>
    <w:lvl w:ilvl="0">
      <w:lvlJc w:val="left"/>
      <w:lvlText w:val="(%1)"/>
      <w:numFmt w:val="lowerLetter"/>
      <w:start w:val="9"/>
    </w:lvl>
  </w:abstractNum>
  <w:abstractNum w:abstractNumId="6">
    <w:nsid w:val="721DA317"/>
    <w:multiLevelType w:val="hybridMultilevel"/>
    <w:lvl w:ilvl="0">
      <w:lvlJc w:val="left"/>
      <w:lvlText w:val="%1"/>
      <w:numFmt w:val="decimal"/>
      <w:start w:val="1"/>
    </w:lvl>
    <w:lvl w:ilvl="1">
      <w:lvlJc w:val="left"/>
      <w:lvlText w:val="(%2)"/>
      <w:numFmt w:val="lowerLetter"/>
      <w:start w:val="15"/>
    </w:lvl>
  </w:abstractNum>
  <w:abstractNum w:abstractNumId="7">
    <w:nsid w:val="2443A858"/>
    <w:multiLevelType w:val="hybridMultilevel"/>
    <w:lvl w:ilvl="0">
      <w:lvlJc w:val="left"/>
      <w:lvlText w:val="%1."/>
      <w:numFmt w:val="decimal"/>
      <w:start w:val="3"/>
    </w:lvl>
    <w:lvl w:ilvl="1">
      <w:lvlJc w:val="left"/>
      <w:lvlText w:val="%2"/>
      <w:numFmt w:val="lowerLetter"/>
      <w:start w:val="1"/>
    </w:lvl>
  </w:abstractNum>
  <w:abstractNum w:abstractNumId="8">
    <w:nsid w:val="2D1D5AE9"/>
    <w:multiLevelType w:val="hybridMultilevel"/>
    <w:lvl w:ilvl="0">
      <w:lvlJc w:val="left"/>
      <w:lvlText w:val="%1."/>
      <w:numFmt w:val="decimal"/>
      <w:start w:val="5"/>
    </w:lvl>
    <w:lvl w:ilvl="1">
      <w:lvlJc w:val="left"/>
      <w:lvlText w:val="(%2)"/>
      <w:numFmt w:val="lowerLetter"/>
      <w:start w:val="1"/>
    </w:lvl>
  </w:abstractNum>
  <w:abstractNum w:abstractNumId="9">
    <w:nsid w:val="6763845E"/>
    <w:multiLevelType w:val="hybridMultilevel"/>
    <w:lvl w:ilvl="0">
      <w:lvlJc w:val="left"/>
      <w:lvlText w:val="(%1)"/>
      <w:numFmt w:val="lowerLetter"/>
      <w:start w:val="2"/>
    </w:lvl>
  </w:abstractNum>
  <w:abstractNum w:abstractNumId="10">
    <w:nsid w:val="75A2A8D4"/>
    <w:multiLevelType w:val="hybridMultilevel"/>
    <w:lvl w:ilvl="0">
      <w:lvlJc w:val="left"/>
      <w:lvlText w:val="%1"/>
      <w:numFmt w:val="lowerLetter"/>
      <w:start w:val="1"/>
    </w:lvl>
    <w:lvl w:ilvl="1">
      <w:lvlJc w:val="left"/>
      <w:lvlText w:val="(%2)"/>
      <w:numFmt w:val="lowerLetter"/>
      <w:start w:val="5"/>
    </w:lvl>
  </w:abstractNum>
  <w:abstractNum w:abstractNumId="11">
    <w:nsid w:val="8EDBDAB"/>
    <w:multiLevelType w:val="hybridMultilevel"/>
    <w:lvl w:ilvl="0">
      <w:lvlJc w:val="left"/>
      <w:lvlText w:val="(%1)"/>
      <w:numFmt w:val="lowerLetter"/>
      <w:start w:val="25"/>
    </w:lvl>
    <w:lvl w:ilvl="1">
      <w:lvlJc w:val="left"/>
      <w:lvlText w:val="%2"/>
      <w:numFmt w:val="lowerLetter"/>
      <w:start w:val="1"/>
    </w:lvl>
  </w:abstractNum>
  <w:abstractNum w:abstractNumId="12">
    <w:nsid w:val="79838CB2"/>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6"/>
    </w:lvl>
  </w:abstractNum>
  <w:abstractNum w:abstractNumId="13">
    <w:nsid w:val="4353D0CD"/>
    <w:multiLevelType w:val="hybridMultilevel"/>
    <w:lvl w:ilvl="0">
      <w:lvlJc w:val="left"/>
      <w:lvlText w:val="%1."/>
      <w:numFmt w:val="decimal"/>
      <w:start w:val="6"/>
    </w:lvl>
    <w:lvl w:ilvl="1">
      <w:lvlJc w:val="left"/>
      <w:lvlText w:val="%2"/>
      <w:numFmt w:val="upperLetter"/>
      <w:start w:val="1"/>
    </w:lvl>
    <w:lvl w:ilvl="2">
      <w:lvlJc w:val="left"/>
      <w:lvlText w:val="%3"/>
      <w:numFmt w:val="lowerLetter"/>
      <w:start w:val="1"/>
    </w:lvl>
  </w:abstractNum>
  <w:abstractNum w:abstractNumId="14">
    <w:nsid w:val="B03E0C6"/>
    <w:multiLevelType w:val="hybridMultilevel"/>
    <w:lvl w:ilvl="0">
      <w:lvlJc w:val="left"/>
      <w:lvlText w:val="(%1)"/>
      <w:numFmt w:val="lowerRoman"/>
      <w:start w:val="4"/>
    </w:lvl>
    <w:lvl w:ilvl="1">
      <w:lvlJc w:val="left"/>
      <w:lvlText w:val="%2."/>
      <w:numFmt w:val="decimal"/>
      <w:start w:val="7"/>
    </w:lvl>
    <w:lvl w:ilvl="2">
      <w:lvlJc w:val="left"/>
      <w:lvlText w:val="(%3)"/>
      <w:numFmt w:val="lowerLetter"/>
      <w:start w:val="1"/>
    </w:lvl>
  </w:abstractNum>
  <w:abstractNum w:abstractNumId="15">
    <w:nsid w:val="189A769B"/>
    <w:multiLevelType w:val="hybridMultilevel"/>
    <w:lvl w:ilvl="0">
      <w:lvlJc w:val="left"/>
      <w:lvlText w:val="%1"/>
      <w:numFmt w:val="lowerLetter"/>
      <w:start w:val="1"/>
    </w:lvl>
    <w:lvl w:ilvl="1">
      <w:lvlJc w:val="left"/>
      <w:lvlText w:val="(%2)"/>
      <w:numFmt w:val="lowerLetter"/>
      <w:start w:val="3"/>
    </w:lvl>
  </w:abstractNum>
  <w:abstractNum w:abstractNumId="16">
    <w:nsid w:val="54E49EB4"/>
    <w:multiLevelType w:val="hybridMultilevel"/>
    <w:lvl w:ilvl="0">
      <w:lvlJc w:val="left"/>
      <w:lvlText w:val="(%1)"/>
      <w:numFmt w:val="lowerLetter"/>
      <w:start w:val="26"/>
    </w:lvl>
    <w:lvl w:ilvl="1">
      <w:lvlJc w:val="left"/>
      <w:lvlText w:val="(%2)"/>
      <w:numFmt w:val="lowerLetter"/>
      <w:start w:val="5"/>
    </w:lvl>
  </w:abstractNum>
  <w:abstractNum w:abstractNumId="17">
    <w:nsid w:val="71F32454"/>
    <w:multiLevelType w:val="hybridMultilevel"/>
    <w:lvl w:ilvl="0">
      <w:lvlJc w:val="left"/>
      <w:lvlText w:val="(%1)"/>
      <w:numFmt w:val="lowerLetter"/>
      <w:start w:val="8"/>
    </w:lvl>
  </w:abstractNum>
  <w:abstractNum w:abstractNumId="18">
    <w:nsid w:val="2CA88611"/>
    <w:multiLevelType w:val="hybridMultilevel"/>
    <w:lvl w:ilvl="0">
      <w:lvlJc w:val="left"/>
      <w:lvlText w:val="%1"/>
      <w:numFmt w:val="decimal"/>
      <w:start w:val="1"/>
    </w:lvl>
    <w:lvl w:ilvl="1">
      <w:lvlJc w:val="left"/>
      <w:lvlText w:val="(%2)"/>
      <w:numFmt w:val="lowerLetter"/>
      <w:start w:val="12"/>
    </w:lvl>
  </w:abstractNum>
  <w:abstractNum w:abstractNumId="19">
    <w:nsid w:val="836C40E"/>
    <w:multiLevelType w:val="hybridMultilevel"/>
    <w:lvl w:ilvl="0">
      <w:lvlJc w:val="left"/>
      <w:lvlText w:val="%1."/>
      <w:numFmt w:val="decimal"/>
      <w:start w:val="8"/>
    </w:lvl>
    <w:lvl w:ilvl="1">
      <w:lvlJc w:val="left"/>
      <w:lvlText w:val="%2"/>
      <w:numFmt w:val="lowerLetter"/>
      <w:start w:val="1"/>
    </w:lvl>
  </w:abstractNum>
  <w:abstractNum w:abstractNumId="20">
    <w:nsid w:val="2901D82"/>
    <w:multiLevelType w:val="hybridMultilevel"/>
    <w:lvl w:ilvl="0">
      <w:lvlJc w:val="left"/>
      <w:lvlText w:val="(%1)"/>
      <w:numFmt w:val="lowerLetter"/>
      <w:start w:val="2"/>
    </w:lvl>
  </w:abstractNum>
  <w:abstractNum w:abstractNumId="21">
    <w:nsid w:val="3A95F874"/>
    <w:multiLevelType w:val="hybridMultilevel"/>
    <w:lvl w:ilvl="0">
      <w:lvlJc w:val="left"/>
      <w:lvlText w:val="%1"/>
      <w:numFmt w:val="lowerLetter"/>
      <w:start w:val="1"/>
    </w:lvl>
    <w:lvl w:ilvl="1">
      <w:lvlJc w:val="left"/>
      <w:lvlText w:val="(%2)"/>
      <w:numFmt w:val="lowerLetter"/>
      <w:start w:val="4"/>
    </w:lvl>
  </w:abstractNum>
  <w:abstractNum w:abstractNumId="22">
    <w:nsid w:val="8138641"/>
    <w:multiLevelType w:val="hybridMultilevel"/>
    <w:lvl w:ilvl="0">
      <w:lvlJc w:val="left"/>
      <w:lvlText w:val="(%1)"/>
      <w:numFmt w:val="lowerLetter"/>
      <w:start w:val="2"/>
    </w:lvl>
    <w:lvl w:ilvl="1">
      <w:lvlJc w:val="left"/>
      <w:lvlText w:val="%2"/>
      <w:numFmt w:val="lowerLetter"/>
      <w:start w:val="1"/>
    </w:lvl>
  </w:abstractNum>
  <w:abstractNum w:abstractNumId="23">
    <w:nsid w:val="1E7FF521"/>
    <w:multiLevelType w:val="hybridMultilevel"/>
    <w:lvl w:ilvl="0">
      <w:lvlJc w:val="left"/>
      <w:lvlText w:val="(%1)"/>
      <w:numFmt w:val="lowerLetter"/>
      <w:start w:val="5"/>
    </w:lvl>
  </w:abstractNum>
  <w:abstractNum w:abstractNumId="24">
    <w:nsid w:val="7C3DBD3D"/>
    <w:multiLevelType w:val="hybridMultilevel"/>
    <w:lvl w:ilvl="0">
      <w:lvlJc w:val="left"/>
      <w:lvlText w:val="%1."/>
      <w:numFmt w:val="decimal"/>
      <w:start w:val="9"/>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lowerLetter"/>
      <w:start w:val="3"/>
    </w:lvl>
  </w:abstractNum>
  <w:abstractNum w:abstractNumId="27">
    <w:nsid w:val="22221A70"/>
    <w:multiLevelType w:val="hybridMultilevel"/>
    <w:lvl w:ilvl="0">
      <w:lvlJc w:val="left"/>
      <w:lvlText w:val="%1."/>
      <w:numFmt w:val="decimal"/>
      <w:start w:val="10"/>
    </w:lvl>
  </w:abstractNum>
  <w:abstractNum w:abstractNumId="28">
    <w:nsid w:val="4516DDE9"/>
    <w:multiLevelType w:val="hybridMultilevel"/>
    <w:lvl w:ilvl="0">
      <w:lvlJc w:val="left"/>
      <w:lvlText w:val="%1."/>
      <w:numFmt w:val="decimal"/>
      <w:start w:val="13"/>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Roman"/>
      <w:start w:val="1"/>
    </w:lvl>
  </w:abstractNum>
  <w:abstractNum w:abstractNumId="32">
    <w:nsid w:val="5577F8E1"/>
    <w:multiLevelType w:val="hybridMultilevel"/>
    <w:lvl w:ilvl="0">
      <w:lvlJc w:val="left"/>
      <w:lvlText w:val="1"/>
      <w:numFmt w:val="bullet"/>
      <w:start w:val="1"/>
    </w:lvl>
  </w:abstractNum>
  <w:abstractNum w:abstractNumId="33">
    <w:nsid w:val="440BADFC"/>
    <w:multiLevelType w:val="hybridMultilevel"/>
    <w:lvl w:ilvl="0">
      <w:lvlJc w:val="left"/>
      <w:lvlText w:val="(%1)"/>
      <w:numFmt w:val="lowerRoman"/>
      <w:start w:val="3"/>
    </w:lvl>
  </w:abstractNum>
  <w:abstractNum w:abstractNumId="34">
    <w:nsid w:val="5072367"/>
    <w:multiLevelType w:val="hybridMultilevel"/>
    <w:lvl w:ilvl="0">
      <w:lvlJc w:val="left"/>
      <w:lvlText w:val="(%1)"/>
      <w:numFmt w:val="lowerRoman"/>
      <w:start w:val="1"/>
    </w:lvl>
  </w:abstractNum>
  <w:abstractNum w:abstractNumId="35">
    <w:nsid w:val="3804823E"/>
    <w:multiLevelType w:val="hybridMultilevel"/>
    <w:lvl w:ilvl="0">
      <w:lvlJc w:val="left"/>
      <w:lvlText w:val="(%1)"/>
      <w:numFmt w:val="lowerRoman"/>
      <w:start w:val="2"/>
    </w:lvl>
  </w:abstractNum>
  <w:abstractNum w:abstractNumId="36">
    <w:nsid w:val="77465F01"/>
    <w:multiLevelType w:val="hybridMultilevel"/>
    <w:lvl w:ilvl="0">
      <w:lvlJc w:val="left"/>
      <w:lvlText w:val="(%1)"/>
      <w:numFmt w:val="lowerRoman"/>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2019-12-12T09:10:13Z</dcterms:created>
  <dcterms:modified xsi:type="dcterms:W3CDTF">2019-12-12T09:10:13Z</dcterms:modified>
</cp:coreProperties>
</file>