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60" w:val="left"/>
          <w:tab w:leader="none" w:pos="260" w:val="left"/>
        </w:tabs>
        <w:rPr>
          <w:sz w:val="20"/>
          <w:szCs w:val="20"/>
          <w:color w:val="auto"/>
        </w:rPr>
      </w:pPr>
      <w:r>
        <w:rPr>
          <w:rFonts w:ascii="Arial" w:cs="Arial" w:eastAsia="Arial" w:hAnsi="Arial"/>
          <w:sz w:val="22"/>
          <w:szCs w:val="22"/>
          <w:b w:val="1"/>
          <w:bCs w:val="1"/>
          <w:color w:val="auto"/>
        </w:rPr>
        <w:t>(Amendment No.</w:t>
        <w:tab/>
        <w:t>n/a</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3846830</wp:posOffset>
            </wp:positionH>
            <wp:positionV relativeFrom="paragraph">
              <wp:posOffset>-12065</wp:posOffset>
            </wp:positionV>
            <wp:extent cx="4889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Calendar Year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&lt; TR vAlign="bottom"&gt;&lt; TD align="left" colSpan="4"&gt;2.70%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1183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STICHTING PENSIOENFONDS ABP</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The Kingdom of the Netherlands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1,653,455</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1,653,455</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continue"/>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tcPr>
          <w:p>
            <w:pPr>
              <w:spacing w:after="0"/>
              <w:rPr>
                <w:sz w:val="20"/>
                <w:szCs w:val="20"/>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1,653,455</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11</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OO</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Federal Realty Investment Trust</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 1626 East Jefferson Street</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Rockville, MD 20852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760" w:hanging="644"/>
        <w:spacing w:after="0" w:line="34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Person Filing Stichting Pensioenfonds ABP</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Oude Lindestraat 70, Postbus 2889, 6401 DL Heerlen, The Kingdom of the Netherlands</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Kingdom of the Netherlands</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 par value $0.01 per share</w:t>
      </w:r>
    </w:p>
    <w:p>
      <w:pPr>
        <w:spacing w:after="0" w:line="23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313747206</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o78c).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1,653,455</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2.70%</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1,653,455</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1,653,455</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right="8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Stichting Pensioenfonds ABP</w:t>
      </w:r>
    </w:p>
    <w:p>
      <w:pPr>
        <w:sectPr>
          <w:pgSz w:w="11900" w:h="16838" w:orient="portrait"/>
          <w:cols w:equalWidth="0" w:num="1">
            <w:col w:w="11340"/>
          </w:cols>
          <w:pgMar w:left="240" w:top="756"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16, 2010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Leo Palmen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Leo Palmen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Title: Chief Compliance Officer</w:t>
      </w:r>
    </w:p>
    <w:p>
      <w:pPr>
        <w:spacing w:after="0" w:line="200" w:lineRule="exact"/>
        <w:rPr>
          <w:sz w:val="20"/>
          <w:szCs w:val="20"/>
          <w:color w:val="auto"/>
        </w:rPr>
      </w:pPr>
    </w:p>
    <w:p>
      <w:pPr>
        <w:sectPr>
          <w:pgSz w:w="11900" w:h="16838" w:orient="portrait"/>
          <w:cols w:equalWidth="0" w:num="3">
            <w:col w:w="5000" w:space="720"/>
            <w:col w:w="260" w:space="100"/>
            <w:col w:w="5260"/>
          </w:cols>
          <w:pgMar w:left="240" w:top="756" w:right="319" w:bottom="1440" w:gutter="0" w:footer="0" w:header="0"/>
          <w:type w:val="continuous"/>
        </w:sectPr>
      </w:pPr>
    </w:p>
    <w:p>
      <w:pPr>
        <w:spacing w:after="0" w:line="261" w:lineRule="exact"/>
        <w:rPr>
          <w:sz w:val="20"/>
          <w:szCs w:val="20"/>
          <w:color w:val="auto"/>
        </w:rPr>
      </w:pPr>
    </w:p>
    <w:p>
      <w:pPr>
        <w:ind w:left="860" w:hanging="850"/>
        <w:spacing w:after="0" w:line="289" w:lineRule="auto"/>
        <w:rPr>
          <w:sz w:val="20"/>
          <w:szCs w:val="20"/>
          <w:color w:val="auto"/>
        </w:rPr>
      </w:pPr>
      <w:r>
        <w:rPr>
          <w:rFonts w:ascii="Arial" w:cs="Arial" w:eastAsia="Arial" w:hAnsi="Arial"/>
          <w:sz w:val="17"/>
          <w:szCs w:val="17"/>
          <w:b w:val="1"/>
          <w:bCs w:val="1"/>
          <w:color w:val="auto"/>
        </w:rPr>
        <w:t xml:space="preserve">Footnotes: </w:t>
      </w:r>
      <w:r>
        <w:rPr>
          <w:rFonts w:ascii="Arial" w:cs="Arial" w:eastAsia="Arial" w:hAnsi="Arial"/>
          <w:sz w:val="17"/>
          <w:szCs w:val="17"/>
          <w:color w:val="auto"/>
        </w:rPr>
        <w:t>By signing above I certify that, to the best of my knowledge and belief, the foreign regulatory scheme applicable to an employee benefit plan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Netherlands is substantially comparable to the regulatory scheme applicable to the functionally equivalent U.S. institution(s). I also undertake to furnish to the Commission staff, upon request, information that would otherwise be disclosed in a Schedule 13D.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x"/>
      <w:numFmt w:val="bullet"/>
      <w:start w:val="1"/>
    </w:lvl>
  </w:abstractNum>
  <w:abstractNum w:abstractNumId="1">
    <w:nsid w:val="238E1F29"/>
    <w:multiLevelType w:val="hybridMultilevel"/>
    <w:lvl w:ilvl="0">
      <w:lvlJc w:val="left"/>
      <w:lvlText w:val="4"/>
      <w:numFmt w:val="bullet"/>
      <w:start w:val="1"/>
    </w:lvl>
  </w:abstractNum>
  <w:abstractNum w:abstractNumId="2">
    <w:nsid w:val="46E87CCD"/>
    <w:multiLevelType w:val="hybridMultilevel"/>
    <w:lvl w:ilvl="0">
      <w:lvlJc w:val="left"/>
      <w:lvlText w:val="9"/>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2019-12-10T00:10:33Z</dcterms:created>
  <dcterms:modified xsi:type="dcterms:W3CDTF">2019-12-10T00:10:33Z</dcterms:modified>
</cp:coreProperties>
</file>