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1" w:lineRule="exact"/>
        <w:rPr>
          <w:sz w:val="24"/>
          <w:szCs w:val="24"/>
          <w:color w:val="auto"/>
        </w:rPr>
      </w:pPr>
    </w:p>
    <w:p>
      <w:pPr>
        <w:jc w:val="center"/>
        <w:ind w:left="3660" w:right="920" w:hanging="3625"/>
        <w:spacing w:after="0" w:line="344" w:lineRule="auto"/>
        <w:tabs>
          <w:tab w:leader="none" w:pos="7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 For the quarterly period ended September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1-07533</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ectPr>
          <w:pgSz w:w="11900" w:h="16838" w:orient="portrait"/>
          <w:cols w:equalWidth="0" w:num="1">
            <w:col w:w="11240"/>
          </w:cols>
          <w:pgMar w:left="320" w:top="234"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left="1540"/>
        <w:spacing w:after="0"/>
        <w:rPr>
          <w:sz w:val="20"/>
          <w:szCs w:val="20"/>
          <w:color w:val="auto"/>
        </w:rPr>
      </w:pPr>
      <w:r>
        <w:rPr>
          <w:rFonts w:ascii="Arial" w:cs="Arial" w:eastAsia="Arial" w:hAnsi="Arial"/>
          <w:sz w:val="16"/>
          <w:szCs w:val="16"/>
          <w:b w:val="1"/>
          <w:bCs w:val="1"/>
          <w:color w:val="auto"/>
        </w:rPr>
        <w:t>Maryland</w:t>
      </w:r>
    </w:p>
    <w:p>
      <w:pPr>
        <w:spacing w:after="0" w:line="91"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(State of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94" w:lineRule="exact"/>
        <w:rPr>
          <w:sz w:val="24"/>
          <w:szCs w:val="24"/>
          <w:color w:val="auto"/>
        </w:rPr>
      </w:pPr>
    </w:p>
    <w:p>
      <w:pPr>
        <w:jc w:val="center"/>
        <w:ind w:left="-2179"/>
        <w:spacing w:after="0"/>
        <w:rPr>
          <w:sz w:val="20"/>
          <w:szCs w:val="20"/>
          <w:color w:val="auto"/>
        </w:rPr>
      </w:pPr>
      <w:r>
        <w:rPr>
          <w:rFonts w:ascii="Arial" w:cs="Arial" w:eastAsia="Arial" w:hAnsi="Arial"/>
          <w:sz w:val="16"/>
          <w:szCs w:val="16"/>
          <w:b w:val="1"/>
          <w:bCs w:val="1"/>
          <w:color w:val="auto"/>
        </w:rPr>
        <w:t>52-0782497</w:t>
      </w:r>
    </w:p>
    <w:p>
      <w:pPr>
        <w:spacing w:after="0" w:line="145"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(IRS Employer Identification No.)</w:t>
      </w:r>
    </w:p>
    <w:p>
      <w:pPr>
        <w:spacing w:after="0" w:line="116" w:lineRule="exact"/>
        <w:rPr>
          <w:sz w:val="24"/>
          <w:szCs w:val="24"/>
          <w:color w:val="auto"/>
        </w:rPr>
      </w:pPr>
    </w:p>
    <w:p>
      <w:pPr>
        <w:jc w:val="center"/>
        <w:ind w:right="3080"/>
        <w:spacing w:after="0"/>
        <w:rPr>
          <w:sz w:val="20"/>
          <w:szCs w:val="20"/>
          <w:color w:val="auto"/>
        </w:rPr>
      </w:pPr>
      <w:r>
        <w:rPr>
          <w:rFonts w:ascii="Arial" w:cs="Arial" w:eastAsia="Arial" w:hAnsi="Arial"/>
          <w:sz w:val="16"/>
          <w:szCs w:val="16"/>
          <w:b w:val="1"/>
          <w:bCs w:val="1"/>
          <w:color w:val="auto"/>
        </w:rPr>
        <w:t>909 Rose Avenue, Suite 200, North Bethesda, Maryland 20852</w:t>
      </w:r>
    </w:p>
    <w:p>
      <w:pPr>
        <w:spacing w:after="0" w:line="12" w:lineRule="exact"/>
        <w:rPr>
          <w:sz w:val="24"/>
          <w:szCs w:val="24"/>
          <w:color w:val="auto"/>
        </w:rPr>
      </w:pPr>
    </w:p>
    <w:p>
      <w:pPr>
        <w:jc w:val="center"/>
        <w:ind w:right="308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75" w:lineRule="exact"/>
        <w:rPr>
          <w:sz w:val="24"/>
          <w:szCs w:val="24"/>
          <w:color w:val="auto"/>
        </w:rPr>
      </w:pPr>
    </w:p>
    <w:p>
      <w:pPr>
        <w:jc w:val="center"/>
        <w:ind w:right="3080"/>
        <w:spacing w:after="0"/>
        <w:rPr>
          <w:sz w:val="20"/>
          <w:szCs w:val="20"/>
          <w:color w:val="auto"/>
        </w:rPr>
      </w:pPr>
      <w:r>
        <w:rPr>
          <w:rFonts w:ascii="Arial" w:cs="Arial" w:eastAsia="Arial" w:hAnsi="Arial"/>
          <w:sz w:val="16"/>
          <w:szCs w:val="16"/>
          <w:b w:val="1"/>
          <w:bCs w:val="1"/>
          <w:color w:val="auto"/>
        </w:rPr>
        <w:t>(301) 998-8100</w:t>
      </w:r>
    </w:p>
    <w:p>
      <w:pPr>
        <w:spacing w:after="0" w:line="12" w:lineRule="exact"/>
        <w:rPr>
          <w:sz w:val="24"/>
          <w:szCs w:val="24"/>
          <w:color w:val="auto"/>
        </w:rPr>
      </w:pPr>
    </w:p>
    <w:p>
      <w:pPr>
        <w:jc w:val="center"/>
        <w:ind w:right="31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5" w:lineRule="exact"/>
        <w:rPr>
          <w:sz w:val="24"/>
          <w:szCs w:val="24"/>
          <w:color w:val="auto"/>
        </w:rPr>
      </w:pPr>
    </w:p>
    <w:p>
      <w:pPr>
        <w:jc w:val="center"/>
        <w:ind w:right="3080"/>
        <w:spacing w:after="0"/>
        <w:rPr>
          <w:sz w:val="20"/>
          <w:szCs w:val="20"/>
          <w:color w:val="auto"/>
        </w:rPr>
      </w:pPr>
      <w:r>
        <w:rPr>
          <w:rFonts w:ascii="Arial" w:cs="Arial" w:eastAsia="Arial" w:hAnsi="Arial"/>
          <w:sz w:val="16"/>
          <w:szCs w:val="16"/>
          <w:b w:val="1"/>
          <w:bCs w:val="1"/>
          <w:color w:val="auto"/>
        </w:rPr>
        <w:t>1626 East Jefferson Street, Rockville</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(Former name, former address and former fiscal year, if changed from last report)</w:t>
      </w:r>
    </w:p>
    <w:p>
      <w:pPr>
        <w:spacing w:after="0" w:line="148" w:lineRule="exact"/>
        <w:rPr>
          <w:sz w:val="24"/>
          <w:szCs w:val="24"/>
          <w:color w:val="auto"/>
        </w:rPr>
      </w:pPr>
    </w:p>
    <w:p>
      <w:pPr>
        <w:sectPr>
          <w:pgSz w:w="11900" w:h="16838" w:orient="portrait"/>
          <w:cols w:equalWidth="0" w:num="2">
            <w:col w:w="2960" w:space="140"/>
            <w:col w:w="8140"/>
          </w:cols>
          <w:pgMar w:left="320" w:top="234" w:right="339" w:bottom="1440" w:gutter="0" w:footer="0" w:header="0"/>
          <w:type w:val="continuous"/>
        </w:sectPr>
      </w:pPr>
    </w:p>
    <w:tbl>
      <w:tblPr>
        <w:tblLayout w:type="fixed"/>
        <w:tblInd w:w="14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080" w:type="dxa"/>
            <w:vAlign w:val="bottom"/>
          </w:tcPr>
          <w:p>
            <w:pPr>
              <w:spacing w:after="0"/>
              <w:rPr>
                <w:sz w:val="16"/>
                <w:szCs w:val="16"/>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Trading Symbol</w:t>
            </w:r>
          </w:p>
        </w:tc>
        <w:tc>
          <w:tcPr>
            <w:tcW w:w="376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98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Common Shares of Beneficial Interest</w:t>
            </w: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FRT</w:t>
            </w:r>
          </w:p>
        </w:tc>
        <w:tc>
          <w:tcPr>
            <w:tcW w:w="5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80" w:type="dxa"/>
            <w:vAlign w:val="bottom"/>
            <w:gridSpan w:val="3"/>
          </w:tcPr>
          <w:p>
            <w:pPr>
              <w:jc w:val="center"/>
              <w:ind w:right="48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600" w:type="dxa"/>
            <w:vAlign w:val="bottom"/>
          </w:tcPr>
          <w:p>
            <w:pPr>
              <w:spacing w:after="0"/>
              <w:rPr>
                <w:sz w:val="17"/>
                <w:szCs w:val="17"/>
                <w:color w:val="auto"/>
              </w:rPr>
            </w:pPr>
          </w:p>
        </w:tc>
        <w:tc>
          <w:tcPr>
            <w:tcW w:w="3380" w:type="dxa"/>
            <w:vAlign w:val="bottom"/>
            <w:gridSpan w:val="2"/>
          </w:tcPr>
          <w:p>
            <w:pPr>
              <w:jc w:val="center"/>
              <w:ind w:right="2080"/>
              <w:spacing w:after="0"/>
              <w:rPr>
                <w:sz w:val="20"/>
                <w:szCs w:val="20"/>
                <w:color w:val="auto"/>
              </w:rPr>
            </w:pPr>
            <w:r>
              <w:rPr>
                <w:rFonts w:ascii="Arial" w:cs="Arial" w:eastAsia="Arial" w:hAnsi="Arial"/>
                <w:sz w:val="16"/>
                <w:szCs w:val="16"/>
                <w:color w:val="auto"/>
                <w:w w:val="92"/>
              </w:rPr>
              <w:t>Rights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11"/>
        </w:trPr>
        <w:tc>
          <w:tcPr>
            <w:tcW w:w="4980" w:type="dxa"/>
            <w:vAlign w:val="bottom"/>
            <w:gridSpan w:val="3"/>
          </w:tcPr>
          <w:p>
            <w:pPr>
              <w:jc w:val="center"/>
              <w:ind w:right="500"/>
              <w:spacing w:after="0"/>
              <w:rPr>
                <w:sz w:val="20"/>
                <w:szCs w:val="20"/>
                <w:color w:val="auto"/>
              </w:rPr>
            </w:pPr>
            <w:r>
              <w:rPr>
                <w:rFonts w:ascii="Arial" w:cs="Arial" w:eastAsia="Arial" w:hAnsi="Arial"/>
                <w:sz w:val="16"/>
                <w:szCs w:val="16"/>
                <w:color w:val="auto"/>
                <w:w w:val="89"/>
              </w:rPr>
              <w:t>Depositary Shares, each representing 1/1000 of a share</w:t>
            </w: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FRT-C</w:t>
            </w:r>
          </w:p>
        </w:tc>
        <w:tc>
          <w:tcPr>
            <w:tcW w:w="5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80" w:type="dxa"/>
            <w:vAlign w:val="bottom"/>
            <w:gridSpan w:val="3"/>
          </w:tcPr>
          <w:p>
            <w:pPr>
              <w:jc w:val="center"/>
              <w:ind w:right="500"/>
              <w:spacing w:after="0"/>
              <w:rPr>
                <w:sz w:val="20"/>
                <w:szCs w:val="20"/>
                <w:color w:val="auto"/>
              </w:rPr>
            </w:pPr>
            <w:r>
              <w:rPr>
                <w:rFonts w:ascii="Arial" w:cs="Arial" w:eastAsia="Arial" w:hAnsi="Arial"/>
                <w:sz w:val="16"/>
                <w:szCs w:val="16"/>
                <w:color w:val="auto"/>
                <w:w w:val="91"/>
              </w:rPr>
              <w:t>of 5.00% Series C Cumulative Redeemable Preferred Stock, $.01 par</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600" w:type="dxa"/>
            <w:vAlign w:val="bottom"/>
          </w:tcPr>
          <w:p>
            <w:pPr>
              <w:spacing w:after="0"/>
              <w:rPr>
                <w:sz w:val="17"/>
                <w:szCs w:val="17"/>
                <w:color w:val="auto"/>
              </w:rPr>
            </w:pPr>
          </w:p>
        </w:tc>
        <w:tc>
          <w:tcPr>
            <w:tcW w:w="3380" w:type="dxa"/>
            <w:vAlign w:val="bottom"/>
            <w:gridSpan w:val="2"/>
          </w:tcPr>
          <w:p>
            <w:pPr>
              <w:jc w:val="center"/>
              <w:ind w:right="2080"/>
              <w:spacing w:after="0"/>
              <w:rPr>
                <w:sz w:val="20"/>
                <w:szCs w:val="20"/>
                <w:color w:val="auto"/>
              </w:rPr>
            </w:pPr>
            <w:r>
              <w:rPr>
                <w:rFonts w:ascii="Arial" w:cs="Arial" w:eastAsia="Arial" w:hAnsi="Arial"/>
                <w:sz w:val="16"/>
                <w:szCs w:val="16"/>
                <w:color w:val="auto"/>
                <w:w w:val="88"/>
              </w:rPr>
              <w:t>value per share</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Pr>
          <w:p>
            <w:pPr>
              <w:spacing w:after="0"/>
              <w:rPr>
                <w:sz w:val="17"/>
                <w:szCs w:val="17"/>
                <w:color w:val="auto"/>
              </w:rPr>
            </w:pPr>
          </w:p>
        </w:tc>
      </w:tr>
    </w:tbl>
    <w:p>
      <w:pPr>
        <w:spacing w:after="0" w:line="13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6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56"/>
        </w:trPr>
        <w:tc>
          <w:tcPr>
            <w:tcW w:w="10720" w:type="dxa"/>
            <w:vAlign w:val="bottom"/>
            <w:gridSpan w:val="3"/>
          </w:tcPr>
          <w:p>
            <w:pPr>
              <w:ind w:left="40"/>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6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720" w:type="dxa"/>
            <w:vAlign w:val="bottom"/>
            <w:gridSpan w:val="3"/>
          </w:tcPr>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November 2, 2020 was 75,647,142.</w:t>
      </w:r>
    </w:p>
    <w:p>
      <w:pPr>
        <w:sectPr>
          <w:pgSz w:w="11900" w:h="16838" w:orient="portrait"/>
          <w:cols w:equalWidth="0" w:num="1">
            <w:col w:w="11240"/>
          </w:cols>
          <w:pgMar w:left="320" w:top="2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5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439"/>
        </w:trPr>
        <w:tc>
          <w:tcPr>
            <w:tcW w:w="1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tcPr>
          <w:p>
            <w:pPr>
              <w:jc w:val="center"/>
              <w:ind w:right="910"/>
              <w:spacing w:after="0"/>
              <w:rPr>
                <w:sz w:val="20"/>
                <w:szCs w:val="20"/>
                <w:color w:val="auto"/>
              </w:rPr>
            </w:pPr>
            <w:r>
              <w:rPr>
                <w:rFonts w:ascii="Arial" w:cs="Arial" w:eastAsia="Arial" w:hAnsi="Arial"/>
                <w:sz w:val="18"/>
                <w:szCs w:val="18"/>
                <w:b w:val="1"/>
                <w:bCs w:val="1"/>
                <w:color w:val="auto"/>
              </w:rPr>
              <w:t>FEDERAL REALTY INVESTMENT TRUST</w:t>
            </w:r>
          </w:p>
        </w:tc>
        <w:tc>
          <w:tcPr>
            <w:tcW w:w="34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00" w:type="dxa"/>
            <w:vAlign w:val="bottom"/>
          </w:tcPr>
          <w:p>
            <w:pPr>
              <w:jc w:val="center"/>
              <w:ind w:right="930"/>
              <w:spacing w:after="0"/>
              <w:rPr>
                <w:sz w:val="20"/>
                <w:szCs w:val="20"/>
                <w:color w:val="auto"/>
              </w:rPr>
            </w:pPr>
            <w:r>
              <w:rPr>
                <w:rFonts w:ascii="Arial" w:cs="Arial" w:eastAsia="Arial" w:hAnsi="Arial"/>
                <w:sz w:val="18"/>
                <w:szCs w:val="18"/>
                <w:b w:val="1"/>
                <w:bCs w:val="1"/>
                <w:color w:val="auto"/>
                <w:w w:val="97"/>
              </w:rPr>
              <w:t>QUARTER ENDED SEPTEMBER 30, 2020</w:t>
            </w:r>
          </w:p>
        </w:tc>
        <w:tc>
          <w:tcPr>
            <w:tcW w:w="34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r>
      <w:tr>
        <w:trPr>
          <w:trHeight w:val="648"/>
        </w:trPr>
        <w:tc>
          <w:tcPr>
            <w:tcW w:w="1088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340" w:type="dxa"/>
            <w:vAlign w:val="bottom"/>
          </w:tcPr>
          <w:p>
            <w:pPr>
              <w:spacing w:after="0"/>
              <w:rPr>
                <w:sz w:val="24"/>
                <w:szCs w:val="24"/>
                <w:color w:val="auto"/>
              </w:rPr>
            </w:pPr>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50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Consolidated Balance Sheets as of September 30, 2020 (unaudited) and December 31, 2019</w:t>
            </w:r>
          </w:p>
        </w:tc>
        <w:tc>
          <w:tcPr>
            <w:tcW w:w="3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56"/>
        </w:trPr>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w w:val="92"/>
              </w:rPr>
              <w:t>Consolidated Statements of Comprehensive Income (unaudited) for the three and nine months ended September 30, 2020 and</w:t>
            </w:r>
          </w:p>
        </w:tc>
        <w:tc>
          <w:tcPr>
            <w:tcW w:w="340" w:type="dxa"/>
            <w:vAlign w:val="bottom"/>
          </w:tcPr>
          <w:p>
            <w:pPr>
              <w:spacing w:after="0"/>
              <w:rPr>
                <w:sz w:val="22"/>
                <w:szCs w:val="22"/>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2019</w:t>
            </w:r>
          </w:p>
        </w:tc>
        <w:tc>
          <w:tcPr>
            <w:tcW w:w="3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w w:val="90"/>
              </w:rPr>
              <w:t>Consolidated Statements of Shareholders' Equity (unaudited) for the three and nine months ended September 30, 2020 and 2019</w:t>
            </w:r>
          </w:p>
        </w:tc>
        <w:tc>
          <w:tcPr>
            <w:tcW w:w="3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Consolidated Statements of Cash Flows (unaudited) for the nine months ended September 30, 2020 and 2019</w:t>
            </w:r>
          </w:p>
        </w:tc>
        <w:tc>
          <w:tcPr>
            <w:tcW w:w="3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Notes to Consolidated Financial Statements (unaudited)</w:t>
            </w:r>
          </w:p>
        </w:tc>
        <w:tc>
          <w:tcPr>
            <w:tcW w:w="3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50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4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50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34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50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34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594"/>
        </w:trPr>
        <w:tc>
          <w:tcPr>
            <w:tcW w:w="1088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50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1A.</w:t>
            </w:r>
          </w:p>
        </w:tc>
        <w:tc>
          <w:tcPr>
            <w:tcW w:w="950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50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50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50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3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5.</w:t>
            </w:r>
          </w:p>
        </w:tc>
        <w:tc>
          <w:tcPr>
            <w:tcW w:w="950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3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6.</w:t>
            </w:r>
          </w:p>
        </w:tc>
        <w:tc>
          <w:tcPr>
            <w:tcW w:w="9500" w:type="dxa"/>
            <w:vAlign w:val="bottom"/>
          </w:tcPr>
          <w:p>
            <w:pPr>
              <w:ind w:left="120"/>
              <w:spacing w:after="0"/>
              <w:rPr>
                <w:sz w:val="20"/>
                <w:szCs w:val="20"/>
                <w:color w:val="auto"/>
              </w:rPr>
            </w:pPr>
            <w:r>
              <w:rPr>
                <w:rFonts w:ascii="Arial" w:cs="Arial" w:eastAsia="Arial" w:hAnsi="Arial"/>
                <w:sz w:val="18"/>
                <w:szCs w:val="18"/>
                <w:color w:val="auto"/>
              </w:rPr>
              <w:t>Exhibits</w:t>
            </w:r>
          </w:p>
        </w:tc>
        <w:tc>
          <w:tcPr>
            <w:tcW w:w="3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36</w:t>
              </w:r>
            </w:hyperlink>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50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38</w:t>
              </w:r>
            </w:hyperlink>
          </w:p>
        </w:tc>
      </w:tr>
      <w:tr>
        <w:trPr>
          <w:trHeight w:val="89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tcPr>
          <w:p>
            <w:pPr>
              <w:jc w:val="center"/>
              <w:ind w:right="930"/>
              <w:spacing w:after="0"/>
              <w:rPr>
                <w:sz w:val="20"/>
                <w:szCs w:val="20"/>
                <w:color w:val="auto"/>
              </w:rPr>
            </w:pPr>
            <w:r>
              <w:rPr>
                <w:rFonts w:ascii="Arial" w:cs="Arial" w:eastAsia="Arial" w:hAnsi="Arial"/>
                <w:sz w:val="18"/>
                <w:szCs w:val="18"/>
                <w:color w:val="auto"/>
                <w:w w:val="79"/>
              </w:rPr>
              <w:t>2</w:t>
            </w:r>
          </w:p>
        </w:tc>
        <w:tc>
          <w:tcPr>
            <w:tcW w:w="34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tcPr>
          <w:p>
            <w:pPr>
              <w:jc w:val="right"/>
              <w:ind w:right="71"/>
              <w:spacing w:after="0" w:line="153"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6"/>
        </w:trPr>
        <w:tc>
          <w:tcPr>
            <w:tcW w:w="8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Real estate, at cost</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6"/>
              </w:rPr>
              <w:t>Operating (including $1,709,234 and $1,676,866 of consolidated variable interest entities,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7,817,819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7,535,983</w:t>
            </w:r>
          </w:p>
        </w:tc>
        <w:tc>
          <w:tcPr>
            <w:tcW w:w="0" w:type="dxa"/>
            <w:vAlign w:val="bottom"/>
          </w:tcPr>
          <w:p>
            <w:pPr>
              <w:spacing w:after="0"/>
              <w:rPr>
                <w:sz w:val="1"/>
                <w:szCs w:val="1"/>
                <w:color w:val="auto"/>
              </w:rPr>
            </w:pPr>
          </w:p>
        </w:tc>
      </w:tr>
      <w:tr>
        <w:trPr>
          <w:trHeight w:val="229"/>
        </w:trPr>
        <w:tc>
          <w:tcPr>
            <w:tcW w:w="8640" w:type="dxa"/>
            <w:vAlign w:val="bottom"/>
          </w:tcPr>
          <w:p>
            <w:pPr>
              <w:ind w:left="700"/>
              <w:spacing w:after="0"/>
              <w:rPr>
                <w:sz w:val="20"/>
                <w:szCs w:val="20"/>
                <w:color w:val="auto"/>
              </w:rPr>
            </w:pPr>
            <w:r>
              <w:rPr>
                <w:rFonts w:ascii="Arial" w:cs="Arial" w:eastAsia="Arial" w:hAnsi="Arial"/>
                <w:sz w:val="18"/>
                <w:szCs w:val="18"/>
                <w:color w:val="auto"/>
              </w:rPr>
              <w:t>Construction-in-progress (including $81,463 and $102,583 of consolidated variable interest entities,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70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769,668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8,587,487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Less accumulated depreciation and amortization (including $314,866 and $296,165 of consolidated variable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(2,339,664)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37"/>
        </w:trPr>
        <w:tc>
          <w:tcPr>
            <w:tcW w:w="864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6,247,823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6,082,719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164,882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Finance lease right of use assets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229,037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7,711,293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67"/>
        </w:trPr>
        <w:tc>
          <w:tcPr>
            <w:tcW w:w="86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Mortgages payable, net (including $474,775 and $469,184 of consolidated variable interest entities,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549,445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Notes payable, net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402,580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3,508,824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2,807,134</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36"/>
        </w:trPr>
        <w:tc>
          <w:tcPr>
            <w:tcW w:w="86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5,133,488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4,019,102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share), 6,000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640" w:type="dxa"/>
            <w:vAlign w:val="bottom"/>
          </w:tcPr>
          <w:p>
            <w:pPr>
              <w:ind w:left="820"/>
              <w:spacing w:after="0"/>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Common shares of beneficial interest, $.01 par, 100,000,000 shares authorized, 75,641,074 and 75,540,804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3,174,066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3,166,522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2,327,859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2,535,341</w:t>
            </w:r>
          </w:p>
        </w:tc>
        <w:tc>
          <w:tcPr>
            <w:tcW w:w="0" w:type="dxa"/>
            <w:vAlign w:val="bottom"/>
          </w:tcPr>
          <w:p>
            <w:pPr>
              <w:spacing w:after="0"/>
              <w:rPr>
                <w:sz w:val="1"/>
                <w:szCs w:val="1"/>
                <w:color w:val="auto"/>
              </w:rPr>
            </w:pPr>
          </w:p>
        </w:tc>
      </w:tr>
      <w:tr>
        <w:trPr>
          <w:trHeight w:val="243"/>
        </w:trPr>
        <w:tc>
          <w:tcPr>
            <w:tcW w:w="864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2,418,084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2,636,132</w:t>
            </w:r>
          </w:p>
        </w:tc>
        <w:tc>
          <w:tcPr>
            <w:tcW w:w="0" w:type="dxa"/>
            <w:vAlign w:val="bottom"/>
          </w:tcPr>
          <w:p>
            <w:pPr>
              <w:spacing w:after="0"/>
              <w:rPr>
                <w:sz w:val="1"/>
                <w:szCs w:val="1"/>
                <w:color w:val="auto"/>
              </w:rPr>
            </w:pPr>
          </w:p>
        </w:tc>
      </w:tr>
      <w:tr>
        <w:trPr>
          <w:trHeight w:val="236"/>
        </w:trPr>
        <w:tc>
          <w:tcPr>
            <w:tcW w:w="86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7,711,293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7"/>
        </w:trPr>
        <w:tc>
          <w:tcPr>
            <w:tcW w:w="8640" w:type="dxa"/>
            <w:vAlign w:val="bottom"/>
            <w:vMerge w:val="restart"/>
          </w:tcPr>
          <w:p>
            <w:pPr>
              <w:ind w:left="2800"/>
              <w:spacing w:after="0"/>
              <w:rPr>
                <w:sz w:val="20"/>
                <w:szCs w:val="20"/>
                <w:color w:val="auto"/>
              </w:rPr>
            </w:pPr>
            <w:r>
              <w:rPr>
                <w:rFonts w:ascii="Arial" w:cs="Arial" w:eastAsia="Arial" w:hAnsi="Arial"/>
                <w:sz w:val="18"/>
                <w:szCs w:val="18"/>
                <w:color w:val="auto"/>
                <w:w w:val="92"/>
              </w:rPr>
              <w:t>The accompanying notes are an integral part of these consolidated statements.</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393"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26" w:right="359" w:bottom="393"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3"/>
        </w:trPr>
        <w:tc>
          <w:tcPr>
            <w:tcW w:w="5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(In thousands, except per share data)</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207,410</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233,212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613,687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694,435</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r>
      <w:tr>
        <w:trPr>
          <w:trHeight w:val="237"/>
        </w:trPr>
        <w:tc>
          <w:tcPr>
            <w:tcW w:w="558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233,947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615,981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696,639</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54,484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140,182</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81,883</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32,047</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178,327</w:t>
            </w:r>
          </w:p>
        </w:tc>
      </w:tr>
      <w:tr>
        <w:trPr>
          <w:trHeight w:val="237"/>
        </w:trPr>
        <w:tc>
          <w:tcPr>
            <w:tcW w:w="5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147,291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154,222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432,720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432,439</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Impairment charge</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real estate, net of tax</w:t>
            </w: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30,490</w:t>
            </w:r>
          </w:p>
        </w:tc>
      </w:tr>
      <w:tr>
        <w:trPr>
          <w:trHeight w:val="236"/>
        </w:trPr>
        <w:tc>
          <w:tcPr>
            <w:tcW w:w="5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294,690</w:t>
            </w:r>
          </w:p>
        </w:tc>
      </w:tr>
      <w:tr>
        <w:trPr>
          <w:trHeight w:val="243"/>
        </w:trPr>
        <w:tc>
          <w:tcPr>
            <w:tcW w:w="5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755</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(82,567)</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Loss from partnerships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211,576</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THE TRUST</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206,511</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(6,031)</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INCOME AVAILABLE FOR COMMON SHAREHOLDERS</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200,480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Net (loss) income available for common shareholders</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67"/>
        </w:trPr>
        <w:tc>
          <w:tcPr>
            <w:tcW w:w="558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5"/>
        </w:trPr>
        <w:tc>
          <w:tcPr>
            <w:tcW w:w="5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210,857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COMPREHENSIVE (LOSS) INCOME ATTRIBUTABLE TO THE TRUST</w:t>
            </w: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205,792</w:t>
            </w:r>
          </w:p>
        </w:tc>
      </w:tr>
      <w:tr>
        <w:trPr>
          <w:trHeight w:val="20"/>
        </w:trPr>
        <w:tc>
          <w:tcPr>
            <w:tcW w:w="64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900" w:type="dxa"/>
            <w:vAlign w:val="bottom"/>
            <w:gridSpan w:val="8"/>
          </w:tcPr>
          <w:p>
            <w:pPr>
              <w:jc w:val="center"/>
              <w:ind w:left="2250"/>
              <w:spacing w:after="0"/>
              <w:rPr>
                <w:sz w:val="20"/>
                <w:szCs w:val="20"/>
                <w:color w:val="auto"/>
              </w:rPr>
            </w:pPr>
            <w:r>
              <w:rPr>
                <w:rFonts w:ascii="Arial" w:cs="Arial" w:eastAsia="Arial" w:hAnsi="Arial"/>
                <w:sz w:val="18"/>
                <w:szCs w:val="18"/>
                <w:color w:val="auto"/>
                <w:w w:val="88"/>
              </w:rPr>
              <w:t>The accompanying notes are an integral part of these consolidated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5580" w:type="dxa"/>
            <w:vAlign w:val="bottom"/>
          </w:tcPr>
          <w:p>
            <w:pPr>
              <w:spacing w:after="0"/>
              <w:rPr>
                <w:sz w:val="24"/>
                <w:szCs w:val="24"/>
                <w:color w:val="auto"/>
              </w:rPr>
            </w:pPr>
          </w:p>
        </w:tc>
        <w:tc>
          <w:tcPr>
            <w:tcW w:w="840" w:type="dxa"/>
            <w:vAlign w:val="bottom"/>
          </w:tcPr>
          <w:p>
            <w:pPr>
              <w:jc w:val="right"/>
              <w:ind w:right="673"/>
              <w:spacing w:after="0"/>
              <w:rPr>
                <w:sz w:val="20"/>
                <w:szCs w:val="20"/>
                <w:color w:val="auto"/>
              </w:rPr>
            </w:pPr>
            <w:r>
              <w:rPr>
                <w:rFonts w:ascii="Arial" w:cs="Arial" w:eastAsia="Arial" w:hAnsi="Arial"/>
                <w:sz w:val="15"/>
                <w:szCs w:val="15"/>
                <w:color w:val="auto"/>
                <w:w w:val="71"/>
              </w:rPr>
              <w:t>4</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2020</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2019</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2020 adoption of new accounting standard - See Note 2</w:t>
      </w:r>
    </w:p>
    <w:p>
      <w:pPr>
        <w:spacing w:after="0" w:line="12" w:lineRule="exact"/>
        <w:rPr>
          <w:sz w:val="20"/>
          <w:szCs w:val="20"/>
          <w:color w:val="auto"/>
        </w:rPr>
      </w:pPr>
    </w:p>
    <w:p>
      <w:pPr>
        <w:ind w:left="40" w:right="40"/>
        <w:spacing w:after="0" w:line="281" w:lineRule="auto"/>
        <w:rPr>
          <w:sz w:val="20"/>
          <w:szCs w:val="20"/>
          <w:color w:val="auto"/>
        </w:rPr>
      </w:pPr>
      <w:r>
        <w:rPr>
          <w:rFonts w:ascii="Arial" w:cs="Arial" w:eastAsia="Arial" w:hAnsi="Arial"/>
          <w:sz w:val="13"/>
          <w:szCs w:val="13"/>
          <w:color w:val="auto"/>
        </w:rPr>
        <w:t>Net income (loss), excluding $1,627 attributable to redeemable noncontrolling interests</w:t>
      </w:r>
    </w:p>
    <w:p>
      <w:pPr>
        <w:spacing w:after="0" w:line="1"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($3.16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2020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6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3"/>
                <w:szCs w:val="13"/>
                <w:color w:val="auto"/>
              </w:rPr>
            </w:pPr>
          </w:p>
        </w:tc>
        <w:tc>
          <w:tcPr>
            <w:tcW w:w="14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56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1"/>
              </w:rPr>
              <w:t>(In thousands, except share data)</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75,540,804</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759</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$3,166,522</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(791,124)</w:t>
            </w:r>
          </w:p>
        </w:tc>
        <w:tc>
          <w:tcPr>
            <w:tcW w:w="100" w:type="dxa"/>
            <w:vAlign w:val="bottom"/>
          </w:tcPr>
          <w:p>
            <w:pPr>
              <w:spacing w:after="0"/>
              <w:rPr>
                <w:sz w:val="23"/>
                <w:szCs w:val="23"/>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100,791</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2,636,132</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36,981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32,050</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(6,487)</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(238,980)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(238,980)</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(2,465)</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17,669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115,368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10,143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10,144</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(32,824)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76"/>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37"/>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00" w:type="dxa"/>
            <w:vAlign w:val="bottom"/>
          </w:tcPr>
          <w:p>
            <w:pPr>
              <w:spacing w:after="0"/>
              <w:rPr>
                <w:sz w:val="20"/>
                <w:szCs w:val="20"/>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$159,997</w:t>
            </w:r>
          </w:p>
        </w:tc>
        <w:tc>
          <w:tcPr>
            <w:tcW w:w="12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75,641,074</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760</w:t>
            </w:r>
          </w:p>
        </w:tc>
        <w:tc>
          <w:tcPr>
            <w:tcW w:w="980" w:type="dxa"/>
            <w:vAlign w:val="bottom"/>
            <w:gridSpan w:val="3"/>
          </w:tcPr>
          <w:p>
            <w:pPr>
              <w:jc w:val="right"/>
              <w:ind w:right="49"/>
              <w:spacing w:after="0"/>
              <w:rPr>
                <w:sz w:val="20"/>
                <w:szCs w:val="20"/>
                <w:color w:val="auto"/>
              </w:rPr>
            </w:pPr>
            <w:r>
              <w:rPr>
                <w:rFonts w:ascii="Arial" w:cs="Arial" w:eastAsia="Arial" w:hAnsi="Arial"/>
                <w:sz w:val="14"/>
                <w:szCs w:val="14"/>
                <w:color w:val="auto"/>
              </w:rPr>
              <w:t>$3,174,066</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(999,664)</w:t>
            </w:r>
          </w:p>
        </w:tc>
        <w:tc>
          <w:tcPr>
            <w:tcW w:w="100" w:type="dxa"/>
            <w:vAlign w:val="bottom"/>
          </w:tcPr>
          <w:p>
            <w:pPr>
              <w:spacing w:after="0"/>
              <w:rPr>
                <w:sz w:val="20"/>
                <w:szCs w:val="20"/>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90,225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2,418,084</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-2673985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-2279650</wp:posOffset>
            </wp:positionV>
            <wp:extent cx="71323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-1833880</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-1439545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-1096645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-702310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-359410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222885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60"/>
            <w:col w:w="8320"/>
          </w:cols>
          <w:pgMar w:left="320" w:top="126" w:right="33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2020</w:t>
      </w:r>
    </w:p>
    <w:p>
      <w:pPr>
        <w:spacing w:after="0" w:line="109" w:lineRule="exact"/>
        <w:rPr>
          <w:sz w:val="20"/>
          <w:szCs w:val="20"/>
          <w:color w:val="auto"/>
        </w:rPr>
      </w:pPr>
    </w:p>
    <w:p>
      <w:pPr>
        <w:ind w:left="40" w:right="60"/>
        <w:spacing w:after="0" w:line="281" w:lineRule="auto"/>
        <w:rPr>
          <w:sz w:val="20"/>
          <w:szCs w:val="20"/>
          <w:color w:val="auto"/>
        </w:rPr>
      </w:pPr>
      <w:r>
        <w:rPr>
          <w:rFonts w:ascii="Arial" w:cs="Arial" w:eastAsia="Arial" w:hAnsi="Arial"/>
          <w:sz w:val="13"/>
          <w:szCs w:val="13"/>
          <w:color w:val="auto"/>
        </w:rPr>
        <w:t>Net income (loss), excluding $470 attributable to redeemable noncontrolling interests</w:t>
      </w:r>
    </w:p>
    <w:p>
      <w:pPr>
        <w:spacing w:after="0" w:line="1"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Other comprehensive income - change in fair value of interest rate swaps</w:t>
      </w:r>
    </w:p>
    <w:p>
      <w:pPr>
        <w:spacing w:after="0" w:line="12" w:lineRule="exact"/>
        <w:rPr>
          <w:sz w:val="20"/>
          <w:szCs w:val="20"/>
          <w:color w:val="auto"/>
        </w:rPr>
      </w:pPr>
    </w:p>
    <w:p>
      <w:pPr>
        <w:ind w:left="40" w:right="180"/>
        <w:spacing w:after="0" w:line="253" w:lineRule="auto"/>
        <w:rPr>
          <w:sz w:val="20"/>
          <w:szCs w:val="20"/>
          <w:color w:val="auto"/>
        </w:rPr>
      </w:pPr>
      <w:r>
        <w:rPr>
          <w:rFonts w:ascii="Arial" w:cs="Arial" w:eastAsia="Arial" w:hAnsi="Arial"/>
          <w:sz w:val="14"/>
          <w:szCs w:val="14"/>
          <w:color w:val="auto"/>
        </w:rPr>
        <w:t>Dividends declared to common shareholders ($1.06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to preferred shareholders</w:t>
      </w:r>
    </w:p>
    <w:p>
      <w:pPr>
        <w:spacing w:after="0" w:line="121"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Distributions declared 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Shares issued under dividend reinvestment plan</w:t>
      </w:r>
    </w:p>
    <w:p>
      <w:pPr>
        <w:spacing w:after="0" w:line="132" w:lineRule="exact"/>
        <w:rPr>
          <w:sz w:val="20"/>
          <w:szCs w:val="20"/>
          <w:color w:val="auto"/>
        </w:rPr>
      </w:pPr>
    </w:p>
    <w:p>
      <w:pPr>
        <w:ind w:left="40" w:right="30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right="440"/>
        <w:spacing w:after="0" w:line="486" w:lineRule="auto"/>
        <w:rPr>
          <w:sz w:val="20"/>
          <w:szCs w:val="20"/>
          <w:color w:val="auto"/>
        </w:rPr>
      </w:pPr>
      <w:r>
        <w:rPr>
          <w:rFonts w:ascii="Arial" w:cs="Arial" w:eastAsia="Arial" w:hAnsi="Arial"/>
          <w:sz w:val="13"/>
          <w:szCs w:val="13"/>
          <w:color w:val="auto"/>
        </w:rPr>
        <w:t>Shares withheld for employee taxes BALANCE AT SEPTEMBER 30, 2020</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$ 159,997</w:t>
            </w: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75,633,140</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3,170,480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(889,195)</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(7,758)</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96,817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2,531,101</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(34,093)</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458</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(80,170)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(80,170)</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(2,010)</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(788)</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506</w:t>
            </w:r>
          </w:p>
        </w:tc>
      </w:tr>
      <w:tr>
        <w:trPr>
          <w:trHeight w:val="351"/>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3,115</w:t>
            </w:r>
          </w:p>
        </w:tc>
      </w:tr>
      <w:tr>
        <w:trPr>
          <w:trHeight w:val="27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$ 159,997</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75,641,074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3,174,066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(999,664)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90,225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2,418,084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-1765300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-1319530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-925195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-582295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-187960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2780" w:space="40"/>
            <w:col w:w="842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2019</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2018</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2019 adoption of new accounting standard</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income, excluding $2,604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($3.09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Conversion and 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right="42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2019</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2019</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Net income, excluding $821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($1.05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right="42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Shareholders’ Equity of the Trust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40" w:type="dxa"/>
            <w:vAlign w:val="bottom"/>
            <w:gridSpan w:val="5"/>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gridSpan w:val="2"/>
            <w:vMerge w:val="restart"/>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3"/>
                <w:szCs w:val="13"/>
                <w:color w:val="auto"/>
              </w:rPr>
            </w:pPr>
          </w:p>
        </w:tc>
        <w:tc>
          <w:tcPr>
            <w:tcW w:w="96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11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Dividends 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0"/>
                <w:szCs w:val="10"/>
                <w:color w:val="auto"/>
              </w:rPr>
            </w:pPr>
          </w:p>
        </w:tc>
        <w:tc>
          <w:tcPr>
            <w:tcW w:w="7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Excess of Net</w:t>
            </w:r>
          </w:p>
        </w:tc>
        <w:tc>
          <w:tcPr>
            <w:tcW w:w="20" w:type="dxa"/>
            <w:vAlign w:val="bottom"/>
          </w:tcPr>
          <w:p>
            <w:pPr>
              <w:spacing w:after="0"/>
              <w:rPr>
                <w:sz w:val="10"/>
                <w:szCs w:val="10"/>
                <w:color w:val="auto"/>
              </w:rPr>
            </w:pPr>
          </w:p>
        </w:tc>
        <w:tc>
          <w:tcPr>
            <w:tcW w:w="110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0" w:type="dxa"/>
            <w:vAlign w:val="bottom"/>
          </w:tcPr>
          <w:p>
            <w:pPr>
              <w:spacing w:after="0"/>
              <w:rPr>
                <w:sz w:val="10"/>
                <w:szCs w:val="10"/>
                <w:color w:val="auto"/>
              </w:rPr>
            </w:pPr>
          </w:p>
        </w:tc>
        <w:tc>
          <w:tcPr>
            <w:tcW w:w="10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auto"/>
              </w:rPr>
              <w:t>(In thousands, except share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4"/>
                <w:szCs w:val="14"/>
                <w:color w:val="auto"/>
                <w:w w:val="95"/>
              </w:rPr>
              <w:t>$159,997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w w:val="94"/>
              </w:rPr>
              <w:t>74,249,633</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3"/>
                <w:szCs w:val="23"/>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w w:val="94"/>
              </w:rPr>
              <w:t>$3,004,442</w:t>
            </w:r>
          </w:p>
        </w:tc>
        <w:tc>
          <w:tcPr>
            <w:tcW w:w="100" w:type="dxa"/>
            <w:vAlign w:val="bottom"/>
          </w:tcPr>
          <w:p>
            <w:pPr>
              <w:spacing w:after="0"/>
              <w:rPr>
                <w:sz w:val="23"/>
                <w:szCs w:val="23"/>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(818,877)</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121,439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206,511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208,972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(231,657)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(231,657)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(8,812)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1,045,470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139,488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139,499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12,006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110,804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10,142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10,143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(34,234)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(4,615)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111,252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11,933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(12,006)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4,503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4,503</w:t>
            </w:r>
          </w:p>
        </w:tc>
        <w:tc>
          <w:tcPr>
            <w:tcW w:w="0" w:type="dxa"/>
            <w:vAlign w:val="bottom"/>
          </w:tcPr>
          <w:p>
            <w:pPr>
              <w:spacing w:after="0"/>
              <w:rPr>
                <w:sz w:val="1"/>
                <w:szCs w:val="1"/>
                <w:color w:val="auto"/>
              </w:rPr>
            </w:pPr>
          </w:p>
        </w:tc>
      </w:tr>
      <w:tr>
        <w:trPr>
          <w:trHeight w:val="237"/>
        </w:trPr>
        <w:tc>
          <w:tcPr>
            <w:tcW w:w="78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5"/>
              </w:rPr>
              <w:t>$159,997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4"/>
              </w:rPr>
              <w:t>75,494,931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w w:val="94"/>
              </w:rPr>
              <w:t>$3,167,460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(857,152)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103,193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2,573,121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$ 159,997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74,950,197</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752</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$3,088,946</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(841,505)</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(1,024)</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103,480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2,510,646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65,465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66,285</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(79,102)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(79,102)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533,516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71,189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71,195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3,885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513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8,667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3,151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(1,334)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3,836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37"/>
        </w:trPr>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$ 159,997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75,494,931</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758</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$3,167,460</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(857,152)</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(1,135)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103,193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2,573,121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-5691505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-5297170</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-4851400</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-4457065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-4114165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-3719830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-3376930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-2982595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-2673985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-2279650</wp:posOffset>
            </wp:positionV>
            <wp:extent cx="71323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-1833880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-1490980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-1148080</wp:posOffset>
            </wp:positionV>
            <wp:extent cx="71323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-753745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-410845</wp:posOffset>
            </wp:positionV>
            <wp:extent cx="71323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67" w:lineRule="exact"/>
        <w:rPr>
          <w:sz w:val="20"/>
          <w:szCs w:val="20"/>
          <w:color w:val="auto"/>
        </w:rPr>
      </w:pPr>
    </w:p>
    <w:p>
      <w:pPr>
        <w:jc w:val="center"/>
        <w:ind w:right="292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860" w:space="60"/>
            <w:col w:w="8320"/>
          </w:cols>
          <w:pgMar w:left="320" w:top="1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3"/>
        </w:trPr>
        <w:tc>
          <w:tcPr>
            <w:tcW w:w="8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0"/>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55"/>
        </w:trPr>
        <w:tc>
          <w:tcPr>
            <w:tcW w:w="8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211,576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178,327</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Impairment charge</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real estate,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(30,490)</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Loss from partnerships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1,302</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(12,836)</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6,262</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268,422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344,306</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(45,122)</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(302,666)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(226,232)</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115,781</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(18,751)</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repayment of mortgage and other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r>
      <w:tr>
        <w:trPr>
          <w:trHeight w:val="237"/>
        </w:trPr>
        <w:tc>
          <w:tcPr>
            <w:tcW w:w="84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(373,572)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(227,266)</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Costs to amend revolving credit facility</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(4,012)</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400,106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of notes payable, net of costs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398,742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(299,485)</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139,729</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(232,985)</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(4,615)</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(17,466)</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839,975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36"/>
        </w:trPr>
        <w:tc>
          <w:tcPr>
            <w:tcW w:w="840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734,825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98,584</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108,332</w:t>
            </w:r>
          </w:p>
        </w:tc>
      </w:tr>
      <w:tr>
        <w:trPr>
          <w:trHeight w:val="236"/>
        </w:trPr>
        <w:tc>
          <w:tcPr>
            <w:tcW w:w="84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888,439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206,916</w:t>
            </w: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6"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September 30, 2020,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While we currently expect the impact to our properties is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2019,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2020 are not necessarily indicative of the results that may be expected for the full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expenditures are incurred.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6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September 30, 2020, we have entered into rent deferral agreements related to the COVID-19 pandemic representing approximately $30 million of rent otherwise owed during the nine months ended September 30, 2020, and continue negotiations with other tenants.</w:t>
      </w:r>
    </w:p>
    <w:p>
      <w:pPr>
        <w:spacing w:after="0" w:line="3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w:t>
      </w:r>
    </w:p>
    <w:p>
      <w:pPr>
        <w:spacing w:after="0" w:line="6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12529"/>
        </w:rPr>
        <w:t>The actions taken by federal, state and local governments to mitigate the spread of COVID-19, initially by ordering closures of non-essential businesses and ordering residents to generally stay at home, and subsequent phased re-openings, as well as the general concern over the spread of COVID-19, have resulted in many of our tenants temporarily or even permanently closing their businesses, and for some, it has impacted their ability to pay rent</w:t>
      </w:r>
      <w:r>
        <w:rPr>
          <w:rFonts w:ascii="Arial" w:cs="Arial" w:eastAsia="Arial" w:hAnsi="Arial"/>
          <w:sz w:val="16"/>
          <w:szCs w:val="16"/>
          <w:color w:val="000000"/>
        </w:rPr>
        <w:t>. As a result,</w:t>
      </w:r>
      <w:r>
        <w:rPr>
          <w:rFonts w:ascii="Arial" w:cs="Arial" w:eastAsia="Arial" w:hAnsi="Arial"/>
          <w:sz w:val="16"/>
          <w:szCs w:val="16"/>
          <w:color w:val="212529"/>
        </w:rPr>
        <w:t xml:space="preserve"> </w:t>
      </w:r>
      <w:r>
        <w:rPr>
          <w:rFonts w:ascii="Arial" w:cs="Arial" w:eastAsia="Arial" w:hAnsi="Arial"/>
          <w:sz w:val="16"/>
          <w:szCs w:val="16"/>
          <w:color w:val="000000"/>
        </w:rPr>
        <w:t>we revised our collectibility assumptions for many of our tenants most significantly impacted by COVID-19. Accordingly, during the three and nine months ended September 30, 2020, we recognized collectibility related adjustments of $29.4 million and $87.6 million, respectively. This includes changes in our collectibility assessments from probable to not probable, disputed rents, and any rent abatements, as well as the write-off of $1.7 million and $11.2 million of straight-line rent receivables primarily related to tenants changed to a cash basis of revenue recognition in the three and nine months ended September 30, 2020, respectively. As of September 30, 2020, the revenue from approximately 34% of our tenants (based on total commercial leases) is being recognized on a cash basis. As of September 30, 2020 and December 31, 2019, our straight-line rent receivables balance was $102.9 million and $100.3 million, respectively, and is included in "accounts and notes receivable, net" on our consolidated balance sheet.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Impairment</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 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1, 2020, the $60.6 million non-recourse mortgage loan on The Shops at Sunset Place matured. The mortgage was not repaid and thus the lender declared the loan in default. We are an approximately 90% owner in the partnership that owns the property, and we consolidate the partnership as we are the primary beneficiary of this VIE. While we continue to evaluate our long-term plans for the property, taking into account current market conditions and prospective development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6"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redevelopment returns, as well as the impact of COVID-19 on the revenue prospects for the property, we currently believe it is unlikely we will move forward with the planned redevelopment or repay the mortgage loan at the current balance, and thus, do not expect we will be long-term holders of this asset. While we continue to engage in negotiations with the lender, we expect our exit from the property would either be achieved through a short term extension of the loan and an orderly sales process commencing in 2021, or potentially, the lender taking control of the asset. Given these current expectations, we have recorded an impairment charge of $57.2 million during the three and nine months ended September 30, 2020.</w:t>
      </w:r>
    </w:p>
    <w:p>
      <w:pPr>
        <w:spacing w:after="0" w:line="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estimate used to determine the impairment charge was determined by market comparable data and discounted cash flow analyses. The cash flows utilized in such analyses are comprised of unobservable inputs which include forecasted rental revenue and expenses based upon market conditions and future expectations. The capitalization rates and discount rates utilized in such analyses are based upon unobservable rates that we believe to be within a reasonable range of current market rates for the property. Based on these inputs, we have determined that the $57 million estimated valuation of the property is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126" w:right="4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and Issued Accounting Pronouncements</w:t>
      </w:r>
    </w:p>
    <w:p>
      <w:pPr>
        <w:sectPr>
          <w:pgSz w:w="11900" w:h="16838" w:orient="portrait"/>
          <w:cols w:equalWidth="0" w:num="1">
            <w:col w:w="11200"/>
          </w:cols>
          <w:pgMar w:left="320" w:top="126" w:right="379" w:bottom="1440" w:gutter="0" w:footer="0" w:header="0"/>
        </w:sect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62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Adopted on January 1, 2020:</w:t>
      </w:r>
    </w:p>
    <w:p>
      <w:pPr>
        <w:spacing w:after="0" w:line="109"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Financial Instruments - Credit Losses (Topic 326) and related updates: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2016-13, June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2016, </w:t>
      </w: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 (Topic 326)</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2018-19,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November 2018,</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Codification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Improvements to</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Topic 326,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22802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This ASU changes the impairment model for most financial assets and certain other instruments, requiring the use of an "expected credit loss" model and adding more disclosure requirements.</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ASU 2018-19 clarifies that impairment of receivables arising from operating leases should be accounted for in accordance with Topic 842,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Upon adoption of this standard, we recorded expected losses of $0.5 million in opening accumulated dividends in excess of net income. During the nine months ended September 30, 2020, we recorded additional expected losses of $0.4 million, which are included in rental expenses.</w:t>
      </w:r>
    </w:p>
    <w:p>
      <w:pPr>
        <w:spacing w:after="0" w:line="2765" w:lineRule="exact"/>
        <w:rPr>
          <w:sz w:val="20"/>
          <w:szCs w:val="20"/>
          <w:color w:val="auto"/>
        </w:rPr>
      </w:pPr>
    </w:p>
    <w:p>
      <w:pPr>
        <w:sectPr>
          <w:pgSz w:w="11900" w:h="16838" w:orient="portrait"/>
          <w:cols w:equalWidth="0" w:num="3">
            <w:col w:w="2080" w:space="200"/>
            <w:col w:w="3540" w:space="160"/>
            <w:col w:w="5220"/>
          </w:cols>
          <w:pgMar w:left="320" w:top="126" w:right="379" w:bottom="1440" w:gutter="0" w:footer="0" w:header="0"/>
          <w:type w:val="continuous"/>
        </w:sectPr>
      </w:pPr>
    </w:p>
    <w:p>
      <w:pPr>
        <w:ind w:left="40"/>
        <w:spacing w:after="0" w:line="270" w:lineRule="auto"/>
        <w:rPr>
          <w:sz w:val="20"/>
          <w:szCs w:val="20"/>
          <w:color w:val="auto"/>
        </w:rPr>
      </w:pPr>
      <w:r>
        <w:rPr>
          <w:rFonts w:ascii="Arial" w:cs="Arial" w:eastAsia="Arial" w:hAnsi="Arial"/>
          <w:sz w:val="16"/>
          <w:szCs w:val="16"/>
          <w:color w:val="auto"/>
        </w:rPr>
        <w:t xml:space="preserve">ASU 2018-15, August 2018, </w:t>
      </w:r>
      <w:r>
        <w:rPr>
          <w:rFonts w:ascii="Arial" w:cs="Arial" w:eastAsia="Arial" w:hAnsi="Arial"/>
          <w:sz w:val="16"/>
          <w:szCs w:val="16"/>
          <w:i w:val="1"/>
          <w:iCs w:val="1"/>
          <w:color w:val="auto"/>
        </w:rPr>
        <w:t>Intangibles - Goodwill and Other Internal Use Software: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This ASU requires a customer in a cloud computing arrangement (i.e. hosting arrangement) that is a service contract to follow the internal-use software guidance in ASC 350-40 to determine which implementation costs to capitalize as assets. Capitalized implementation costs related to a hosting arrangement that is a service contract will be amortized over the term of the hosting arrangement. Entities will expense costs during the preliminary project and post-implementation stages as they are incurred.</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The guidance can be applied prospectively to all implementation costs incurred after the date of adoption or retrospectively in accordance with ASC 250-10-45-5 through ASC 250-10-45-10.</w:t>
      </w:r>
    </w:p>
    <w:p>
      <w:pPr>
        <w:spacing w:after="0" w:line="20" w:lineRule="exact"/>
        <w:rPr>
          <w:sz w:val="20"/>
          <w:szCs w:val="20"/>
          <w:color w:val="auto"/>
        </w:rPr>
      </w:pPr>
      <w:r>
        <w:rPr>
          <w:sz w:val="20"/>
          <w:szCs w:val="20"/>
          <w:color w:val="auto"/>
        </w:rPr>
        <w:br w:type="column"/>
      </w:r>
    </w:p>
    <w:p>
      <w:pPr>
        <w:ind w:right="400"/>
        <w:spacing w:after="0" w:line="274" w:lineRule="auto"/>
        <w:rPr>
          <w:sz w:val="20"/>
          <w:szCs w:val="20"/>
          <w:color w:val="auto"/>
        </w:rPr>
      </w:pPr>
      <w:r>
        <w:rPr>
          <w:rFonts w:ascii="Arial" w:cs="Arial" w:eastAsia="Arial" w:hAnsi="Arial"/>
          <w:sz w:val="17"/>
          <w:szCs w:val="17"/>
          <w:color w:val="auto"/>
        </w:rPr>
        <w:t>The adoption of this standard does not have a significant impact to our consolidated financial statements.</w:t>
      </w:r>
    </w:p>
    <w:p>
      <w:pPr>
        <w:spacing w:after="0" w:line="2968" w:lineRule="exact"/>
        <w:rPr>
          <w:sz w:val="20"/>
          <w:szCs w:val="20"/>
          <w:color w:val="auto"/>
        </w:rPr>
      </w:pPr>
    </w:p>
    <w:p>
      <w:pPr>
        <w:sectPr>
          <w:pgSz w:w="11900" w:h="16838" w:orient="portrait"/>
          <w:cols w:equalWidth="0" w:num="3">
            <w:col w:w="2100" w:space="180"/>
            <w:col w:w="3540" w:space="160"/>
            <w:col w:w="5220"/>
          </w:cols>
          <w:pgMar w:left="320" w:top="126" w:right="37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Issued in 2020:</w:t>
      </w:r>
    </w:p>
    <w:p>
      <w:pPr>
        <w:spacing w:after="0" w:line="75"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This guidance can be applied immediately, however, is generally only available through December 31, 2022.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3030" w:lineRule="exact"/>
        <w:rPr>
          <w:sz w:val="20"/>
          <w:szCs w:val="20"/>
          <w:color w:val="auto"/>
        </w:rPr>
      </w:pPr>
    </w:p>
    <w:p>
      <w:pPr>
        <w:sectPr>
          <w:pgSz w:w="11900" w:h="16838" w:orient="portrait"/>
          <w:cols w:equalWidth="0" w:num="3">
            <w:col w:w="2080" w:space="200"/>
            <w:col w:w="3480" w:space="220"/>
            <w:col w:w="5220"/>
          </w:cols>
          <w:pgMar w:left="320" w:top="126" w:right="379" w:bottom="1440" w:gutter="0" w:footer="0" w:header="0"/>
          <w:type w:val="continuous"/>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20" w:top="126" w:right="3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62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7" w:lineRule="exact"/>
        <w:rPr>
          <w:sz w:val="20"/>
          <w:szCs w:val="20"/>
          <w:color w:val="auto"/>
        </w:rPr>
      </w:pPr>
    </w:p>
    <w:p>
      <w:pPr>
        <w:ind w:left="40"/>
        <w:spacing w:after="0" w:line="268" w:lineRule="auto"/>
        <w:rPr>
          <w:sz w:val="20"/>
          <w:szCs w:val="20"/>
          <w:color w:val="auto"/>
        </w:rPr>
      </w:pPr>
      <w:r>
        <w:rPr>
          <w:rFonts w:ascii="Arial" w:cs="Arial" w:eastAsia="Arial" w:hAnsi="Arial"/>
          <w:sz w:val="16"/>
          <w:szCs w:val="16"/>
          <w:color w:val="auto"/>
        </w:rPr>
        <w:t xml:space="preserve">ASU 2020-06, August 2020, </w:t>
      </w:r>
      <w:r>
        <w:rPr>
          <w:rFonts w:ascii="Arial" w:cs="Arial" w:eastAsia="Arial" w:hAnsi="Arial"/>
          <w:sz w:val="16"/>
          <w:szCs w:val="16"/>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2280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ASU simplifies the accounting for convertible instruments by removing the requirements to separately present certain conversion features in equity, simplifying the settlement assessment that entities are required to perform to determine whether a contract qualifies for equity classification, and generally requiring use of the if-converted method for all convertible instruments in the diluted EPS calculation and include the effect of potential share settlement (if the effect is more dilutive). The guidance is effective for annual periods beginning after December 15, 2021, and interim periods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adoption of this standard is not expected to have a significant impact to our consolidated financial statements.</w:t>
      </w:r>
    </w:p>
    <w:p>
      <w:pPr>
        <w:spacing w:after="0" w:line="2813" w:lineRule="exact"/>
        <w:rPr>
          <w:sz w:val="20"/>
          <w:szCs w:val="20"/>
          <w:color w:val="auto"/>
        </w:rPr>
      </w:pPr>
    </w:p>
    <w:p>
      <w:pPr>
        <w:sectPr>
          <w:pgSz w:w="11900" w:h="16838" w:orient="portrait"/>
          <w:cols w:equalWidth="0" w:num="3">
            <w:col w:w="2100" w:space="180"/>
            <w:col w:w="3480" w:space="220"/>
            <w:col w:w="5260"/>
          </w:cols>
          <w:pgMar w:left="320" w:top="126"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3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97,074</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82,567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89,447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82,118</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717"/>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863,279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888,439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-130175</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w:t>
      </w:r>
    </w:p>
    <w:p>
      <w:pPr>
        <w:sectPr>
          <w:pgSz w:w="11900" w:h="16838" w:orient="portrait"/>
          <w:cols w:equalWidth="0" w:num="1">
            <w:col w:w="11240"/>
          </w:cols>
          <w:pgMar w:left="320" w:top="126"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On April 21, 2020, we sold a building in Pasadena, California for $16.1 million, which resulted in a gain of $11.7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12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September 1, 2020, the $60.6 million non-recourse mortgage loan on The Shops at Sunset Place matured. The mortgage was not repaid and thus the lender declared the loan in default. We continue to engage in negotiations with the lender. The default did not trigger a cross default with any of our other indebtedness. At September 30, 2020, accrued interest and other fees payable to the lender total $0.8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2020, there were no borrowings on our revolving credit facility. During the nine months ended</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September 30, 2020, the maximum amount of borrowings outstanding under our revolving credit facility was $990.0 million, the weighted average interest rate, before amortization of debt fees, was 1.5%, and the weighted average borrowings outstanding was $185.0 million. Our revolving credit facility, term loan, and certain notes require us to comply with various financial covenants, including the maintenance of minimum shareholders' equity and debt coverage ratios and a maximum ratio of debt to net worth. As of September 30, 2020, we were in compliance with all default related debt covenants, with the exception of the mortgage loan referred to above.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952,025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943,550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549,460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562,049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3,508,824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3,789,503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2,807,134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3,001,216</w:t>
            </w:r>
          </w:p>
        </w:tc>
        <w:tc>
          <w:tcPr>
            <w:tcW w:w="0" w:type="dxa"/>
            <w:vAlign w:val="bottom"/>
          </w:tcPr>
          <w:p>
            <w:pPr>
              <w:spacing w:after="0"/>
              <w:rPr>
                <w:sz w:val="1"/>
                <w:szCs w:val="1"/>
                <w:color w:val="auto"/>
              </w:rPr>
            </w:pPr>
          </w:p>
        </w:tc>
      </w:tr>
      <w:tr>
        <w:trPr>
          <w:trHeight w:val="891"/>
        </w:trPr>
        <w:tc>
          <w:tcPr>
            <w:tcW w:w="55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September 30, 2020,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2020 was a liability of $5.7 million and is included in "other liabilities and deferred credits" on our consolidated balance sheet. For the three and nine months ended September 30, 2020, the value of our interest rate swaps increased $0.3 million and decreased $5.9 million, respectively (including $0.2 million and 0.4 million, respectively, reclassified from other comprehensive loss to interest expense). A summary of our financial (liabilities) assets that are measured at fair value on a recurring basis, by level within the fair value hierarchy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 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6"/>
                <w:szCs w:val="16"/>
                <w:color w:val="auto"/>
              </w:rPr>
            </w:pPr>
          </w:p>
        </w:tc>
      </w:tr>
      <w:tr>
        <w:trPr>
          <w:trHeight w:val="264"/>
        </w:trPr>
        <w:tc>
          <w:tcPr>
            <w:tcW w:w="28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8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   $  (5,745)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w:t>
            </w:r>
          </w:p>
        </w:tc>
      </w:tr>
      <w:tr>
        <w:trPr>
          <w:trHeight w:val="27"/>
        </w:trPr>
        <w:tc>
          <w:tcPr>
            <w:tcW w:w="2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nine months ended September 30, 2020, our share of the change in fair value of the related swaps included in "accumulated other comprehensive loss" was an increase of $0.2 million and a decrease of $0.6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744,617 downREIT operating partnership units are outstanding which have a total fair value of approximately $54.7 million, which is calculated by multiplying the outstanding number of downREIT partnership units by our closing stock price on September 30,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5"/>
              </w:rPr>
              <w:t>Nine Months Ended September 30,</w:t>
            </w:r>
          </w:p>
        </w:tc>
        <w:tc>
          <w:tcPr>
            <w:tcW w:w="680" w:type="dxa"/>
            <w:vAlign w:val="bottom"/>
            <w:tcBorders>
              <w:bottom w:val="single" w:sz="8" w:color="auto"/>
            </w:tcBorders>
          </w:tcPr>
          <w:p>
            <w:pPr>
              <w:spacing w:after="0"/>
              <w:rPr>
                <w:sz w:val="16"/>
                <w:szCs w:val="16"/>
                <w:color w:val="auto"/>
              </w:rPr>
            </w:pPr>
          </w:p>
        </w:tc>
      </w:tr>
      <w:tr>
        <w:trPr>
          <w:trHeight w:val="263"/>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Borders>
              <w:bottom w:val="single" w:sz="8" w:color="auto"/>
            </w:tcBorders>
          </w:tcPr>
          <w:p>
            <w:pPr>
              <w:spacing w:after="0"/>
              <w:rPr>
                <w:sz w:val="22"/>
                <w:szCs w:val="22"/>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1.016</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0.938</w:t>
            </w:r>
          </w:p>
        </w:tc>
      </w:tr>
      <w:tr>
        <w:trPr>
          <w:trHeight w:val="20"/>
        </w:trPr>
        <w:tc>
          <w:tcPr>
            <w:tcW w:w="7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general corporate purposes. As of September 30, 2020, we had the capacity to issue up to $128.3 million in common shares under our ATM equity program.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5"/>
          </w:tcPr>
          <w:p>
            <w:pPr>
              <w:ind w:left="1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3,115</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4"/>
              </w:rPr>
              <w:t>3,151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2,780</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4"/>
              </w:rPr>
              <w:t>2,877</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9—OPERATING &amp; FINANCE LEASES</w:t>
            </w: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gridSpan w:val="9"/>
          </w:tcPr>
          <w:p>
            <w:pPr>
              <w:spacing w:after="0"/>
              <w:rPr>
                <w:sz w:val="20"/>
                <w:szCs w:val="20"/>
                <w:color w:val="auto"/>
              </w:rPr>
            </w:pPr>
            <w:r>
              <w:rPr>
                <w:rFonts w:ascii="Arial" w:cs="Arial" w:eastAsia="Arial" w:hAnsi="Arial"/>
                <w:sz w:val="18"/>
                <w:szCs w:val="18"/>
                <w:color w:val="auto"/>
                <w:w w:val="91"/>
              </w:rPr>
              <w:t>The following table provides additional information on our operating and finance leases where we are the lessee: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LEASE COST:</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321</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1,456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4,369</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lease cost</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1,443</w:t>
            </w:r>
          </w:p>
        </w:tc>
        <w:tc>
          <w:tcPr>
            <w:tcW w:w="34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4,554</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7"/>
              </w:rPr>
              <w:t>3,309</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10,132</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1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5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OTHER INFORMATION:</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Operating cash flows for finance leases</w:t>
            </w:r>
          </w:p>
        </w:tc>
        <w:tc>
          <w:tcPr>
            <w:tcW w:w="32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1,432</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Operating cash flows for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1,421</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Financing cash flows for finance leases</w:t>
            </w:r>
          </w:p>
        </w:tc>
        <w:tc>
          <w:tcPr>
            <w:tcW w:w="32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0" w:type="dxa"/>
            <w:vAlign w:val="bottom"/>
            <w:gridSpan w:val="5"/>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17.5 years</w:t>
            </w:r>
          </w:p>
        </w:tc>
        <w:tc>
          <w:tcPr>
            <w:tcW w:w="4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18.4 years</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 years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53.7 years</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230"/>
              <w:spacing w:after="0"/>
              <w:rPr>
                <w:sz w:val="20"/>
                <w:szCs w:val="20"/>
                <w:color w:val="auto"/>
              </w:rPr>
            </w:pPr>
            <w:r>
              <w:rPr>
                <w:rFonts w:ascii="Arial" w:cs="Arial" w:eastAsia="Arial" w:hAnsi="Arial"/>
                <w:sz w:val="18"/>
                <w:szCs w:val="18"/>
                <w:color w:val="auto"/>
              </w:rPr>
              <w:t>8.0%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2020 and 2019,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the three and nine months ended September 30, 2020 and 2019. The conversions of downREIT operating partnership units and 5.417% Series 1 Cumulative Convertible Preferred Shares are anti-</w:t>
      </w:r>
    </w:p>
    <w:p>
      <w:pPr>
        <w:sectPr>
          <w:pgSz w:w="11900" w:h="16838" w:orient="portrait"/>
          <w:cols w:equalWidth="0" w:num="1">
            <w:col w:w="11240"/>
          </w:cols>
          <w:pgMar w:left="320" w:top="126"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dilutive for all periods presented and accordingly, have been excluded from the weighted average common shares used to compute diluted EPS.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(In thousands, except per share 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(33,623)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67,106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33,677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211,576</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Loss (income) from operations attributable to noncontrolling interests</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(5,065)</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(loss) income available for common shareholders, basic and diluted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63,223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30,205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199,809</w:t>
            </w:r>
          </w:p>
        </w:tc>
      </w:tr>
      <w:tr>
        <w:trPr>
          <w:trHeight w:val="67"/>
        </w:trPr>
        <w:tc>
          <w:tcPr>
            <w:tcW w:w="6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basic and diluted</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75,404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74,832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75,386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74,584</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available for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w:t>
      </w:r>
    </w:p>
    <w:p>
      <w:pPr>
        <w:spacing w:after="0" w:line="94"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On October 13, 2020, we issued $400.0 million of fixed rate senior unsecured notes that mature on February 15, 2026 and bear interest at 1.25%. The notes were offered at 99.339% of the principal amount with a yield to maturity of 1.379%. The net proceeds of these notes, or "green bonds," will be allocated to the financing and refinancing of recently completed and future eligible green projects, which includes (i) investments in acquisitions of buildings;</w:t>
      </w:r>
    </w:p>
    <w:p>
      <w:pPr>
        <w:spacing w:after="0" w:line="2" w:lineRule="exact"/>
        <w:rPr>
          <w:sz w:val="20"/>
          <w:szCs w:val="20"/>
          <w:color w:val="auto"/>
        </w:rPr>
      </w:pPr>
    </w:p>
    <w:p>
      <w:pPr>
        <w:jc w:val="both"/>
        <w:ind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developments or redevelopments; (iii) renovations in existing buildings; and (iv) tenant improvement projects, in each case that have received, or are expected to receive, in the three years prior to the issuance of the notes or during the term of the notes, a LEED Silver, Gold, or Platinum certification (or environmentally equivalent successor standards). Net proceeds allocated to previously incurred costs associated with eligible green projects will be available for repayment of indebtedness.</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2019 filed with the Securities and Exchange Commission (the “SEC”) on February 10, 2020.</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Quarterly Report on Form 10-Q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ind w:left="340" w:right="80" w:hanging="332"/>
        <w:spacing w:after="0" w:line="255" w:lineRule="auto"/>
        <w:tabs>
          <w:tab w:leader="none" w:pos="340" w:val="left"/>
        </w:tabs>
        <w:numPr>
          <w:ilvl w:val="0"/>
          <w:numId w:val="5"/>
        </w:numPr>
        <w:rPr>
          <w:rFonts w:ascii="Arial" w:cs="Arial" w:eastAsia="Arial" w:hAnsi="Arial"/>
          <w:sz w:val="18"/>
          <w:szCs w:val="18"/>
          <w:color w:val="212529"/>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 w:lineRule="exact"/>
        <w:rPr>
          <w:rFonts w:ascii="Arial" w:cs="Arial" w:eastAsia="Arial" w:hAnsi="Arial"/>
          <w:sz w:val="18"/>
          <w:szCs w:val="18"/>
          <w:color w:val="212529"/>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2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under Part II, Item 1A in this Quarterly Report on Form 10-Q, before making any investments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2020, we owned or had a majority interest in community and neighborhood shopping centers and mixed-use properties which are operated as 104 predominantly retail real estate projects comprising approximately 24.1 million square feet. In total, the real estate projects were 91.5% leased and 90.0% occupied at September 30,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In March 2020, the World Health Organization declared the outbreak of novel coronavirus disease (“COVID-19”) as a pandemic. Our Board of Trustees, as part of its risk oversight function, is regularly coordinating with management to assess the effects of the pandemic on our business and to determine appropriate courses of action to maintain the health and safety of our personnel, to strengthen our financial position and to adapt our business as appropriate. In response to the pandemic, we have taken a number of specific actions so far:</w:t>
      </w:r>
    </w:p>
    <w:p>
      <w:pPr>
        <w:spacing w:after="0" w:line="52" w:lineRule="exact"/>
        <w:rPr>
          <w:sz w:val="20"/>
          <w:szCs w:val="20"/>
          <w:color w:val="auto"/>
        </w:rPr>
      </w:pPr>
    </w:p>
    <w:p>
      <w:pPr>
        <w:ind w:left="340" w:right="6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212529"/>
        </w:rPr>
        <w:t>On March 16, 2020, we transitioned our work force to work remotely, canceled all non-essential business travel and have canceled company events, or are holding them remotely. As of September 30, 2020, we have re-opened most of our offices with limited capacity following federal, state and local guidelines for phased re-openings, however, much of our workforce continues to work remotely.</w:t>
      </w:r>
    </w:p>
    <w:p>
      <w:pPr>
        <w:spacing w:after="0" w:line="2"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212529"/>
        </w:rPr>
      </w:pPr>
      <w:r>
        <w:rPr>
          <w:rFonts w:ascii="Arial" w:cs="Arial" w:eastAsia="Arial" w:hAnsi="Arial"/>
          <w:sz w:val="18"/>
          <w:szCs w:val="18"/>
          <w:color w:val="212529"/>
        </w:rPr>
        <w:t xml:space="preserve">During May 2020, we entered into multiple financing transactions to both strengthen our financial position and maximize our liquidity. In total, we raised $1.1 billion via a $400.0 million term loan and the issuance of $700.0 million of senior unsecured notes. We also amended how certain covenants are calculated in our revolving credit facility to provide us more operating flexibility. As of </w:t>
      </w:r>
      <w:r>
        <w:rPr>
          <w:rFonts w:ascii="Arial" w:cs="Arial" w:eastAsia="Arial" w:hAnsi="Arial"/>
          <w:sz w:val="18"/>
          <w:szCs w:val="18"/>
          <w:color w:val="000000"/>
        </w:rPr>
        <w:t>September 30, 2020</w:t>
      </w:r>
      <w:r>
        <w:rPr>
          <w:rFonts w:ascii="Arial" w:cs="Arial" w:eastAsia="Arial" w:hAnsi="Arial"/>
          <w:sz w:val="18"/>
          <w:szCs w:val="18"/>
          <w:color w:val="212529"/>
        </w:rPr>
        <w:t>, there is no outstanding balance on our $1.0 billion revolving credit facility and we have cash and cash equivalents of $863.3 million. Subsequent to quarter end, we raised an additional $400.0 million through the issuance of senior unsecured notes.</w:t>
      </w:r>
    </w:p>
    <w:p>
      <w:pPr>
        <w:spacing w:after="0" w:line="1" w:lineRule="exact"/>
        <w:rPr>
          <w:rFonts w:ascii="Arial" w:cs="Arial" w:eastAsia="Arial" w:hAnsi="Arial"/>
          <w:sz w:val="18"/>
          <w:szCs w:val="18"/>
          <w:color w:val="212529"/>
        </w:rPr>
      </w:pPr>
    </w:p>
    <w:p>
      <w:pPr>
        <w:ind w:left="340" w:right="2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activity continues at all of our projects, including Assembly Row and Santana West, where activities were paused as a result of government restrictions for a portion of the year. Overall, we are experiencing a slower pace of construction as well as elevated costs as we observe COVID-19 safety protocols at all sites, and a slower lease-up pace.</w:t>
      </w:r>
    </w:p>
    <w:p>
      <w:pPr>
        <w:spacing w:after="0" w:line="1" w:lineRule="exact"/>
        <w:rPr>
          <w:rFonts w:ascii="Arial" w:cs="Arial" w:eastAsia="Arial" w:hAnsi="Arial"/>
          <w:sz w:val="18"/>
          <w:szCs w:val="18"/>
          <w:color w:val="auto"/>
        </w:rPr>
      </w:pPr>
    </w:p>
    <w:p>
      <w:pPr>
        <w:ind w:left="340" w:right="10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The Pick-Up</w:t>
      </w:r>
      <w:r>
        <w:rPr>
          <w:rFonts w:ascii="Arial" w:cs="Arial" w:eastAsia="Arial" w:hAnsi="Arial"/>
          <w:sz w:val="18"/>
          <w:szCs w:val="18"/>
          <w:color w:val="auto"/>
        </w:rPr>
        <w:t>, a curbside, contactless exchange which creates a singular, reliable, centralized service that retailers and restaurants of all sizes can take advantage of, particularly well-suited for small businesses.</w:t>
      </w:r>
    </w:p>
    <w:p>
      <w:pPr>
        <w:spacing w:after="0" w:line="50" w:lineRule="exact"/>
        <w:rPr>
          <w:sz w:val="20"/>
          <w:szCs w:val="20"/>
          <w:color w:val="auto"/>
        </w:rPr>
      </w:pPr>
    </w:p>
    <w:p>
      <w:pPr>
        <w:ind w:righ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extent of the effects of COVID-19 on our business, results of operations, cash flows, and growth prospects is highly uncertain and will ultimately depend on future developments, none of which can be predicted with any certainty. See </w:t>
      </w:r>
      <w:hyperlink w:anchor="page35">
        <w:r>
          <w:rPr>
            <w:rFonts w:ascii="Arial" w:cs="Arial" w:eastAsia="Arial" w:hAnsi="Arial"/>
            <w:sz w:val="18"/>
            <w:szCs w:val="18"/>
            <w:u w:val="single" w:color="auto"/>
            <w:color w:val="0000EE"/>
          </w:rPr>
          <w:t>Item 1A</w:t>
        </w:r>
      </w:hyperlink>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Risk Factors. However, we believe the actions we are taking will help minimize interruptions to our operations and will put us in the best position to participate in the resulting economic recovery. Management and our Board of Trustees will continue to actively monitor the effects of the pandemic, including governmental directives in the jurisdictions in which we operate and the recommendations of public health authorities, and will, as needed, take further measures to adapt our business in the best interests of our shareholders and personnel.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of the impact of COVID-19 on our business throughout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212529"/>
        </w:rPr>
        <w:t>We were able to transition all but a limited number of essential employees to remote work and do not anticipate any adverse impact on our ability to continue to operate our business. Transitioning to a largely remote workforce has not had any material adverse impact on our financial reporting systems, our internal controls or disclosure controls and procedures. As government mandated closures and restrictions are gradually lifted through phased re-openings, we are following local, state and federal governments guidelines and limiting the number of employees coming into our offices as well as implementing health and safety guidelines. In addition, we are following the proper guidelines to ensure that property employees are visiting properties only as necessary to ensure that the properties with businesses that are open and operating are able to conduct business and serve their communities. At this time, we have not laid off, furloughed, or terminated any employee in response to COVID-19, nor have we modified the compensation of any employee. The Compensation Committee of our Board of Trustees may reevaluate the performance goals and other aspects of the compensation arrangements of our executive officers later in 2020 as more information about the effects of COVID-19 become known.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See "Revenue Recognition and Accounts Receivable" in Note 2 to the consolidated financial statements for further discussion related to the FASB's issuance of interpretive guidance relating to the accounting for lease concessions provided as a result of the COVID-19 pandemic.</w:t>
      </w:r>
    </w:p>
    <w:p>
      <w:pPr>
        <w:spacing w:after="0" w:line="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There have been no significant changes to the critical accounting policies disclosed in “Management’s Discussion and Analysis of Financial Condition and Results of Operations” in our 2019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 Disposition, and Impairment</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 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On April 21, 2020, we sold a building in Pasadena, California for $16.1 million, which resulted in a gain of $11.7 million.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1, 2020, the $60.6 million non-recourse mortgage loan on The Shops at Sunset Place matured. The mortgage was not repaid and thus the lender declared the loan in default. We are an approximately 90% owner in the partnership that owns the property, and we consolidate the partnership as we are the primary beneficiary of this VIE. While we continue to evaluate our long-term plans for the property, taking into account current market conditions and prospective development and redevelopment returns, as well as the impact of COVID-19 on the revenue prospects for the property, we currently believe it is unlikely we will move forward with the planned redevelopment or repay the mortgage loan at the current balance, and thus, do not expect we will be long-term holders of this asset. While we continue to engage in negotiations with the lender, we expect our exit from the property would either be achieved through a short term extension of the loan and an orderly sales process commencing in 2021, or potentially, the lender taking control of the asset. Given these current expectations, we have recorded an impairment charge of $57.2 million during the three and nine months ended September 30, 2020.</w:t>
      </w:r>
    </w:p>
    <w:p>
      <w:pPr>
        <w:spacing w:after="0" w:line="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estimate used to determine the impairment charge was determined by market comparable data and discounted cash flow analyses. The cash flows utilized in such analyses are comprised of unobservable inputs which include forecasted rental revenue and expenses based upon market conditions and future expectations. The capitalization rates and discount rates utilized in such analyses are based upon unobservable rates that we believe to be within a reasonable range of current market rates for the property. Based on these inputs, we have determined that the $57 million estimated valuation of the property is classified within Level 3 of the fair value hierarchy.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26"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Debt and Equity Transactions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3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13, 2020, we issued $400.0 million of fixed rate senior unsecured notes that mature on February 15, 2026 and bear interest at 1.25%. The notes were offered at 99.339% of the principal amount with a yield to maturity of 1.379%.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we have received, or expected to receive, in the three years prior to the issuance of the notes or during the term of the notes, a LEED silver, Gold, or Platinum certification (or environmentally equivalent successor standards). Net proceeds allocated to previously incurred costs associated with eligible green projects will be available for repayment of indebtedness.</w:t>
      </w:r>
    </w:p>
    <w:p>
      <w:pPr>
        <w:spacing w:after="0" w:line="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As of September 30, 2020, we had the capacity to issue up to $128.3 million in common shares under our ATM equity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$311 million and $7 million, respectively, for the nine months ended September 30, 2020, and $266 million and $6 million, respectively, for the nine months ended September 30, 2019. We capitalized external and internal costs related to other property improvements of $44 million and $2 million, respectively, for the nine months ended September 30, 2020, and $49 million and $2 million for the nine months ended September 30, 2019. We capitalized external and internal costs related to leasing activities of $8 million and $2 million, respectively, for the nine months ended September 30, 2020, and $17 million and $2 million, respectively, for the nine months ended September 30,</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2019. The amount of capitalized internal costs for salaries and related benefits for development and redevelopment activities, other property improvements, and leasing activities were $7 million, $2 million, and $2 million, respectively, for the nine months ended September 30, 2020 and $6 million, $2 million, and $2 million, respectively for the nine months ended September 30, 2019. Total capitalized costs were $374 million and $342 million for the nine months ended September 30, 2020 and 2019,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our portfolio from property developments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33"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While the ongoing COVID-19 pandemic is impacting us in the short-term, our long-term focus has not changed. See our 10-K filed on February 10, 2020, for discussion of our long-term strategies.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 xml:space="preserve">The actions taken by federal, state and local governments to mitigate the spread of COVID-19, initially by ordering closures of non-essential businesses and ordering residents to generally stay at home, and subsequent phased re-openings, as well as the general concern over the spread of COVID-19, have resulted in many of our tenants temporarily or even permanently closing their businesses, and for some, it has impacted their ability to pay rent. As of October 30, 2020, approximately 97% of our retail tenants were open, compared to 92% at July 31, 2020. These economic hardships have adversely impacted our business, and had a negative effect on our financial results during </w:t>
      </w:r>
      <w:r>
        <w:rPr>
          <w:rFonts w:ascii="Arial" w:cs="Arial" w:eastAsia="Arial" w:hAnsi="Arial"/>
          <w:sz w:val="16"/>
          <w:szCs w:val="16"/>
          <w:color w:val="000000"/>
        </w:rPr>
        <w:t>2020</w:t>
      </w:r>
      <w:r>
        <w:rPr>
          <w:rFonts w:ascii="Arial" w:cs="Arial" w:eastAsia="Arial" w:hAnsi="Arial"/>
          <w:sz w:val="16"/>
          <w:szCs w:val="16"/>
          <w:color w:val="212529"/>
        </w:rPr>
        <w:t xml:space="preserve">. With very few exceptions, our leases require tenants to continue to pay rent even while closed as a result of the pandemic, however, many tenants did not pay rents and other charges during the second quarter of 2020. Subsequently, in the third quarter of 2020, a portion of our tenants have resumed paying their rent and/or other charges as their businesses were able to reopen. Our percentage of contractual rent actually collected has increased each month since April, including some tenants paying past due amounts. As of </w:t>
      </w:r>
      <w:r>
        <w:rPr>
          <w:rFonts w:ascii="Arial" w:cs="Arial" w:eastAsia="Arial" w:hAnsi="Arial"/>
          <w:sz w:val="16"/>
          <w:szCs w:val="16"/>
          <w:color w:val="000000"/>
        </w:rPr>
        <w:t>September 30, 2020</w:t>
      </w:r>
      <w:r>
        <w:rPr>
          <w:rFonts w:ascii="Arial" w:cs="Arial" w:eastAsia="Arial" w:hAnsi="Arial"/>
          <w:sz w:val="16"/>
          <w:szCs w:val="16"/>
          <w:color w:val="212529"/>
        </w:rPr>
        <w:t>, we have entered into agreements with approximately 29% of our tenants (based on total commercial leases) to defer rent payments to</w:t>
      </w:r>
      <w:r>
        <w:rPr>
          <w:rFonts w:ascii="Arial" w:cs="Arial" w:eastAsia="Arial" w:hAnsi="Arial"/>
          <w:sz w:val="16"/>
          <w:szCs w:val="16"/>
          <w:color w:val="000000"/>
        </w:rPr>
        <w:t xml:space="preserve"> </w:t>
      </w:r>
      <w:r>
        <w:rPr>
          <w:rFonts w:ascii="Arial" w:cs="Arial" w:eastAsia="Arial" w:hAnsi="Arial"/>
          <w:sz w:val="16"/>
          <w:szCs w:val="16"/>
          <w:color w:val="212529"/>
        </w:rPr>
        <w:t xml:space="preserve">later periods, largely through 2021, although some extend beyond, and negotiations with other tenants are still ongoing. While increasing monthly cash collection rates is a positive trend driven by government mandated restrictions gradually being lifted, we expect that our rent collections will continue to be below our tenants’ contractual rent obligations and historical levels, which will continue to adversely impact our results of operations. The extent of such impact will depend on future developments, which are highly uncertain and cannot be predicted. Depending upon the duration of tenant closures, operating restrictions, and the overall economic downturn resulting from COVID-19, we may find that even deferred rents are difficult to collect, and we may experience higher vacancy levels. </w:t>
      </w:r>
      <w:r>
        <w:rPr>
          <w:rFonts w:ascii="Arial" w:cs="Arial" w:eastAsia="Arial" w:hAnsi="Arial"/>
          <w:sz w:val="16"/>
          <w:szCs w:val="16"/>
          <w:color w:val="000000"/>
        </w:rPr>
        <w:t>While the duration and severity of the economic impact resulting from COVID-19 is unknown, we seek to position the</w:t>
      </w:r>
      <w:r>
        <w:rPr>
          <w:rFonts w:ascii="Arial" w:cs="Arial" w:eastAsia="Arial" w:hAnsi="Arial"/>
          <w:sz w:val="16"/>
          <w:szCs w:val="16"/>
          <w:color w:val="212529"/>
        </w:rPr>
        <w:t xml:space="preserve"> </w:t>
      </w:r>
      <w:r>
        <w:rPr>
          <w:rFonts w:ascii="Arial" w:cs="Arial" w:eastAsia="Arial" w:hAnsi="Arial"/>
          <w:sz w:val="16"/>
          <w:szCs w:val="16"/>
          <w:color w:val="000000"/>
        </w:rPr>
        <w:t>Trust to participate in the resulting economic recovery.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have several development projects in process, albeit at a slower pace due to COVID-19 related restrictions, being delivered as follows:</w:t>
      </w:r>
    </w:p>
    <w:p>
      <w:pPr>
        <w:ind w:left="660" w:hanging="328"/>
        <w:spacing w:after="0" w:line="22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2020, we delivered the fully leased eight story, 301,000 square foot office building at Santana Row.</w:t>
      </w:r>
    </w:p>
    <w:p>
      <w:pPr>
        <w:ind w:left="660" w:right="40" w:hanging="328"/>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phase of construction on the 12 acres of land that we control across from Santana Row includes an eight story 376,000 square foot office building, with over 1,700 parking spaces. The building is expected to cost between $250 million and $270 million with openings beginning in 2022.</w:t>
      </w:r>
    </w:p>
    <w:p>
      <w:pPr>
        <w:spacing w:after="0" w:line="2" w:lineRule="exact"/>
        <w:rPr>
          <w:rFonts w:ascii="Arial" w:cs="Arial" w:eastAsia="Arial" w:hAnsi="Arial"/>
          <w:sz w:val="18"/>
          <w:szCs w:val="18"/>
          <w:color w:val="auto"/>
        </w:rPr>
      </w:pPr>
    </w:p>
    <w:p>
      <w:pPr>
        <w:jc w:val="both"/>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2021.</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Pike &amp; Rose, we have continued construction on a 212,000 square foot office building (which includes 4,000 square feet of ground floor retail space), and includes over 600 additional parking spaces. The building is expected to cost between $128 million and $135 million. At September 30, 2020, approximately 61,000 square feet of office space has been delivered, of which approximately 45,000 square feet is our new corporate headquarters.</w:t>
      </w:r>
    </w:p>
    <w:p>
      <w:pPr>
        <w:spacing w:after="0" w:line="1"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$312 million that we expect to stabilize over the next several years.</w:t>
      </w:r>
    </w:p>
    <w:p>
      <w:pPr>
        <w:spacing w:after="0" w:line="18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above includes our best estimates based on information currently known, however, the completion of construction, final costs, and the timing of openings will be dependent upon the duration of governmental restrictions and the duration and severity of the economic impacts of COVID-19.</w:t>
      </w:r>
    </w:p>
    <w:p>
      <w:pPr>
        <w:spacing w:after="0" w:line="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September 30, 2020, the leasable square feet in our properties was 91.5% leased and 90.0%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26" w:right="3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For the third quarter of 2020, we signed leases for a total of 481,000 square feet of retail space including 472,000 square feet of comparable space leases (leases for which there was a prior tenant) at an average rental decrease of 1% on a cash basis. New leases for comparable spaces were signed for 165,000 square feet at an average rental decrease of 2% on a cash basis. Renewals for comparable spaces were signed for 307,000 square feet at an average rental decrease of 1% on a cash basis. Tenant improvements and incentives for comparable spaces were $34.50 per square foot, of which, $93.67 per square foot was for new leases and $2.76 per square foot was for renewals for the three months ended September 30, 2020.</w:t>
      </w:r>
    </w:p>
    <w:p>
      <w:pPr>
        <w:spacing w:after="0" w:line="10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For the nine months ended September 30, 2020, we signed leases for a total of 1,287,000 square feet of retail space including 1,216,000 square feet of comparable space leases (leases for which there was a prior tenant) at an average rental increase of 3% on a cash basis. New leases for comparable spaces were signed for 439,000 square feet at an average rental increase of 8% on a cash basis. Renewals for comparable spaces were signed for 777,000 square feet at an average rental increase of 1% on a cash basis. Tenant improvements and incentives for comparable spaces were $32.49 per square foot, of which, $85.06 per square foot was for new leases and $2.82 per square foot was for renewals for the nine months ended September 30, 2020.</w:t>
      </w:r>
    </w:p>
    <w:p>
      <w:pPr>
        <w:spacing w:after="0" w:line="10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Historically, we have executed comparable space leases for 1.3 to 1.9 million square feet of retail space each year. While we are on pace for a similar volume of deals in 2020, we expect some rental rates to be negatively impacted by the COVID-19 pandemic, which we started experiencing in the third quarter 2020.</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requires judgment by management in determining what reflects base building costs and thus, is not included in the "tenant improvements and incentives" amount.</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leases signed in 2020 generally become effective over the following two years though some may not become effective until 2023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2020, all or a portion of 98 and 97 properties, respectively, were considered comparable properties and eight properties were considered non-comparable properties. For the nine months ended September 30, 2020, two properties and two portions of properties were moved from non-comparable properties to comparable properties, one property was moved from comparable properties to non-comparable properties, one property was moved from acquisitions to non-comparable properties, and one portion of a property was removed from comparable properties, as it was sold, compared to the designations for the year ended December 31, 2019.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233,212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(25,802)</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208,197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41,832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(12,652)</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72,352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83,514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1,752</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(57,218)</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94,018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(90,330)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(9,176)</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(100,729)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6,975</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(93,754)</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property revenue decreased $25.8 million, or 11.0%, to $208.2 million in the three months ended September 30, 2020 compared to $233.9 million in the three months ended September 30, 2019. The percentage occupied at our shopping centers was 90.0% at September 30, 2020 compared to 92.8% at September 30, 2019. The most significant driver of the decrease in property revenues is the impact of COVID-19, as many of our tenants were forced to temporarily or in some cases permanently close their businesses resulting in changes in our collectibility estimates and in some cases rent abatement. Changes in the components of property revenue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decreased $25.8 million, or 11.1%, to $207.4 million in the three months ended September 30, 2020 compared to $233.2 million in the three months ended September 30, 2019 due primarily to the following:</w:t>
      </w:r>
    </w:p>
    <w:p>
      <w:pPr>
        <w:spacing w:after="0" w:line="22" w:lineRule="exact"/>
        <w:rPr>
          <w:sz w:val="20"/>
          <w:szCs w:val="20"/>
          <w:color w:val="auto"/>
        </w:rPr>
      </w:pPr>
    </w:p>
    <w:p>
      <w:pPr>
        <w:ind w:left="1140" w:right="160" w:hanging="241"/>
        <w:spacing w:after="0" w:line="26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collectibility related adjustments across all properties of $27.9 million primarily the result of COVID-19 impacts. This includes the write-off of $1.7 million of straight-line rent receivables primarily related to tenants who were changed to a cash basis of revenue recognition during the quarter ended September 30, 2020,</w:t>
      </w:r>
    </w:p>
    <w:p>
      <w:pPr>
        <w:spacing w:after="0" w:line="21" w:lineRule="exact"/>
        <w:rPr>
          <w:rFonts w:ascii="Arial" w:cs="Arial" w:eastAsia="Arial" w:hAnsi="Arial"/>
          <w:sz w:val="18"/>
          <w:szCs w:val="18"/>
          <w:color w:val="auto"/>
        </w:rPr>
      </w:pPr>
    </w:p>
    <w:p>
      <w:pPr>
        <w:ind w:left="1140" w:right="180" w:hanging="241"/>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$5.8 million from comparable properties primarily related to lower average occupancy of approximately $5.4 million, lower recoveries of $2.2 million primarily the result of lower utilities and repairs and maintenance costs, $2.0 million of lower parking income and percentage rent, primarily due to the impacts from COVID-19 related closures, partially offset by $3.2 million of higher lease termination fees and higher rental rates of approximately $1.1 million,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$2.2 million from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140" w:right="4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$5.3 million from acquisitions of Hoboken during the second half of 2019 and early 2020 and Georgetowne Shopping Center in November 2019, and</w:t>
      </w:r>
    </w:p>
    <w:p>
      <w:pPr>
        <w:spacing w:after="0" w:line="8" w:lineRule="exact"/>
        <w:rPr>
          <w:rFonts w:ascii="Arial" w:cs="Arial" w:eastAsia="Arial" w:hAnsi="Arial"/>
          <w:sz w:val="18"/>
          <w:szCs w:val="18"/>
          <w:color w:val="auto"/>
        </w:rPr>
      </w:pPr>
    </w:p>
    <w:p>
      <w:pPr>
        <w:jc w:val="both"/>
        <w:ind w:left="1140" w:right="160" w:hanging="241"/>
        <w:spacing w:after="0" w:line="34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$4.2 million from non-comparable properties primarily driven by the opening of our new office building at Santana Row in early 2020, partially offset by $0.8 million related to lower parking income primarily due to the impacts from COVID-19 related 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property expenses decreased $11.2 million, or 13.4%, to $72.4 million in the three months ended September 30, 2020 compared to $83.5 million in the three months ended September 30, 2019.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Rental expenses decreased $12.7 million, or 23.2%, to $41.8 million in the three months ended September 30, 2020 compared to $54.5 million in the three months ended September 30, 2019. This decrease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w:t>
      </w:r>
    </w:p>
    <w:p>
      <w:pPr>
        <w:spacing w:after="0" w:line="63"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$2.2 million from comparable properties due primarily to lower utilities and repairs and maintenance costs primarily driven by the impact of COVID-19,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$0.3 million from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$0.7 million from acquisitions of Hoboken during the second half of 2019 and early 2020 and Georgetowne Shopping Center in November 2019.</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decreased to 20.2% in the three months ended September 30, 2020 from 23.4% in the three months ended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Real estate tax expense increased $1.5 million, or 5.1%, to $30.5 million in the three months ended September 30, 2020 compared to $29.0 million in the three months ended September 30, 2019. This increase is primarily due to $0.9 million from the acquisitions of Hoboken during the second half of 2019 and early 2020 and Georgetowne Shopping Center in November 2019, and $0.7 million from non-comparable properties due primarily to the opening of our new office building at Santana Row in early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Property operating income decreased $14.6 million, or 9.7%, to $135.8 million in the three months ended September 30, 2020 compared to $150.4 million in the three months ended September 30, 2019. This decrease is primarily due to the impact of COVID-19, which resulted in higher collectibility related adjustments, lower parking income, and lower percentage rent; and property sales, partially offset by the prior year charge related to the buyout of a lease at Assembly Square Marketplace, property acquisitions, and the opening of our new office building at Santana Row in early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 decreased $1.8 million, or 15.8%, to $9.3 million in the three months ended September 30, 2020 from $11.1 million in the three months ended September 30, 2019. This decrease is due primarily to lower personnel related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$6.0 million, or 10.0%, to $65.6 million in the three months ended September 30, 2020 from $59.6 million in the three months ended September 30, 2019. This increase is due primarily to the write off of lease related assets for vacating tenants, acquisitions of Hoboken during the second half of 2019 and early 2020 and Georgetowne Shopping Center in November 2019, and the opening of our new office building at Santana Row in early 2020, partially offset by property sales.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$57.2 million impairment charge for the three months ended September 30, 2020 relates to The Shops at Sunset Place. See Note 2 to the consolidated financial statements for further discussion.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 of Tax</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$14.3 million gain on sale of real estate, net of tax for the three months ended September 30, 2019 is due primarily to the sale of one property.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decreased $90.3 million, or 96.1%, to $3.7 million in the three months ended September 30, 2020 compared to $94.0 million in the three months ended September 30, 2019. This decrease is primarily due to the impairment charge related to The Shops at Sunset Place, the impacts of COVID-19, which resulted in higher collectibility related adjustments, lower parking income, and lower percentage rent; a lower net gain on the sale of real estate compared to prior year; and the write off of lease related assets for vacating tenants; partially offset by the prior year charge related to the buyout of a lease at Assembly Square Marketplace; property acquisitions, the opening of our new office building at Santana Row in early 2020; and lower personnel related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increased $9.2 million, or 33.9%, to $36.2 million in the three months ended September 30, 2020 compared to $27.1 million in the three months ended September 30, 2019. This increase is due primarily to the following:</w:t>
      </w:r>
    </w:p>
    <w:p>
      <w:pPr>
        <w:spacing w:after="0" w:line="8" w:lineRule="exact"/>
        <w:rPr>
          <w:sz w:val="20"/>
          <w:szCs w:val="20"/>
          <w:color w:val="auto"/>
        </w:rPr>
      </w:pPr>
    </w:p>
    <w:p>
      <w:pPr>
        <w:ind w:left="1140" w:right="42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$6.2 million from higher borrowings in response to the COVID-19 pandemic (see further discussion in "2020 Debt and Equity Transactions" in Item 2 of the Quarterly Report), and</w:t>
      </w:r>
    </w:p>
    <w:p>
      <w:pPr>
        <w:spacing w:after="0" w:line="8" w:lineRule="exact"/>
        <w:rPr>
          <w:rFonts w:ascii="Arial" w:cs="Arial" w:eastAsia="Arial" w:hAnsi="Arial"/>
          <w:sz w:val="18"/>
          <w:szCs w:val="18"/>
          <w:color w:val="auto"/>
        </w:rPr>
      </w:pPr>
    </w:p>
    <w:p>
      <w:pPr>
        <w:ind w:left="1140" w:right="2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$3.8 million due to higher weighted average borrowings primarily from the additional $100 million issuance of our 3.20% notes in August 2019, and $106.9 million of mortgage loans associated with our Hoboken acquisitions,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$0.6 million in capitalized interest, primarily attributable to the development of Phase III of Assembly Row,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$0.3 million due to a lower overall weighted average borrowing rate.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interest costs were $42.1 million and $32.3 million in the three months ended September 30, 2020 and 2019, respectively. Capitalized interest was $5.8 million and $5.3 million for the three months ended September 30,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Loss from partnerships increased $1.4 million to $1.6 million in the three months ended September 30, 2020 compared to $0.2 million in the three months ended September 30, 2019. This increase is primarily due to our share of losses from our hotel investments at Assembly Row and Pike &amp; Rose, largely the result of COVID-19 related reductions in travel.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noncontrolling interests</w:t>
      </w:r>
    </w:p>
    <w:p>
      <w:pPr>
        <w:spacing w:after="0" w:line="9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Net loss (income) attributable to noncontrolling interests decreased $7.0 million to a loss of $5.3 million in the three months ended September 30, 2020 compared to income of $1.6 million in the three months ended September 30, 2019. The decrease is primarily attributable to The Shops at Sunset Place impairment charge.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26" w:right="3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613,687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694,435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(80,748)</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696,639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(80,658)</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122,561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140,182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8,300</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212,744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222,065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(71,337)</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2,674</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(57,218)</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(18,808)</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294,690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(156,965)</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(16,179)</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411.3 %</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(20,934)</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25.2 %</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(177,899)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8,369</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206,511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(169,530)</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Total property revenue decreased $80.7 million, or 11.6%, to $616.0 million in the nine months ended September 30, 2020 compared to $696.6 million in the nine months ended September 30, 2019. The percentage occupied at our shopping centers was 90.0% at September 30, 2020 compared to 92.8% at September 30, 2019. The most significant driver of the decrease in property revenue is the impact of COVID-19, as some of our tenants were forced to temporarily or in some cases permanently close their businesses resulting in changes in our collectibility estimates and in some cases rent abatement. Changes in the components of property revenue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decreased $80.7 million, or 11.6%, to $613.7 million in the nine months ended September 30, 2020 compared to $694.4 million in the nine months ended September 30, 2019 due primarily to the following:</w:t>
      </w:r>
    </w:p>
    <w:p>
      <w:pPr>
        <w:spacing w:after="0" w:line="22" w:lineRule="exact"/>
        <w:rPr>
          <w:sz w:val="20"/>
          <w:szCs w:val="20"/>
          <w:color w:val="auto"/>
        </w:rPr>
      </w:pPr>
    </w:p>
    <w:p>
      <w:pPr>
        <w:ind w:left="1140" w:right="160" w:hanging="241"/>
        <w:spacing w:after="0" w:line="2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collectibility related adjustments across all properties of $84.4 million primarily the result of COVID-19 impacts. This includes the write-off of $11.2 million of straight-line rent receivables primarily related to tenants who were changed to a cash basis of revenue recognition during the nine months ended September 30, 2020,</w:t>
      </w:r>
    </w:p>
    <w:p>
      <w:pPr>
        <w:spacing w:after="0" w:line="21" w:lineRule="exact"/>
        <w:rPr>
          <w:rFonts w:ascii="Arial" w:cs="Arial" w:eastAsia="Arial" w:hAnsi="Arial"/>
          <w:sz w:val="18"/>
          <w:szCs w:val="18"/>
          <w:color w:val="auto"/>
        </w:rPr>
      </w:pPr>
    </w:p>
    <w:p>
      <w:pPr>
        <w:ind w:left="1140" w:right="60" w:hanging="241"/>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$13.8 million from comparable properties due primarily to lower average occupancy of approximately $11.8 million, lower parking income and percentage rent of $4.4 million primarily due to the impacts from COVID-19 related closures, lower recoveries of $3.6 million primarily the result of lower snow removal expense and utilities, and lower legal fee income of $0.6 million, partially offset by higher rental rates of approximately $9.2 million,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$9.1 million from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140" w:right="20" w:hanging="241"/>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$15.7 million from acquisitions of Hoboken during the second half of 2019 and early 2020, Georgetowne Shopping Center in November 2019, and</w:t>
      </w:r>
    </w:p>
    <w:p>
      <w:pPr>
        <w:spacing w:after="0" w:line="8" w:lineRule="exact"/>
        <w:rPr>
          <w:rFonts w:ascii="Arial" w:cs="Arial" w:eastAsia="Arial" w:hAnsi="Arial"/>
          <w:sz w:val="18"/>
          <w:szCs w:val="18"/>
          <w:color w:val="auto"/>
        </w:rPr>
      </w:pPr>
    </w:p>
    <w:p>
      <w:pPr>
        <w:ind w:left="1140" w:right="420" w:hanging="241"/>
        <w:spacing w:after="0" w:line="34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$10.0 million from non comparable properties driven by the opening of our new office building at Santana Row in early 2020, partially offset by $2.1 million related to lower parking income primarily due to the impacts from COVID-19 related 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property expenses decreased $9.3 million, or 4.2%, to $212.7 million in the nine months ended September 30, 2020 compared to $222.1 million in the nine months ended September 30, 2019.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Rental expenses decreased $17.6 million, or 12.6%, to $122.6 million in the nine months ended September 30, 2020 compared to $140.2 million in the nine months ended September 30, 2019 due primarily to the following:</w:t>
      </w:r>
    </w:p>
    <w:p>
      <w:pPr>
        <w:spacing w:after="0" w:line="8" w:lineRule="exact"/>
        <w:rPr>
          <w:sz w:val="20"/>
          <w:szCs w:val="20"/>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w:t>
      </w:r>
    </w:p>
    <w:p>
      <w:pPr>
        <w:spacing w:after="0" w:line="63" w:lineRule="exact"/>
        <w:rPr>
          <w:rFonts w:ascii="Arial" w:cs="Arial" w:eastAsia="Arial" w:hAnsi="Arial"/>
          <w:sz w:val="18"/>
          <w:szCs w:val="18"/>
          <w:color w:val="auto"/>
        </w:rPr>
      </w:pPr>
    </w:p>
    <w:p>
      <w:pPr>
        <w:ind w:left="1140" w:right="40" w:hanging="241"/>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$8.7 million from comparable properties due to lower snow removal expense and lower utilities, repairs and maintenance, and management fees primarily driven by the impact of COVID-19,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$1.0 million from our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80" w:hanging="241"/>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increase of $2.3 million from acquisitions of Hoboken during the second half of 2019 and early 2020, and Georgetowne Shopping Center in November 2019.</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decreased to 20.0% in the nine months ended September 30, 2020 from 20.2% in the nine months ended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Real estate tax expense increased $8.3 million, or 10.1%, to $90.2 million in the nine months ended September 30, 2020 compared to $81.9 million in the nine months ended September 30, 2019. This increase is primarily due to the following:</w:t>
      </w:r>
    </w:p>
    <w:p>
      <w:pPr>
        <w:spacing w:after="0" w:line="8" w:lineRule="exact"/>
        <w:rPr>
          <w:sz w:val="20"/>
          <w:szCs w:val="20"/>
          <w:color w:val="auto"/>
        </w:rPr>
      </w:pPr>
    </w:p>
    <w:p>
      <w:pPr>
        <w:ind w:left="1140" w:right="14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$4.9 million from comparable properties primarily due to higher current year assessments, and tax refunds recorded in 2019 from a multi-year appeal and reassessment at three of our properties,</w:t>
      </w:r>
    </w:p>
    <w:p>
      <w:pPr>
        <w:spacing w:after="0" w:line="8" w:lineRule="exact"/>
        <w:rPr>
          <w:rFonts w:ascii="Arial" w:cs="Arial" w:eastAsia="Arial" w:hAnsi="Arial"/>
          <w:sz w:val="18"/>
          <w:szCs w:val="18"/>
          <w:color w:val="auto"/>
        </w:rPr>
      </w:pPr>
    </w:p>
    <w:p>
      <w:pPr>
        <w:ind w:left="1140" w:right="4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$2.5 million from acquisitions of Hoboken during the second half of 2019 and early 2020 and Georgetowne Shopping Center in November 2019, and</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$1.6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$0.7 million from our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Property operating income decreased $71.3 million, or 15.0%, to $403.2 million in the nine months ended September 30, 2020 compared to $474.6 million in the nine months ended September 30, 2019. This decrease is primarily due to the impact of COVID-19, which resulted in higher collectibility related adjustments, lower percentage rent, and lower parking income; as well as higher real estate assessments and prior year tax refunds and the impact of property sales, partially offset by the prior year charge related to the buyout of a lease at Assembly Square Marketplace, property acquisitions, and the opening of our new office building at Santana Row in early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General and administrative expense decreased $2.7 million, or 8.3%, to $29.4 million in the nine months ended September 30, 2020 from $32.0 million in the nine months ended September 30, 2019. This decrease is due primarily to lower personnel related costs and COVID-19 impacts including office closures and cancellations of all non-essential business travel and company events.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Depreciation and amortization expense increased $12.3 million, or 6.9%, to $190.6 million in the nine months ended September 30, 2020 from $178.3 million in the nine months ended September 30, 2019. This increase is due primarily to property acquisitions, the opening of our new office building at Santana Row in early 2020, and the write off of lease related assets for vacating tenants, partially offset by property sales.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$57.2 million impairment charge for the nine months ended September 30, 2020 relates to The Shops at Sunset Place. See Note 2 to the consolidated financial statements for further discussion.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 of Tax</w:t>
      </w:r>
    </w:p>
    <w:p>
      <w:pPr>
        <w:spacing w:after="0" w:line="9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$11.7 million gain on sale of real estate, net of tax for the nine months ended September 30, 2020 is due to the sale of a building in Pasadena, California.</w:t>
      </w:r>
    </w:p>
    <w:p>
      <w:pPr>
        <w:spacing w:after="0" w:line="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$30.5 million gain on sale of real estate, net of tax for the nine months ended September 30, 2019 is due to the sale of two properties and one land parcel.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income decreased $157.0 million, or 53.3%, to $137.7 million in the nine months ended September 30, 2020 compared to $294.7 million in the nine months ended September 30, 2019. This decrease is primarily due to the impact of COVID-19, which resulted in higher collectibility related adjustments, lower percentage rent, and lower parking income; the impairment charge related to The Shops at Sunset Place; a lower net gain on the sale of real estate; higher real estate assessments and prior year tax refunds; and the impact of property sales, partially offset by the prior charge related to the buyout of a lease at Assembly Square Marketplace; property acquisitions; the opening of our new office building at Santana Row in early 2020; and lower personnel related costs, largely due to the impact of COVID-19.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increased $16.2 million, or 19.6%, to $98.7 million in the nine months ended September 30, 2020 compared to $82.6 million in the nine months ended September 30, 2019. This increase is due primarily to the following:</w:t>
      </w:r>
    </w:p>
    <w:p>
      <w:pPr>
        <w:spacing w:after="0" w:line="8" w:lineRule="exact"/>
        <w:rPr>
          <w:sz w:val="20"/>
          <w:szCs w:val="20"/>
          <w:color w:val="auto"/>
        </w:rPr>
      </w:pPr>
    </w:p>
    <w:p>
      <w:pPr>
        <w:ind w:left="1140" w:right="380" w:hanging="241"/>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$13.7 million from higher borrowings in response to the COVID-19 pandemic (see further discussion in "2020 Debt and Equity Transactions" in Item 2 of the Quarterly Report), and</w:t>
      </w:r>
    </w:p>
    <w:p>
      <w:pPr>
        <w:spacing w:after="0" w:line="8" w:lineRule="exact"/>
        <w:rPr>
          <w:rFonts w:ascii="Arial" w:cs="Arial" w:eastAsia="Arial" w:hAnsi="Arial"/>
          <w:sz w:val="18"/>
          <w:szCs w:val="18"/>
          <w:color w:val="auto"/>
        </w:rPr>
      </w:pPr>
    </w:p>
    <w:p>
      <w:pPr>
        <w:ind w:left="1140" w:right="400" w:hanging="241"/>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$8.8 million due to higher weighted average borrowings primarily from the $400 million issuance of our 3.20% notes in 2019, and $106.9 million of mortgage loans associated with our Hoboken acquisitions,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$3.6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$2.8 million in capitalized interest, primarily attributable to the development of Phase III of Assembly Row and Pike &amp; Rose.</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interest costs were $116.0 million and $97.1 million in the nine months ended September 30, 2020 and 2019, respectively. Capitalized interest was $17.3 million and $14.5 million for the nine months ended September 30,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Loss from partnerships increased $5.4 million to $6.7 million in the nine months ended September 30, 2020 compared to $1.3 million in the nine months ended September 30, 2019. This increase is primarily due to our share of losses from our hotel investments at Assembly Row and Pike &amp; Rose, largely the result of COVID-19 related reductions in travel.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noncontrolling interests</w:t>
      </w:r>
    </w:p>
    <w:p>
      <w:pPr>
        <w:spacing w:after="0" w:line="9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Net loss (income) attributable to noncontrolling interests decreased $8.4 million to a loss of $3.3 million in the nine months ended September 30, 2020 compared to income of $5.1 million in the nine months ended September 30, 2019. The decrease is primarily attributable to The Shops at Sunset Place impairment charge.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currently experiencing lower levels of cash from operations due to lower rent collections from tenants impacted by the COVID-19 pandemic (see further discussion under the "Outlook" section of this Item 2). While the overall economic impacts of the pandemic are unknown, we have taken multiple steps during the last several months to strengthen our financial position, maximize liquidity, and to provide maximum flexibility during these uncertain times. In March 2020, we borrowed $990.0 million under our revolving credit facility, representing a draw-down of almost the entirety of our $1.0 billion credit facility. In May 2020, we entered into a $400.0 million unsecured term loan and issued $700.0 million of fixed rate unsecured senior notes for combined net proceeds of $1.1 billion. We subsequently repaid the outstanding balance on our revolving credit facility and amended how certain covenants are calculated to provide us more operating flexibility. As of September 30, 2020, there is no outstanding balance on our $1.0 billion unsecured revolving credit facility and we have cash and cash equivalents of $863.3 million. Our liquidity was further enhanced on October 13, 2020, when we issued $400.0 million of fixed rate senior unsecured notes that mature on February 15, 2026 and bear interest at 1.25%.</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the nine months ended September 30, 2020, our weighted average borrowing rate on the revolving credit facility, before amortization of debt fees, was 1.5%. As of September 30, 2020, we had the capacity to issue up to $128.3 million in common shares under our ATM equity program.</w:t>
      </w:r>
    </w:p>
    <w:p>
      <w:pPr>
        <w:spacing w:after="0" w:line="9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Over the next 12 months, we have $269.7 million of debt maturing, excluding our $400.0 million term loan, which may be extended for an additional twelve months at our option, and the $60.6 million mortgage loan at The Shops at Sunset Place, which is currently in default (see Note 4 to the consolidated financial statements for additional information).</w:t>
      </w:r>
    </w:p>
    <w:p>
      <w:pPr>
        <w:spacing w:after="0" w:line="13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Additionally, our overall capital requirements for the remainder of 2020 will depend upon the nature of government mandated closures and restrictions and the overall economic impact of COVID-19, as well as general timing of our redevelopment and development activities. During the second quarter 2020, we were able to restart all construction related activities, and consequently have seen higher levels of capital investments during the third quarter after some construction related activities were halted for a portion of the first and second quarter, as a result of COVID-19 related closures. We expect this increase of capital to continue for the remainder of the year, absent further requirements to halt construction activities.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believe that the cash </w:t>
      </w:r>
      <w:r>
        <w:rPr>
          <w:rFonts w:ascii="Arial" w:cs="Arial" w:eastAsia="Arial" w:hAnsi="Arial"/>
          <w:sz w:val="18"/>
          <w:szCs w:val="18"/>
          <w:color w:val="212529"/>
        </w:rPr>
        <w:t>on our balance sheet together with rents we collect as well as our $1.0 billion revolving credit facility will allow us to continue to</w:t>
      </w:r>
      <w:r>
        <w:rPr>
          <w:rFonts w:ascii="Arial" w:cs="Arial" w:eastAsia="Arial" w:hAnsi="Arial"/>
          <w:sz w:val="18"/>
          <w:szCs w:val="18"/>
          <w:color w:val="auto"/>
        </w:rPr>
        <w:t xml:space="preserve"> </w:t>
      </w:r>
      <w:r>
        <w:rPr>
          <w:rFonts w:ascii="Arial" w:cs="Arial" w:eastAsia="Arial" w:hAnsi="Arial"/>
          <w:sz w:val="18"/>
          <w:szCs w:val="18"/>
          <w:color w:val="212529"/>
        </w:rPr>
        <w:t xml:space="preserve">operate our business in the near-term. </w:t>
      </w:r>
      <w:r>
        <w:rPr>
          <w:rFonts w:ascii="Arial" w:cs="Arial" w:eastAsia="Arial" w:hAnsi="Arial"/>
          <w:sz w:val="18"/>
          <w:szCs w:val="18"/>
          <w:color w:val="000000"/>
        </w:rPr>
        <w:t>Given our recent ability to access the capital markets, we also expect debt or equity to be available to us. We may</w:t>
      </w:r>
      <w:r>
        <w:rPr>
          <w:rFonts w:ascii="Arial" w:cs="Arial" w:eastAsia="Arial" w:hAnsi="Arial"/>
          <w:sz w:val="18"/>
          <w:szCs w:val="18"/>
          <w:color w:val="212529"/>
        </w:rPr>
        <w:t xml:space="preserve"> </w:t>
      </w:r>
      <w:r>
        <w:rPr>
          <w:rFonts w:ascii="Arial" w:cs="Arial" w:eastAsia="Arial" w:hAnsi="Arial"/>
          <w:sz w:val="18"/>
          <w:szCs w:val="18"/>
          <w:color w:val="000000"/>
        </w:rPr>
        <w:t>also further delay the timing of certain development and redevelopment projects as well as limit future acquisitions, reduce our operating expenditures, or re-evaluate our dividend policy.</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While the COVID-19 pandemic has negatively impacted our business during the quarter ended September 30, 2020, and we expect it will continue to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268,422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344,306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(227,266)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839,975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734,825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98,584</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108,332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888,439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206,916</w:t>
            </w:r>
          </w:p>
        </w:tc>
      </w:tr>
      <w:tr>
        <w:trPr>
          <w:trHeight w:val="27"/>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decreased $75.9 million to $268.4 million during the nine months ended September 30, 2020 from $344.3 million during the nine months ended September 30, 2019. The decrease was primarily attributable to lower net income before non-cash items and higher receivables from tenants, as we experienced lower rent collection rates as a result of the COVID-19 pandemic, partially offset by the timing of interest payments on our senior notes.</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used in investing activities increased $146.3 million to $373.6 million during the nine months ended September 30, 2020 from $227.3 million during the nine months ended September 30, 2019. The increase was primarily attributable to:</w:t>
      </w:r>
    </w:p>
    <w:p>
      <w:pPr>
        <w:spacing w:after="0" w:line="8" w:lineRule="exact"/>
        <w:rPr>
          <w:sz w:val="20"/>
          <w:szCs w:val="20"/>
          <w:color w:val="auto"/>
        </w:rPr>
      </w:pPr>
    </w:p>
    <w:p>
      <w:pPr>
        <w:ind w:left="1140" w:right="120" w:hanging="241"/>
        <w:spacing w:after="0" w:line="316"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$97.7 million decrease in proceeds from the sale of real estate resulting from the sale of a building in Pasadena, California in April 2020, as compared to the sale of two properties, a land parcel, and condominiums at our Assembly Row and Pike &amp; Rose properties in 2019,</w:t>
      </w:r>
    </w:p>
    <w:p>
      <w:pPr>
        <w:spacing w:after="0" w:line="1" w:lineRule="exact"/>
        <w:rPr>
          <w:rFonts w:ascii="Arial" w:cs="Arial" w:eastAsia="Arial" w:hAnsi="Arial"/>
          <w:sz w:val="16"/>
          <w:szCs w:val="16"/>
          <w:color w:val="auto"/>
        </w:rPr>
      </w:pPr>
    </w:p>
    <w:p>
      <w:pPr>
        <w:ind w:left="1140" w:right="300" w:hanging="241"/>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$59.0 million increase in capital expenditures and leasing costs as we continue to invest in Pike &amp; Rose, Assembly Row, Santana Row and other redevelopments,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$12.9 million for net costs paid in 2020 relating to the partial sale under threat of condemnation at San Antonio Center in 2019,</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$9.6 million acquisition of two loans secured by a shopping center in Rockville, Maryland, that is owned by a third party,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60" w:hanging="241"/>
        <w:spacing w:after="0" w:line="263"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$35.5 million decrease in acquisition of real estate, primarily due to the February 2019 acquisition of Fairfax Junction, and the September 2019 acquisition of a building in Hoboken, New Jersey, partially offset by the acquisition of two additional buildings in Hoboken, New Jersey in February 2020.</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provided by financing activities increased $858.4 million to $840.0 million during the nine months ended September 30, 2020 from $18.5 million used in the nine months ended September 30, 2019. The increase was primarily attributable to:</w:t>
      </w:r>
    </w:p>
    <w:p>
      <w:pPr>
        <w:spacing w:after="0" w:line="8" w:lineRule="exact"/>
        <w:rPr>
          <w:sz w:val="20"/>
          <w:szCs w:val="20"/>
          <w:color w:val="auto"/>
        </w:rPr>
      </w:pPr>
    </w:p>
    <w:p>
      <w:pPr>
        <w:ind w:left="1140" w:hanging="24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$398.7 million in net proceeds from our unsecured term loan in May 2020,</w:t>
      </w:r>
    </w:p>
    <w:p>
      <w:pPr>
        <w:spacing w:after="0" w:line="63" w:lineRule="exact"/>
        <w:rPr>
          <w:rFonts w:ascii="Arial" w:cs="Arial" w:eastAsia="Arial" w:hAnsi="Arial"/>
          <w:sz w:val="18"/>
          <w:szCs w:val="18"/>
          <w:color w:val="auto"/>
        </w:rPr>
      </w:pPr>
    </w:p>
    <w:p>
      <w:pPr>
        <w:ind w:left="1140" w:right="360" w:hanging="241"/>
        <w:spacing w:after="0" w:line="259"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$300.0 increase due to net proceeds of $700.1 million from the issuance of $400.0 million of 3.50% unsecured senior notes and the $300.0 million reopening of our 3.95% unsecured senior notes in May 2020 as compared to $400.1 million in net proceeds from the issuance of $300.0 million of 3.20% unsecured senior notes in June 2019 and an additional $100.0 million of the same series in August 2019, and</w:t>
      </w:r>
    </w:p>
    <w:p>
      <w:pPr>
        <w:spacing w:after="0" w:line="24" w:lineRule="exact"/>
        <w:rPr>
          <w:rFonts w:ascii="Arial" w:cs="Arial" w:eastAsia="Arial" w:hAnsi="Arial"/>
          <w:sz w:val="18"/>
          <w:szCs w:val="18"/>
          <w:color w:val="auto"/>
        </w:rPr>
      </w:pPr>
    </w:p>
    <w:p>
      <w:pPr>
        <w:ind w:left="1140" w:right="300" w:hanging="241"/>
        <w:spacing w:after="0" w:line="263"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$294.6 million decrease in repayment of mortgages, finance leases, and notes payable primarily due to the repayment of our $275.0 million unsecured term loan in June 2019 and the $20.3 million repayment of the mortgage loan on Rollingwood Apartments in January 2019,</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40" w:hanging="241"/>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$139.6 million decrease in net proceeds from the issuance of common shares under our ATM program during the nine months ended September 30, 2019, and</w:t>
      </w:r>
    </w:p>
    <w:p>
      <w:pPr>
        <w:spacing w:after="0" w:line="8" w:lineRule="exact"/>
        <w:rPr>
          <w:rFonts w:ascii="Arial" w:cs="Arial" w:eastAsia="Arial" w:hAnsi="Arial"/>
          <w:sz w:val="18"/>
          <w:szCs w:val="18"/>
          <w:color w:val="auto"/>
        </w:rPr>
      </w:pPr>
    </w:p>
    <w:p>
      <w:pPr>
        <w:ind w:left="1140" w:right="160" w:hanging="241"/>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million related to the prior year acquisition of the 10.1% noncontrolling interest in the partnership that owns our Montrose Crossing shopping center.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Stated Interest Rate as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00" w:type="dxa"/>
            <w:vAlign w:val="bottom"/>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as of September</w:t>
            </w: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6"/>
                <w:szCs w:val="16"/>
                <w:color w:val="auto"/>
              </w:rPr>
            </w:pPr>
          </w:p>
        </w:tc>
        <w:tc>
          <w:tcPr>
            <w:tcW w:w="110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30, 2020</w:t>
            </w: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540" w:type="dxa"/>
            <w:vAlign w:val="bottom"/>
            <w:tcBorders>
              <w:top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 (1)</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shd w:val="clear" w:color="auto" w:fill="CCEEFF"/>
              </w:rPr>
              <w:t>Acquired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60,593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3,690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8,089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66,077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12,476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Hoboken (24 Buildings) (2)</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+ 1.95%</w:t>
            </w: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Hoboken (14 Buildings) (3)</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32,921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5,327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Hoboken (1 Building) (4)</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551,407</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549,445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Term Loan</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+ 1.35%</w:t>
            </w:r>
          </w:p>
        </w:tc>
        <w:tc>
          <w:tcPr>
            <w:tcW w:w="1800" w:type="dxa"/>
            <w:vAlign w:val="bottom"/>
          </w:tcPr>
          <w:p>
            <w:pPr>
              <w:jc w:val="right"/>
              <w:spacing w:after="0"/>
              <w:rPr>
                <w:sz w:val="20"/>
                <w:szCs w:val="20"/>
                <w:color w:val="auto"/>
              </w:rPr>
            </w:pPr>
            <w:r>
              <w:rPr>
                <w:rFonts w:ascii="Arial" w:cs="Arial" w:eastAsia="Arial" w:hAnsi="Arial"/>
                <w:sz w:val="16"/>
                <w:szCs w:val="16"/>
                <w:color w:val="auto"/>
              </w:rPr>
              <w:t>May 6,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(5)</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+ 0.775%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1740" w:type="dxa"/>
            <w:vAlign w:val="bottom"/>
            <w:gridSpan w:val="2"/>
          </w:tcPr>
          <w:p>
            <w:pPr>
              <w:jc w:val="right"/>
              <w:ind w:right="82"/>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403,393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402,580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3.20%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3.50%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3,508,824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Total debt, net</w:t>
            </w:r>
          </w:p>
        </w:tc>
        <w:tc>
          <w:tcPr>
            <w:tcW w:w="1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4,460,849</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2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non-recourse mortgage loan matured on September 1, 2020 and was not repaid. See Note 4 to the consolidated financial statements for additional information.</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ectPr>
          <w:pgSz w:w="11900" w:h="16838" w:orient="portrait"/>
          <w:cols w:equalWidth="0" w:num="1">
            <w:col w:w="11240"/>
          </w:cols>
          <w:pgMar w:left="320" w:top="126" w:right="3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6" w:right="3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660" w:right="2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2020 was $990.0 million, and the weighted average interest rate on borrowings under our revolving credit facility, before amortization of debt fees, was 1.5%.</w:t>
      </w:r>
    </w:p>
    <w:p>
      <w:pPr>
        <w:spacing w:after="0" w:line="9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Our revolving credit facility and other debt agreements include financial and other covenants that may limit our operating activities in the future. As of September 30, 2020, we were in compliance with all financial and other covenants related to our revolving credit facility, term loan, and senior notes. Additionally, excluding the non-recourse mortgage loan on The Shops at Sunset Place as further discussed in Note 4 to the consolidated financial statements, as of September 30, 2020,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(In thousands)</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61,717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61,880</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650,680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31,756</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682,436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119,706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370,462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275,775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3,549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279,324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600,665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604,353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2,144,554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330,991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2,475,545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3,922,593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551,407</w:t>
            </w: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4,474,000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right="240" w:hanging="812"/>
        <w:spacing w:after="0" w:line="277"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includes the principal balance of The Shops at Sunset Place non-recourse mortgage loan, which matured on September 1, 2020. See Note 4 to the consolidated financial statements for further discussion.</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$400.0 million term loan matures on May 6, 2021 plus one twelve month extension, at our option.</w:t>
      </w:r>
    </w:p>
    <w:p>
      <w:pPr>
        <w:spacing w:after="0" w:line="74" w:lineRule="exact"/>
        <w:rPr>
          <w:rFonts w:ascii="Arial" w:cs="Arial" w:eastAsia="Arial" w:hAnsi="Arial"/>
          <w:sz w:val="17"/>
          <w:szCs w:val="17"/>
          <w:color w:val="auto"/>
        </w:rPr>
      </w:pPr>
    </w:p>
    <w:p>
      <w:pPr>
        <w:ind w:left="820" w:right="100" w:hanging="812"/>
        <w:spacing w:after="0" w:line="277"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September 30, 2020, there was no outstanding balance under this credit facility.</w:t>
      </w:r>
    </w:p>
    <w:p>
      <w:pPr>
        <w:spacing w:after="0" w:line="8" w:lineRule="exact"/>
        <w:rPr>
          <w:rFonts w:ascii="Arial" w:cs="Arial" w:eastAsia="Arial" w:hAnsi="Arial"/>
          <w:sz w:val="18"/>
          <w:szCs w:val="18"/>
          <w:color w:val="auto"/>
        </w:rPr>
      </w:pPr>
    </w:p>
    <w:p>
      <w:pPr>
        <w:ind w:left="820" w:right="120" w:hanging="812"/>
        <w:spacing w:after="0" w:line="277"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of September 30, 2020,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9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9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gridSpan w:val="7"/>
          </w:tcPr>
          <w:p>
            <w:pPr>
              <w:ind w:left="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211,576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Impairment charge, net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50,728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50,728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14,165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350,439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Dividends on preferred shares (1)</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 (2)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345,858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76,149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76,133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75,342</w:t>
            </w:r>
          </w:p>
        </w:tc>
        <w:tc>
          <w:tcPr>
            <w:tcW w:w="0" w:type="dxa"/>
            <w:vAlign w:val="bottom"/>
          </w:tcPr>
          <w:p>
            <w:pPr>
              <w:spacing w:after="0"/>
              <w:rPr>
                <w:sz w:val="1"/>
                <w:szCs w:val="1"/>
                <w:color w:val="auto"/>
              </w:rPr>
            </w:pPr>
          </w:p>
        </w:tc>
      </w:tr>
      <w:tr>
        <w:trPr>
          <w:trHeight w:val="67"/>
        </w:trPr>
        <w:tc>
          <w:tcPr>
            <w:tcW w:w="68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0" w:hanging="652"/>
        <w:spacing w:after="0" w:line="31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2019,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Arial" w:cs="Arial" w:eastAsia="Arial" w:hAnsi="Arial"/>
          <w:sz w:val="16"/>
          <w:szCs w:val="16"/>
          <w:color w:val="auto"/>
        </w:rPr>
      </w:pPr>
    </w:p>
    <w:p>
      <w:pPr>
        <w:jc w:val="both"/>
        <w:ind w:left="660" w:right="200" w:hanging="652"/>
        <w:spacing w:after="0" w:line="30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Funds from operations available for common shareholders includes an $11.9 million charge relating to the buyout of a lease at Assembly Square Marketplace for the three and nine months ended September 30, 2019. If this charge was excluded, funds from operations available for common shareholders, per diluted share would have been $1.59 and $4.75 for the three and nine months ended September 30, 2019, respectively.</w:t>
      </w:r>
    </w:p>
    <w:p>
      <w:pPr>
        <w:ind w:left="660" w:right="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changing interest rate environment could have on the overall level of economic activity or the action that our management might take to reduce our exposure to the change. This analysis assumes no change in our financial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September 30, 2020, we had $4.1 billion of fixed-rate debt outstanding, including $56.5 million of mortgage payables for which the rate is effectively fixed by two interest rate swap agreements. If market interest rates used to calculate the fair value on our fixed-rate debt instruments at September 30, 2020 had been 1.0% higher, the fair value of those debt instruments on that date would have decreased by approximately $273.4 million. If market interest rates used to calculate the fair value on our fixed-rate debt instruments at September 30, 2020 had been 1.0% lower, the fair value of those debt instruments on that date would have increased by approximately $311.1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September 30, 2020, we had $400.0 million of variable rate debt outstanding (the principal balance on our unsecured term loan). Based upon this amount of variable rate debt and the specific terms, if market interest rates increased 1.0%, our annual interest expense would increase approximately $4.0 million with a corresponding decrease in our net income and cash flows for the year. Conversely, if market interest rates decreased 1.0%, our annual interest expense would decrease by approximately $4.0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2020. Based on this evaluation, our management, including our Chief Executive Officer and Chief Financial Officer, concluded that our disclosure controls and procedures were effective as of September 30, 2020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126" w:right="39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2019.</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While we attempt to identify, manage and mitigate risks and uncertainties associated with our business to the extent practical under the circumstances, some level of risk and uncertainty will always be present. . “Item 1A. Risk Factors” of our Annual Report to our Form 10-K for the year ended December 31, 2019 filed with the SEC on February 10, 2020 describes some of the risks and uncertainties associated with our business. These risks and uncertainties have the potential to materially affect our business, results of operations, financial condition, cash flows, projected results and future prospects. Except for the risk factor discussed below, we do not believe that there have been any material changes to the risk factors disclosed in our 2019 Annual Report.</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Natural disasters, climate change and public health crises, including the COVID-19 pandemic, could have an adverse impact on our cash flow and operating results.</w:t>
      </w:r>
    </w:p>
    <w:p>
      <w:pPr>
        <w:spacing w:after="0" w:line="11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business is subject to risks related to the effects of public health crises, epidemics and pandemics, including the COVID-19 pandemic. Such events could inhibit global, national and local economic activity; adversely affect trading activity in securities markets, which could negatively impact the trading prices of our common shares and debt securities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temporarily or permanently reduce the demand for retail or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duration of stay-at-home and other government orders instituted in response to the COVID-19 pandemic, which vary by jurisdiction, or the pandemics' short and long term economic effects, each of which could have a material adverse effect on our business.</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ectPr>
          <w:pgSz w:w="11900" w:h="16838" w:orient="portrait"/>
          <w:cols w:equalWidth="0" w:num="1">
            <w:col w:w="11200"/>
          </w:cols>
          <w:pgMar w:left="320" w:top="126"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0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100" w:type="dxa"/>
            <w:vAlign w:val="bottom"/>
          </w:tcPr>
          <w:p>
            <w:pPr>
              <w:spacing w:after="0"/>
              <w:rPr>
                <w:sz w:val="24"/>
                <w:szCs w:val="24"/>
                <w:color w:val="auto"/>
              </w:rPr>
            </w:pPr>
          </w:p>
        </w:tc>
      </w:tr>
      <w:tr>
        <w:trPr>
          <w:trHeight w:val="364"/>
        </w:trPr>
        <w:tc>
          <w:tcPr>
            <w:tcW w:w="1000" w:type="dxa"/>
            <w:vAlign w:val="bottom"/>
            <w:tcBorders>
              <w:top w:val="single" w:sz="8" w:color="auto"/>
            </w:tcBorders>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31.1</w:t>
              </w:r>
            </w:hyperlink>
          </w:p>
        </w:tc>
        <w:tc>
          <w:tcPr>
            <w:tcW w:w="140" w:type="dxa"/>
            <w:vAlign w:val="bottom"/>
          </w:tcPr>
          <w:p>
            <w:pPr>
              <w:spacing w:after="0"/>
              <w:rPr>
                <w:sz w:val="24"/>
                <w:szCs w:val="24"/>
                <w:color w:val="auto"/>
              </w:rPr>
            </w:pPr>
          </w:p>
        </w:tc>
        <w:tc>
          <w:tcPr>
            <w:tcW w:w="10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31.2</w:t>
              </w:r>
            </w:hyperlink>
          </w:p>
        </w:tc>
        <w:tc>
          <w:tcPr>
            <w:tcW w:w="140" w:type="dxa"/>
            <w:vAlign w:val="bottom"/>
          </w:tcPr>
          <w:p>
            <w:pPr>
              <w:spacing w:after="0"/>
              <w:rPr>
                <w:sz w:val="24"/>
                <w:szCs w:val="24"/>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32.1</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32.2</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161" w:lineRule="exact"/>
        <w:rPr>
          <w:sz w:val="20"/>
          <w:szCs w:val="20"/>
          <w:color w:val="auto"/>
        </w:rPr>
      </w:pPr>
    </w:p>
    <w:p>
      <w:pPr>
        <w:ind w:left="1160" w:right="40" w:hanging="1125"/>
        <w:spacing w:after="0" w:line="259"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2020,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146" w:lineRule="exact"/>
        <w:rPr>
          <w:sz w:val="20"/>
          <w:szCs w:val="20"/>
          <w:color w:val="auto"/>
        </w:rPr>
      </w:pPr>
    </w:p>
    <w:p>
      <w:pPr>
        <w:ind w:left="5540" w:right="3560" w:hanging="5505"/>
        <w:spacing w:after="0" w:line="559" w:lineRule="auto"/>
        <w:tabs>
          <w:tab w:leader="none" w:pos="11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37</w:t>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520" w:val="left"/>
          <w:tab w:leader="none" w:pos="786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President, Chief Executive Officer and Trustee</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460" w:val="left"/>
          <w:tab w:leader="none" w:pos="782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72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5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340"/>
          </w:cols>
          <w:pgMar w:left="320" w:top="126" w:right="1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2020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32"/>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2020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November 5,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Roman"/>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5"/>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01"/>
    </w:lvl>
  </w:abstractNum>
  <w:abstractNum w:abstractNumId="34">
    <w:nsid w:val="77465F01"/>
    <w:multiLevelType w:val="hybridMultilevel"/>
    <w:lvl w:ilvl="0">
      <w:lvlJc w:val="left"/>
      <w:lvlText w:val="%1"/>
      <w:numFmt w:val="decimal"/>
      <w:start w:val="10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2020-11-05T17:19:41Z</dcterms:created>
  <dcterms:modified xsi:type="dcterms:W3CDTF">2020-11-05T17:19:41Z</dcterms:modified>
</cp:coreProperties>
</file>