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200" w:type="dxa"/>
            <w:vAlign w:val="bottom"/>
            <w:gridSpan w:val="3"/>
          </w:tcPr>
          <w:p>
            <w:pPr>
              <w:jc w:val="right"/>
              <w:ind w:right="20"/>
              <w:spacing w:after="0"/>
              <w:rPr>
                <w:sz w:val="20"/>
                <w:szCs w:val="20"/>
                <w:color w:val="auto"/>
              </w:rPr>
            </w:pPr>
            <w:r>
              <w:rPr>
                <w:rFonts w:ascii="Arial" w:cs="Arial" w:eastAsia="Arial" w:hAnsi="Arial"/>
                <w:sz w:val="18"/>
                <w:szCs w:val="18"/>
                <w:color w:val="auto"/>
              </w:rPr>
              <w:t>Filed Pursuant to Rule 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200" w:type="dxa"/>
            <w:vAlign w:val="bottom"/>
            <w:gridSpan w:val="3"/>
          </w:tcPr>
          <w:p>
            <w:pPr>
              <w:jc w:val="right"/>
              <w:ind w:right="20"/>
              <w:spacing w:after="0"/>
              <w:rPr>
                <w:sz w:val="20"/>
                <w:szCs w:val="20"/>
                <w:color w:val="auto"/>
              </w:rPr>
            </w:pPr>
            <w:r>
              <w:rPr>
                <w:rFonts w:ascii="Arial" w:cs="Arial" w:eastAsia="Arial" w:hAnsi="Arial"/>
                <w:sz w:val="18"/>
                <w:szCs w:val="18"/>
                <w:color w:val="auto"/>
              </w:rPr>
              <w:t>Dated August 10,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20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Registration Statement No. 333-160009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Relating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860" w:type="dxa"/>
            <w:vAlign w:val="bottom"/>
            <w:gridSpan w:val="4"/>
          </w:tcPr>
          <w:p>
            <w:pPr>
              <w:jc w:val="right"/>
              <w:ind w:right="20"/>
              <w:spacing w:after="0"/>
              <w:rPr>
                <w:sz w:val="20"/>
                <w:szCs w:val="20"/>
                <w:color w:val="auto"/>
              </w:rPr>
            </w:pPr>
            <w:r>
              <w:rPr>
                <w:rFonts w:ascii="Arial" w:cs="Arial" w:eastAsia="Arial" w:hAnsi="Arial"/>
                <w:sz w:val="18"/>
                <w:szCs w:val="18"/>
                <w:color w:val="auto"/>
              </w:rPr>
              <w:t>Preliminary Prospectus Supplement Dated August 10, 2009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200" w:type="dxa"/>
            <w:vAlign w:val="bottom"/>
            <w:gridSpan w:val="3"/>
          </w:tcPr>
          <w:p>
            <w:pPr>
              <w:jc w:val="right"/>
              <w:ind w:right="20"/>
              <w:spacing w:after="0"/>
              <w:rPr>
                <w:sz w:val="20"/>
                <w:szCs w:val="20"/>
                <w:color w:val="auto"/>
              </w:rPr>
            </w:pPr>
            <w:r>
              <w:rPr>
                <w:rFonts w:ascii="Arial" w:cs="Arial" w:eastAsia="Arial" w:hAnsi="Arial"/>
                <w:sz w:val="18"/>
                <w:szCs w:val="18"/>
                <w:color w:val="auto"/>
              </w:rPr>
              <w:t>Prospectus dated June 16, 2009</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660" w:type="dxa"/>
            <w:vAlign w:val="bottom"/>
          </w:tcPr>
          <w:p>
            <w:pPr>
              <w:jc w:val="center"/>
              <w:ind w:right="292"/>
              <w:spacing w:after="0"/>
              <w:rPr>
                <w:sz w:val="20"/>
                <w:szCs w:val="20"/>
                <w:color w:val="auto"/>
              </w:rPr>
            </w:pPr>
            <w:r>
              <w:rPr>
                <w:rFonts w:ascii="Arial" w:cs="Arial" w:eastAsia="Arial" w:hAnsi="Arial"/>
                <w:sz w:val="18"/>
                <w:szCs w:val="18"/>
                <w:b w:val="1"/>
                <w:bCs w:val="1"/>
                <w:color w:val="auto"/>
                <w:w w:val="89"/>
              </w:rPr>
              <w:t>Federal Realty Investment Trust</w:t>
            </w: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660" w:type="dxa"/>
            <w:vAlign w:val="bottom"/>
          </w:tcPr>
          <w:p>
            <w:pPr>
              <w:jc w:val="center"/>
              <w:ind w:right="312"/>
              <w:spacing w:after="0"/>
              <w:rPr>
                <w:sz w:val="20"/>
                <w:szCs w:val="20"/>
                <w:color w:val="auto"/>
              </w:rPr>
            </w:pPr>
            <w:r>
              <w:rPr>
                <w:rFonts w:ascii="Arial" w:cs="Arial" w:eastAsia="Arial" w:hAnsi="Arial"/>
                <w:sz w:val="18"/>
                <w:szCs w:val="18"/>
                <w:b w:val="1"/>
                <w:bCs w:val="1"/>
                <w:color w:val="auto"/>
                <w:w w:val="88"/>
              </w:rPr>
              <w:t>5.95% Notes due 2014</w:t>
            </w: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660" w:type="dxa"/>
            <w:vAlign w:val="bottom"/>
          </w:tcPr>
          <w:p>
            <w:pPr>
              <w:jc w:val="center"/>
              <w:ind w:right="292"/>
              <w:spacing w:after="0"/>
              <w:rPr>
                <w:sz w:val="20"/>
                <w:szCs w:val="20"/>
                <w:color w:val="auto"/>
              </w:rPr>
            </w:pPr>
            <w:r>
              <w:rPr>
                <w:rFonts w:ascii="Arial" w:cs="Arial" w:eastAsia="Arial" w:hAnsi="Arial"/>
                <w:sz w:val="18"/>
                <w:szCs w:val="18"/>
                <w:color w:val="auto"/>
                <w:w w:val="86"/>
              </w:rPr>
              <w:t>Term sheet dated August 10, 2009</w:t>
            </w: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Issuer:</w:t>
            </w:r>
          </w:p>
        </w:tc>
        <w:tc>
          <w:tcPr>
            <w:tcW w:w="46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Federal Realty Investment Trust</w:t>
            </w:r>
          </w:p>
        </w:tc>
        <w:tc>
          <w:tcPr>
            <w:tcW w:w="2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4660" w:type="dxa"/>
            <w:vAlign w:val="bottom"/>
          </w:tcPr>
          <w:p>
            <w:pPr>
              <w:ind w:left="1780"/>
              <w:spacing w:after="0"/>
              <w:rPr>
                <w:sz w:val="20"/>
                <w:szCs w:val="20"/>
                <w:color w:val="auto"/>
              </w:rPr>
            </w:pPr>
            <w:r>
              <w:rPr>
                <w:rFonts w:ascii="Arial" w:cs="Arial" w:eastAsia="Arial" w:hAnsi="Arial"/>
                <w:sz w:val="18"/>
                <w:szCs w:val="18"/>
                <w:color w:val="auto"/>
              </w:rPr>
              <w:t>5.95% notes due August 15, 2014</w:t>
            </w: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Size:</w:t>
            </w:r>
          </w:p>
        </w:tc>
        <w:tc>
          <w:tcPr>
            <w:tcW w:w="46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$150,000,000</w:t>
            </w:r>
          </w:p>
        </w:tc>
        <w:tc>
          <w:tcPr>
            <w:tcW w:w="2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4660" w:type="dxa"/>
            <w:vAlign w:val="bottom"/>
          </w:tcPr>
          <w:p>
            <w:pPr>
              <w:ind w:left="1780"/>
              <w:spacing w:after="0"/>
              <w:rPr>
                <w:sz w:val="20"/>
                <w:szCs w:val="20"/>
                <w:color w:val="auto"/>
              </w:rPr>
            </w:pPr>
            <w:r>
              <w:rPr>
                <w:rFonts w:ascii="Arial" w:cs="Arial" w:eastAsia="Arial" w:hAnsi="Arial"/>
                <w:sz w:val="18"/>
                <w:szCs w:val="18"/>
                <w:color w:val="auto"/>
              </w:rPr>
              <w:t>August 15, 2014</w:t>
            </w: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696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 Dates:</w:t>
            </w:r>
          </w:p>
        </w:tc>
        <w:tc>
          <w:tcPr>
            <w:tcW w:w="696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February 15 and August 15, beginning February 15, 2010</w:t>
            </w: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Benchmark Treasury:</w:t>
            </w:r>
          </w:p>
        </w:tc>
        <w:tc>
          <w:tcPr>
            <w:tcW w:w="4660" w:type="dxa"/>
            <w:vAlign w:val="bottom"/>
          </w:tcPr>
          <w:p>
            <w:pPr>
              <w:ind w:left="1780"/>
              <w:spacing w:after="0"/>
              <w:rPr>
                <w:sz w:val="20"/>
                <w:szCs w:val="20"/>
                <w:color w:val="auto"/>
              </w:rPr>
            </w:pPr>
            <w:r>
              <w:rPr>
                <w:rFonts w:ascii="Arial" w:cs="Arial" w:eastAsia="Arial" w:hAnsi="Arial"/>
                <w:sz w:val="18"/>
                <w:szCs w:val="18"/>
                <w:color w:val="auto"/>
              </w:rPr>
              <w:t>2.625% UST due July 31, 2014</w:t>
            </w: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Benchmark Treasury Yield and Price:</w:t>
            </w:r>
          </w:p>
        </w:tc>
        <w:tc>
          <w:tcPr>
            <w:tcW w:w="46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2.774%; 99-10</w:t>
            </w:r>
          </w:p>
        </w:tc>
        <w:tc>
          <w:tcPr>
            <w:tcW w:w="2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Yield to Maturity:</w:t>
            </w:r>
          </w:p>
        </w:tc>
        <w:tc>
          <w:tcPr>
            <w:tcW w:w="4660" w:type="dxa"/>
            <w:vAlign w:val="bottom"/>
          </w:tcPr>
          <w:p>
            <w:pPr>
              <w:ind w:left="1780"/>
              <w:spacing w:after="0"/>
              <w:rPr>
                <w:sz w:val="20"/>
                <w:szCs w:val="20"/>
                <w:color w:val="auto"/>
              </w:rPr>
            </w:pPr>
            <w:r>
              <w:rPr>
                <w:rFonts w:ascii="Arial" w:cs="Arial" w:eastAsia="Arial" w:hAnsi="Arial"/>
                <w:sz w:val="18"/>
                <w:szCs w:val="18"/>
                <w:color w:val="auto"/>
              </w:rPr>
              <w:t>6.149%</w:t>
            </w: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Spread to Benchmark Treasury:</w:t>
            </w:r>
          </w:p>
        </w:tc>
        <w:tc>
          <w:tcPr>
            <w:tcW w:w="46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337.5 basis points</w:t>
            </w:r>
          </w:p>
        </w:tc>
        <w:tc>
          <w:tcPr>
            <w:tcW w:w="2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Coupon (Interest Rate):</w:t>
            </w:r>
          </w:p>
        </w:tc>
        <w:tc>
          <w:tcPr>
            <w:tcW w:w="4660" w:type="dxa"/>
            <w:vAlign w:val="bottom"/>
          </w:tcPr>
          <w:p>
            <w:pPr>
              <w:ind w:left="1780"/>
              <w:spacing w:after="0"/>
              <w:rPr>
                <w:sz w:val="20"/>
                <w:szCs w:val="20"/>
                <w:color w:val="auto"/>
              </w:rPr>
            </w:pPr>
            <w:r>
              <w:rPr>
                <w:rFonts w:ascii="Arial" w:cs="Arial" w:eastAsia="Arial" w:hAnsi="Arial"/>
                <w:sz w:val="18"/>
                <w:szCs w:val="18"/>
                <w:color w:val="auto"/>
              </w:rPr>
              <w:t>5.95% per year</w:t>
            </w: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7840" w:type="dxa"/>
            <w:vAlign w:val="bottom"/>
            <w:gridSpan w:val="3"/>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Price to Public:</w:t>
            </w:r>
          </w:p>
        </w:tc>
        <w:tc>
          <w:tcPr>
            <w:tcW w:w="784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w w:val="90"/>
              </w:rPr>
              <w:t>99.153% of principal amount, plus accrued interest, if any, from the Settlement Date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Trade Date:</w:t>
            </w:r>
          </w:p>
        </w:tc>
        <w:tc>
          <w:tcPr>
            <w:tcW w:w="4660" w:type="dxa"/>
            <w:vAlign w:val="bottom"/>
          </w:tcPr>
          <w:p>
            <w:pPr>
              <w:ind w:left="1780"/>
              <w:spacing w:after="0"/>
              <w:rPr>
                <w:sz w:val="20"/>
                <w:szCs w:val="20"/>
                <w:color w:val="auto"/>
              </w:rPr>
            </w:pPr>
            <w:r>
              <w:rPr>
                <w:rFonts w:ascii="Arial" w:cs="Arial" w:eastAsia="Arial" w:hAnsi="Arial"/>
                <w:sz w:val="18"/>
                <w:szCs w:val="18"/>
                <w:color w:val="auto"/>
              </w:rPr>
              <w:t>August 10, 2009</w:t>
            </w: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Settlement Date:</w:t>
            </w:r>
          </w:p>
        </w:tc>
        <w:tc>
          <w:tcPr>
            <w:tcW w:w="46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T+3; August 13, 2009</w:t>
            </w:r>
          </w:p>
        </w:tc>
        <w:tc>
          <w:tcPr>
            <w:tcW w:w="2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Aggregate Price to Public:</w:t>
            </w:r>
          </w:p>
        </w:tc>
        <w:tc>
          <w:tcPr>
            <w:tcW w:w="4660" w:type="dxa"/>
            <w:vAlign w:val="bottom"/>
          </w:tcPr>
          <w:p>
            <w:pPr>
              <w:ind w:left="1780"/>
              <w:spacing w:after="0"/>
              <w:rPr>
                <w:sz w:val="20"/>
                <w:szCs w:val="20"/>
                <w:color w:val="auto"/>
              </w:rPr>
            </w:pPr>
            <w:r>
              <w:rPr>
                <w:rFonts w:ascii="Arial" w:cs="Arial" w:eastAsia="Arial" w:hAnsi="Arial"/>
                <w:sz w:val="18"/>
                <w:szCs w:val="18"/>
                <w:color w:val="auto"/>
              </w:rPr>
              <w:t>$148,729,500</w:t>
            </w: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7840" w:type="dxa"/>
            <w:vAlign w:val="bottom"/>
            <w:gridSpan w:val="3"/>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Redemption Provision:</w:t>
            </w:r>
          </w:p>
        </w:tc>
        <w:tc>
          <w:tcPr>
            <w:tcW w:w="784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w w:val="93"/>
              </w:rPr>
              <w:t>Make-whole call at any time based on U.S. Treasury plus 50 basis points (0.50%)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80" w:type="dxa"/>
            <w:vAlign w:val="bottom"/>
            <w:gridSpan w:val="2"/>
          </w:tcPr>
          <w:p>
            <w:pPr>
              <w:spacing w:after="0"/>
              <w:rPr>
                <w:sz w:val="20"/>
                <w:szCs w:val="20"/>
                <w:color w:val="auto"/>
              </w:rPr>
            </w:pPr>
            <w:r>
              <w:rPr>
                <w:rFonts w:ascii="Arial" w:cs="Arial" w:eastAsia="Arial" w:hAnsi="Arial"/>
                <w:sz w:val="18"/>
                <w:szCs w:val="18"/>
                <w:color w:val="auto"/>
              </w:rPr>
              <w:t>CUSIP/ISIN:</w:t>
            </w:r>
          </w:p>
        </w:tc>
        <w:tc>
          <w:tcPr>
            <w:tcW w:w="4660" w:type="dxa"/>
            <w:vAlign w:val="bottom"/>
          </w:tcPr>
          <w:p>
            <w:pPr>
              <w:ind w:left="1780"/>
              <w:spacing w:after="0"/>
              <w:rPr>
                <w:sz w:val="20"/>
                <w:szCs w:val="20"/>
                <w:color w:val="auto"/>
              </w:rPr>
            </w:pPr>
            <w:r>
              <w:rPr>
                <w:rFonts w:ascii="Arial" w:cs="Arial" w:eastAsia="Arial" w:hAnsi="Arial"/>
                <w:sz w:val="18"/>
                <w:szCs w:val="18"/>
                <w:color w:val="auto"/>
              </w:rPr>
              <w:t>313747AQ0/US313747AQ05</w:t>
            </w: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Joint Book-Running Managers:</w:t>
            </w:r>
          </w:p>
        </w:tc>
        <w:tc>
          <w:tcPr>
            <w:tcW w:w="46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J.P. Morgan Securities Inc.</w:t>
            </w:r>
          </w:p>
        </w:tc>
        <w:tc>
          <w:tcPr>
            <w:tcW w:w="2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660" w:type="dxa"/>
            <w:vAlign w:val="bottom"/>
          </w:tcPr>
          <w:p>
            <w:pPr>
              <w:ind w:left="1780"/>
              <w:spacing w:after="0"/>
              <w:rPr>
                <w:sz w:val="20"/>
                <w:szCs w:val="20"/>
                <w:color w:val="auto"/>
              </w:rPr>
            </w:pPr>
            <w:r>
              <w:rPr>
                <w:rFonts w:ascii="Arial" w:cs="Arial" w:eastAsia="Arial" w:hAnsi="Arial"/>
                <w:sz w:val="18"/>
                <w:szCs w:val="18"/>
                <w:color w:val="auto"/>
              </w:rPr>
              <w:t>Wells Fargo Securities, LLC</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52,500,000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Co-Managers:</w:t>
            </w:r>
          </w:p>
        </w:tc>
        <w:tc>
          <w:tcPr>
            <w:tcW w:w="46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Citigroup Global Markets Inc.</w:t>
            </w:r>
          </w:p>
        </w:tc>
        <w:tc>
          <w:tcPr>
            <w:tcW w:w="2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660" w:type="dxa"/>
            <w:vAlign w:val="bottom"/>
          </w:tcPr>
          <w:p>
            <w:pPr>
              <w:ind w:left="1780"/>
              <w:spacing w:after="0"/>
              <w:rPr>
                <w:sz w:val="20"/>
                <w:szCs w:val="20"/>
                <w:color w:val="auto"/>
              </w:rPr>
            </w:pPr>
            <w:r>
              <w:rPr>
                <w:rFonts w:ascii="Arial" w:cs="Arial" w:eastAsia="Arial" w:hAnsi="Arial"/>
                <w:sz w:val="18"/>
                <w:szCs w:val="18"/>
                <w:color w:val="auto"/>
              </w:rPr>
              <w:t>PNC Capital Markets LLC</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11,250,000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6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Morgan Keegan &amp; Company, Inc.</w:t>
            </w:r>
          </w:p>
        </w:tc>
        <w:tc>
          <w:tcPr>
            <w:tcW w:w="2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660" w:type="dxa"/>
            <w:vAlign w:val="bottom"/>
          </w:tcPr>
          <w:p>
            <w:pPr>
              <w:ind w:left="1780"/>
              <w:spacing w:after="0"/>
              <w:rPr>
                <w:sz w:val="20"/>
                <w:szCs w:val="20"/>
                <w:color w:val="auto"/>
              </w:rPr>
            </w:pPr>
            <w:r>
              <w:rPr>
                <w:rFonts w:ascii="Arial" w:cs="Arial" w:eastAsia="Arial" w:hAnsi="Arial"/>
                <w:sz w:val="18"/>
                <w:szCs w:val="18"/>
                <w:color w:val="auto"/>
              </w:rPr>
              <w:t>SunTrust Robinson Humphrey, Inc.</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6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Capital One Southcoast, Inc.</w:t>
            </w:r>
          </w:p>
        </w:tc>
        <w:tc>
          <w:tcPr>
            <w:tcW w:w="2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660" w:type="dxa"/>
            <w:vAlign w:val="bottom"/>
          </w:tcPr>
          <w:p>
            <w:pPr>
              <w:ind w:left="1780"/>
              <w:spacing w:after="0"/>
              <w:rPr>
                <w:sz w:val="20"/>
                <w:szCs w:val="20"/>
                <w:color w:val="auto"/>
              </w:rPr>
            </w:pPr>
            <w:r>
              <w:rPr>
                <w:rFonts w:ascii="Arial" w:cs="Arial" w:eastAsia="Arial" w:hAnsi="Arial"/>
                <w:sz w:val="18"/>
                <w:szCs w:val="18"/>
                <w:color w:val="auto"/>
              </w:rPr>
              <w:t>U.S. Bancorp Investments, Inc.</w:t>
            </w:r>
          </w:p>
        </w:tc>
        <w:tc>
          <w:tcPr>
            <w:tcW w:w="2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right="60"/>
        <w:spacing w:after="0" w:line="293" w:lineRule="auto"/>
        <w:rPr>
          <w:sz w:val="20"/>
          <w:szCs w:val="20"/>
          <w:color w:val="auto"/>
        </w:rPr>
      </w:pPr>
      <w:r>
        <w:rPr>
          <w:rFonts w:ascii="Arial" w:cs="Arial" w:eastAsia="Arial" w:hAnsi="Arial"/>
          <w:sz w:val="16"/>
          <w:szCs w:val="16"/>
          <w:b w:val="1"/>
          <w:bCs w:val="1"/>
          <w:color w:val="auto"/>
        </w:rPr>
        <w:t>The issuer has filed a registration statement (including a preliminary prospectus supplement and a prospectus) with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preliminary prospectus supplement and the prospectus if you request it by calling J.P. Morgan Securities Inc. collect at 1-212-834-4533 or Wells Fargo Securities, LLC toll-free at 1-800-326-5897.</w:t>
      </w:r>
    </w:p>
    <w:p>
      <w:pPr>
        <w:spacing w:after="0" w:line="111" w:lineRule="exact"/>
        <w:rPr>
          <w:sz w:val="24"/>
          <w:szCs w:val="24"/>
          <w:color w:val="auto"/>
        </w:rPr>
      </w:pPr>
    </w:p>
    <w:p>
      <w:pPr>
        <w:ind w:right="100"/>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2019-12-10T00:15:40Z</dcterms:created>
  <dcterms:modified xsi:type="dcterms:W3CDTF">2019-12-10T00:15:40Z</dcterms:modified>
</cp:coreProperties>
</file>