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CUSIP NO.  31374720</w:t>
            </w:r>
          </w:p>
        </w:tc>
        <w:tc>
          <w:tcPr>
            <w:tcW w:w="940" w:type="dxa"/>
            <w:vAlign w:val="bottom"/>
          </w:tcPr>
          <w:p>
            <w:pPr>
              <w:ind w:left="640"/>
              <w:spacing w:after="0"/>
              <w:rPr>
                <w:sz w:val="20"/>
                <w:szCs w:val="20"/>
                <w:color w:val="auto"/>
              </w:rPr>
            </w:pPr>
            <w:r>
              <w:rPr>
                <w:rFonts w:ascii="Courier New" w:cs="Courier New" w:eastAsia="Courier New" w:hAnsi="Courier New"/>
                <w:sz w:val="18"/>
                <w:szCs w:val="18"/>
                <w:color w:val="auto"/>
                <w:w w:val="86"/>
              </w:rPr>
              <w:t>13G</w:t>
            </w:r>
          </w:p>
        </w:tc>
      </w:tr>
    </w:tbl>
    <w:p>
      <w:pPr>
        <w:spacing w:after="0" w:line="201"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right="8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3,900,868</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3,900,868</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3,900,868 (ownership disclaimed pursuant to Section 13d-4 of the 1934 Act)</w:t>
      </w:r>
    </w:p>
    <w:p>
      <w:pPr>
        <w:spacing w:after="0" w:line="22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w:t>
      </w:r>
    </w:p>
    <w:p>
      <w:pPr>
        <w:spacing w:after="0" w:line="207" w:lineRule="exact"/>
        <w:rPr>
          <w:sz w:val="20"/>
          <w:szCs w:val="20"/>
          <w:color w:val="auto"/>
        </w:rPr>
      </w:pPr>
    </w:p>
    <w:p>
      <w:pPr>
        <w:ind w:right="715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8</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31374720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3,900,000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3,900,000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3,900,000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8</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Federal Realty Investment Trust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1626 East Jefferson Street</w:t>
      </w:r>
    </w:p>
    <w:p>
      <w:pPr>
        <w:ind w:left="1280"/>
        <w:spacing w:after="0"/>
        <w:tabs>
          <w:tab w:leader="none" w:pos="346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20852-4041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(on behalf of Merrill Lynch Asset Management Group ("AMG"))</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Growth Fund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10381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860" w:right="251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860" w:right="1999" w:hanging="852"/>
        <w:spacing w:after="0" w:line="236"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13d-1(b)(1)(ii)(F),</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Rule 13d-1(b)(ii)(G);</w:t>
      </w:r>
    </w:p>
    <w:p>
      <w:pPr>
        <w:ind w:left="860"/>
        <w:spacing w:after="0"/>
        <w:rPr>
          <w:sz w:val="20"/>
          <w:szCs w:val="20"/>
          <w:color w:val="auto"/>
        </w:rPr>
      </w:pPr>
      <w:r>
        <w:rPr>
          <w:rFonts w:ascii="Courier New" w:cs="Courier New" w:eastAsia="Courier New" w:hAnsi="Courier New"/>
          <w:sz w:val="18"/>
          <w:szCs w:val="18"/>
          <w:color w:val="auto"/>
        </w:rPr>
        <w:t>see Item 7,</w:t>
      </w:r>
    </w:p>
    <w:p>
      <w:pPr>
        <w:spacing w:after="0" w:line="237" w:lineRule="auto"/>
        <w:rPr>
          <w:sz w:val="20"/>
          <w:szCs w:val="20"/>
          <w:color w:val="auto"/>
        </w:rPr>
      </w:pPr>
      <w:r>
        <w:rPr>
          <w:rFonts w:ascii="Courier New" w:cs="Courier New" w:eastAsia="Courier New" w:hAnsi="Courier New"/>
          <w:sz w:val="18"/>
          <w:szCs w:val="18"/>
          <w:color w:val="auto"/>
        </w:rPr>
        <w:t>(h) [ ] Group, in accordance with Rule 13d-1(b)(1)(ii)(H).</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6939" w:hanging="312"/>
        <w:spacing w:after="0" w:line="536" w:lineRule="auto"/>
        <w:tabs>
          <w:tab w:leader="none" w:pos="53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839" w:hanging="525"/>
        <w:spacing w:after="0" w:line="470"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1060" w:right="4619" w:hanging="631"/>
        <w:spacing w:after="0" w:line="470"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1" w:lineRule="exact"/>
        <w:rPr>
          <w:rFonts w:ascii="Courier New" w:cs="Courier New" w:eastAsia="Courier New" w:hAnsi="Courier New"/>
          <w:sz w:val="18"/>
          <w:szCs w:val="18"/>
          <w:color w:val="auto"/>
        </w:rPr>
      </w:pPr>
    </w:p>
    <w:p>
      <w:pPr>
        <w:ind w:left="1060" w:right="3159" w:hanging="736"/>
        <w:spacing w:after="0" w:line="470"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pacing w:after="0" w:line="11" w:lineRule="exact"/>
        <w:rPr>
          <w:rFonts w:ascii="Courier New" w:cs="Courier New" w:eastAsia="Courier New" w:hAnsi="Courier New"/>
          <w:sz w:val="18"/>
          <w:szCs w:val="18"/>
          <w:color w:val="auto"/>
        </w:rPr>
      </w:pPr>
    </w:p>
    <w:p>
      <w:pPr>
        <w:ind w:left="1060" w:right="3259" w:hanging="631"/>
        <w:spacing w:after="0" w:line="470"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 direct the disposition of: See Item 8 of Cover Pages</w:t>
      </w:r>
    </w:p>
    <w:p>
      <w:pPr>
        <w:spacing w:after="0" w:line="2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8</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Merrill Lynch &amp; Co., Inc. ("ML&amp;Co.") is a parent holding company.</w:t>
      </w:r>
    </w:p>
    <w:p>
      <w:pPr>
        <w:spacing w:after="0" w:line="4" w:lineRule="exact"/>
        <w:rPr>
          <w:sz w:val="20"/>
          <w:szCs w:val="20"/>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The Merrill Lynch Asset Management Group ("AMG") is an operating division of ML&amp;Co. consisting of ML&amp;Co.'s indirectly owned asset management subsidiaries. Certain of these subsidiaries hold certain shares of the security which is the subject of this report. (See Item 7).</w:t>
      </w:r>
    </w:p>
    <w:p>
      <w:pPr>
        <w:spacing w:after="0" w:line="200" w:lineRule="exact"/>
        <w:rPr>
          <w:sz w:val="20"/>
          <w:szCs w:val="20"/>
          <w:color w:val="auto"/>
        </w:rPr>
      </w:pP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Acquired the Security Being Reported on by the Parent Holding Company.</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Merrill Lynch &amp; Co., Inc. ("ML&amp;Co.") is a parent holding company.</w:t>
      </w:r>
    </w:p>
    <w:p>
      <w:pPr>
        <w:spacing w:after="0" w:line="4" w:lineRule="exact"/>
        <w:rPr>
          <w:sz w:val="20"/>
          <w:szCs w:val="20"/>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The Merrill Lynch Asset Management Group ("AMG") is an operating division of ML&amp;Co. consisting of ML&amp;Co.'s indirectly-owned asset management subsidiaries. The following asset management subsidiaries hold certain shares of the common stock, which is the subject of this 13G filing: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8</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25, 1999, included as Exhibit B to Schedule 13G filed with the Securities and Exchange Commission by Merrill Lynch &amp; Co, Inc. (on behalf of Merrill Lynch Asset Management Group ("AMG")) on January 28, 1999 with respect to Creative Technology, Limited.</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22, 1999, included as an exhibit to Schedule 13G filed with the Securities and Exchange Commission by Merrill Lynch &amp; Co, Inc. (on behalf of Merrill Lynch Asset Management Group ("AMG")) on January 29, 1999 with respect to Transmontaigne Oil Company.</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8</w:t>
      </w:r>
    </w:p>
    <w:p>
      <w:pPr>
        <w:spacing w:after="0" w:line="238" w:lineRule="auto"/>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Merrill Lynch Asset Management Group of ML&amp;Co. ("AMG") is comprised of the following legal entities: Merrill Lynch Asset Management, L.P. doing business as Merrill Lynch Asset Management ("MLAM") including the Merrill Lynch Capital Management Group and Hotchkis and Wiley divisions thereof; Fund Asset Management, L.P., doing business as Fund Asset Management ("FAM"); Merrill Lynch Asset Management U.K. Limited ("MLAM UK"); Merrill Lynch (Suisse) Investment Management Limited ("MLS"); Mercury Asset Management International Limited ("MAMI"); Mercury Asset Management, Ltd.; Mercury Asset Management, Ltd. in Australia; Mercury Asset Management, Ltd. in the Isle of Man; Mercury Asset Management Channel Islands, Ltd.; Mercury Asset Management Pte, Ltd.; Mercury Asset Management Asia Limited; Mercury Asset Management KAG; Munich London Investment Management, Ltd.; Merrill Lynch Asset Management (Hong Kong) Limited; Merrill Lynch Mercury Asset Management Japan Limited; Atlas Asset Management, Inc.; Merrill Lynch Investment Management Canada, Inc.; Merrill Lynch Asset Management (India) Limited; PT Merrill Lynch Indonesia; Merrill Lynch Phatra Securities Co., Ltd.; Merrill Lynch Global Asset Management, Limited; Mercury Asset Management Channel Islands, Limited; Mercury Asset Management Inter-national Channel Islands Limited; Grosvenor Venture Managers, Limited; Mercury Fund Managers, Limited; and N.B.K. Investment Management, Limited. Each of MLAM, FAM, MLAM UK, MLS, and MAMI is an investment adviser registered under Section 203 of the Investment Advisers Act of 1940, which acts as investment adviser to various investment companies registered under Section 8 of the Investment Company Act of 1940. Each other firm constituting part of AMG is</w:t>
      </w:r>
    </w:p>
    <w:p>
      <w:pPr>
        <w:spacing w:after="0" w:line="19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 investment adviser operating under the laws of a jurisdiction other than the United States. The investment advisers that comprise AMG exercise voting and investment powers over portfolio securities independently from other direct and indirect subsidiaries of ML&amp;Co.</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decimal"/>
      <w:start w:val="1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6"/>
    </w:lvl>
  </w:abstractNum>
  <w:abstractNum w:abstractNumId="14">
    <w:nsid w:val="25E45D32"/>
    <w:multiLevelType w:val="hybridMultilevel"/>
    <w:lvl w:ilvl="0">
      <w:lvlJc w:val="left"/>
      <w:lvlText w:val="%1."/>
      <w:numFmt w:val="decimal"/>
      <w:start w:val="12"/>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2020-02-22T11:02:28Z</dcterms:created>
  <dcterms:modified xsi:type="dcterms:W3CDTF">2020-02-22T11:02:28Z</dcterms:modified>
</cp:coreProperties>
</file>