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March 4, 2025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By EDGAR Submission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Office of Real Estate and Construction</w:t>
      </w:r>
    </w:p>
    <w:p>
      <w:pPr>
        <w:spacing w:after="0" w:line="235" w:lineRule="auto"/>
        <w:rPr>
          <w:sz w:val="20"/>
          <w:szCs w:val="20"/>
          <w:color w:val="auto"/>
        </w:rPr>
      </w:pPr>
      <w:r>
        <w:rPr>
          <w:rFonts w:ascii="Arial" w:cs="Arial" w:eastAsia="Arial" w:hAnsi="Arial"/>
          <w:sz w:val="18"/>
          <w:szCs w:val="18"/>
          <w:color w:val="auto"/>
        </w:rPr>
        <w:t>Securities and Exchange Commission</w:t>
      </w:r>
    </w:p>
    <w:p>
      <w:pPr>
        <w:spacing w:after="0" w:line="235" w:lineRule="auto"/>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Attention: Babette Cooper and Jennifer Monick</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Re: Federal Realty Investment Trust/Federal Realty OP LP (the “Company”)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Form 10-K for the Fiscal Year Ended December 31, 2024</w:t>
      </w:r>
    </w:p>
    <w:p>
      <w:pPr>
        <w:spacing w:after="0" w:line="234" w:lineRule="auto"/>
        <w:rPr>
          <w:sz w:val="20"/>
          <w:szCs w:val="20"/>
          <w:color w:val="auto"/>
        </w:rPr>
      </w:pPr>
      <w:r>
        <w:rPr>
          <w:rFonts w:ascii="Arial" w:cs="Arial" w:eastAsia="Arial" w:hAnsi="Arial"/>
          <w:sz w:val="18"/>
          <w:szCs w:val="18"/>
          <w:color w:val="auto"/>
        </w:rPr>
        <w:t>Filed on February 13, 2025</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File No. 001-07533 / File No. 333-262016-01</w:t>
      </w:r>
    </w:p>
    <w:p>
      <w:pPr>
        <w:spacing w:after="0" w:line="221"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This letter responds to your letter dated February 28, 2025, providing comments relating to the Company's Form 10-K for the fiscal year ended December 31, 2024. In order to facilitate the Staff's review of this letter, we have restated your comment below and have included the Company's response underneath the comment.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2024</w:t>
      </w:r>
    </w:p>
    <w:p>
      <w:pPr>
        <w:spacing w:after="0" w:line="234" w:lineRule="auto"/>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14 - Earnings Per Share and Unit, page F-37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 We note your disclosure on page F-22 that you calculate the effect of the</w:t>
      </w:r>
    </w:p>
    <w:p>
      <w:pPr>
        <w:spacing w:after="0" w:line="14" w:lineRule="exact"/>
        <w:rPr>
          <w:sz w:val="24"/>
          <w:szCs w:val="24"/>
          <w:color w:val="auto"/>
        </w:rPr>
      </w:pPr>
    </w:p>
    <w:p>
      <w:pPr>
        <w:ind w:right="3720"/>
        <w:spacing w:after="0" w:line="241" w:lineRule="auto"/>
        <w:rPr>
          <w:sz w:val="20"/>
          <w:szCs w:val="20"/>
          <w:color w:val="auto"/>
        </w:rPr>
      </w:pPr>
      <w:r>
        <w:rPr>
          <w:rFonts w:ascii="Arial" w:cs="Arial" w:eastAsia="Arial" w:hAnsi="Arial"/>
          <w:sz w:val="18"/>
          <w:szCs w:val="18"/>
          <w:b w:val="1"/>
          <w:bCs w:val="1"/>
          <w:color w:val="auto"/>
        </w:rPr>
        <w:t>3.25% Exchangeable Senior Notes due 2029 (the "Notes") on your dilutive earnings per common share and per common unit using the if-converted method. Please clarify for us if the Notes were dilutive or anti-dilutive for 2024. In addition, with respect to the Notes, please tell us how your earnings per share and unit disclosure is consistent with ASC 260-10-50-1.</w:t>
      </w:r>
    </w:p>
    <w:p>
      <w:pPr>
        <w:spacing w:after="0" w:line="198" w:lineRule="exact"/>
        <w:rPr>
          <w:sz w:val="24"/>
          <w:szCs w:val="24"/>
          <w:color w:val="auto"/>
        </w:rPr>
      </w:pPr>
    </w:p>
    <w:p>
      <w:pPr>
        <w:ind w:right="20"/>
        <w:spacing w:after="0" w:line="271" w:lineRule="auto"/>
        <w:rPr>
          <w:sz w:val="20"/>
          <w:szCs w:val="20"/>
          <w:color w:val="auto"/>
        </w:rPr>
      </w:pPr>
      <w:r>
        <w:rPr>
          <w:rFonts w:ascii="Arial" w:cs="Arial" w:eastAsia="Arial" w:hAnsi="Arial"/>
          <w:sz w:val="18"/>
          <w:szCs w:val="18"/>
          <w:color w:val="auto"/>
        </w:rPr>
        <w:t>Company Response: The Notes were anti-dilutive for 2024. Disclosure of the key terms and conditions of the Notes are included in Note 5 – Debt.</w:t>
      </w:r>
    </w:p>
    <w:p>
      <w:pPr>
        <w:spacing w:after="0" w:line="181" w:lineRule="exact"/>
        <w:rPr>
          <w:sz w:val="24"/>
          <w:szCs w:val="24"/>
          <w:color w:val="auto"/>
        </w:rPr>
      </w:pPr>
    </w:p>
    <w:p>
      <w:pPr>
        <w:ind w:right="60"/>
        <w:spacing w:after="0" w:line="271" w:lineRule="auto"/>
        <w:rPr>
          <w:sz w:val="20"/>
          <w:szCs w:val="20"/>
          <w:color w:val="auto"/>
        </w:rPr>
      </w:pPr>
      <w:r>
        <w:rPr>
          <w:rFonts w:ascii="Arial" w:cs="Arial" w:eastAsia="Arial" w:hAnsi="Arial"/>
          <w:sz w:val="18"/>
          <w:szCs w:val="18"/>
          <w:color w:val="auto"/>
        </w:rPr>
        <w:t>In future filings, we will include a disclosure in our Earnings Per Share and Unit footnote clarifying that potentially issuable shares relating to the Notes were excluded from diluted EPS and EPU calculations for all periods in 2024, because their impact was anti-dilutive.</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301-998-8232.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 Daniel Guglielmone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Daniel Guglielmone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rPr>
          <w:sz w:val="20"/>
          <w:szCs w:val="20"/>
          <w:color w:val="auto"/>
        </w:rPr>
      </w:pPr>
      <w:r>
        <w:rPr>
          <w:rFonts w:ascii="Arial" w:cs="Arial" w:eastAsia="Arial" w:hAnsi="Arial"/>
          <w:sz w:val="18"/>
          <w:szCs w:val="18"/>
          <w:color w:val="auto"/>
        </w:rPr>
        <w:t>Federal Realty Investment Trust and Federal Realty OP LP</w:t>
      </w:r>
    </w:p>
    <w:p>
      <w:pPr>
        <w:spacing w:after="0" w:line="221" w:lineRule="exact"/>
        <w:rPr>
          <w:sz w:val="24"/>
          <w:szCs w:val="24"/>
          <w:color w:val="auto"/>
        </w:rPr>
      </w:pPr>
    </w:p>
    <w:p>
      <w:pPr>
        <w:ind w:left="260" w:right="7020" w:hanging="252"/>
        <w:spacing w:after="0" w:line="271" w:lineRule="auto"/>
        <w:tabs>
          <w:tab w:leader="none" w:pos="297" w:val="left"/>
        </w:tabs>
        <w:numPr>
          <w:ilvl w:val="0"/>
          <w:numId w:val="1"/>
        </w:numPr>
        <w:rPr>
          <w:rFonts w:ascii="Arial" w:cs="Arial" w:eastAsia="Arial" w:hAnsi="Arial"/>
          <w:sz w:val="18"/>
          <w:szCs w:val="18"/>
          <w:color w:val="auto"/>
        </w:rPr>
      </w:pPr>
      <w:r>
        <w:rPr>
          <w:rFonts w:ascii="Arial" w:cs="Arial" w:eastAsia="Arial" w:hAnsi="Arial"/>
          <w:sz w:val="18"/>
          <w:szCs w:val="18"/>
          <w:color w:val="auto"/>
        </w:rPr>
        <w:t>Justin Bintrim, Pillsbury Winthrop Shaw Pittman, Julie Lamey, Grant Thornton LLP</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2025-04-03T23:09:35Z</dcterms:created>
  <dcterms:modified xsi:type="dcterms:W3CDTF">2025-04-03T23:09:35Z</dcterms:modified>
</cp:coreProperties>
</file>