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November 28,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333-135159)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Underwriting Agreement, dated November 28, 2006, by and among the Registrant and Wachovia Capital Markets, LLC, Citigroup Global Markets</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Inc., Bear, Stearns &amp; Co. Inc., Banc of America Securities LLC, Commerzbank Capital Markets Corp., J.P. Morgan Securities Inc., Piper Jaffray</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&amp; Co., PNC Capital Markets LLC and SunTrust Capital Markets, Inc.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Pricing Agreement, dated November 28, 2006, by and between the Registrant and certain underwriters named therein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Form of 5.40% Note due 2013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5.40% Notes due 2013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30, 2006</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ind w:left="10400"/>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28,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Wachovia Capital Markets,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Charlotte, NC 28288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ectPr>
          <w:pgSz w:w="11900" w:h="16838" w:orient="portrait"/>
          <w:cols w:equalWidth="0" w:num="1">
            <w:col w:w="11420"/>
          </w:cols>
          <w:pgMar w:left="240" w:top="125" w:right="239" w:bottom="1440" w:gutter="0" w:footer="0" w:header="0"/>
        </w:sectPr>
      </w:pPr>
    </w:p>
    <w:bookmarkStart w:id="4" w:name="page5"/>
    <w:bookmarkEnd w:id="4"/>
    <w:p>
      <w:pPr>
        <w:ind w:left="-20" w:firstLine="464"/>
        <w:spacing w:after="0" w:line="306" w:lineRule="auto"/>
        <w:tabs>
          <w:tab w:leader="none" w:pos="612" w:val="left"/>
        </w:tabs>
        <w:numPr>
          <w:ilvl w:val="0"/>
          <w:numId w:val="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12" w:lineRule="exact"/>
        <w:rPr>
          <w:rFonts w:ascii="Arial" w:cs="Arial" w:eastAsia="Arial" w:hAnsi="Arial"/>
          <w:sz w:val="15"/>
          <w:szCs w:val="15"/>
          <w:color w:val="auto"/>
        </w:rPr>
      </w:pPr>
    </w:p>
    <w:p>
      <w:pPr>
        <w:ind w:left="-20" w:right="40" w:firstLine="464"/>
        <w:spacing w:after="0" w:line="268" w:lineRule="auto"/>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ind w:left="440" w:right="40" w:firstLine="443"/>
        <w:spacing w:after="0" w:line="289" w:lineRule="auto"/>
        <w:tabs>
          <w:tab w:leader="none" w:pos="111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333-135159),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5" w:name="page6"/>
    <w:bookmarkEnd w:id="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120" w:firstLine="438"/>
        <w:spacing w:after="0" w:line="290" w:lineRule="auto"/>
        <w:rPr>
          <w:sz w:val="20"/>
          <w:szCs w:val="20"/>
          <w:color w:val="auto"/>
        </w:rPr>
      </w:pPr>
      <w:r>
        <w:rPr>
          <w:rFonts w:ascii="Arial" w:cs="Arial" w:eastAsia="Arial" w:hAnsi="Arial"/>
          <w:sz w:val="16"/>
          <w:szCs w:val="16"/>
          <w:color w:val="auto"/>
        </w:rPr>
        <w:t>(b)(A)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62" w:lineRule="exact"/>
        <w:rPr>
          <w:sz w:val="20"/>
          <w:szCs w:val="20"/>
          <w:color w:val="auto"/>
        </w:rPr>
      </w:pPr>
    </w:p>
    <w:p>
      <w:pPr>
        <w:ind w:right="80" w:firstLine="443"/>
        <w:spacing w:after="0" w:line="298" w:lineRule="auto"/>
        <w:tabs>
          <w:tab w:leader="none" w:pos="67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June 20, 2006,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right="160" w:firstLine="4"/>
        <w:spacing w:after="0" w:line="323" w:lineRule="auto"/>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ind w:right="160" w:firstLine="443"/>
        <w:spacing w:after="0" w:line="294" w:lineRule="auto"/>
        <w:tabs>
          <w:tab w:leader="none" w:pos="726" w:val="left"/>
        </w:tabs>
        <w:numPr>
          <w:ilvl w:val="1"/>
          <w:numId w:val="4"/>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and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4"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3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Securities specified therein.</w:t>
      </w:r>
    </w:p>
    <w:p>
      <w:pPr>
        <w:spacing w:after="0" w:line="113"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ind w:right="2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8" w:name="page9"/>
    <w:bookmarkEnd w:id="8"/>
    <w:p>
      <w:pPr>
        <w:jc w:val="both"/>
        <w:ind w:right="160" w:firstLine="443"/>
        <w:spacing w:after="0" w:line="306"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25" w:lineRule="exact"/>
        <w:rPr>
          <w:rFonts w:ascii="Arial" w:cs="Arial" w:eastAsia="Arial" w:hAnsi="Arial"/>
          <w:sz w:val="16"/>
          <w:szCs w:val="16"/>
          <w:color w:val="auto"/>
        </w:rPr>
      </w:pPr>
    </w:p>
    <w:p>
      <w:pPr>
        <w:ind w:right="100" w:firstLine="443"/>
        <w:spacing w:after="0" w:line="314" w:lineRule="auto"/>
        <w:tabs>
          <w:tab w:leader="none" w:pos="677" w:val="left"/>
        </w:tabs>
        <w:numPr>
          <w:ilvl w:val="0"/>
          <w:numId w:val="5"/>
        </w:numPr>
        <w:rPr>
          <w:rFonts w:ascii="Arial" w:cs="Arial" w:eastAsia="Arial" w:hAnsi="Arial"/>
          <w:sz w:val="15"/>
          <w:szCs w:val="15"/>
          <w:color w:val="auto"/>
        </w:rPr>
      </w:pPr>
      <w:r>
        <w:rPr>
          <w:rFonts w:ascii="Arial" w:cs="Arial" w:eastAsia="Arial" w:hAnsi="Arial"/>
          <w:sz w:val="15"/>
          <w:szCs w:val="15"/>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23" w:lineRule="exact"/>
        <w:rPr>
          <w:rFonts w:ascii="Arial" w:cs="Arial" w:eastAsia="Arial" w:hAnsi="Arial"/>
          <w:sz w:val="15"/>
          <w:szCs w:val="15"/>
          <w:color w:val="auto"/>
        </w:rPr>
      </w:pPr>
    </w:p>
    <w:p>
      <w:pPr>
        <w:ind w:firstLine="443"/>
        <w:spacing w:after="0" w:line="286" w:lineRule="auto"/>
        <w:tabs>
          <w:tab w:leader="none" w:pos="65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D, which have been duly organized and are validly existing as corporations, partnerships, limited liability companies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D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ind w:right="40" w:firstLine="443"/>
        <w:spacing w:after="0" w:line="285"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of beneficial interest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D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47" w:lineRule="exact"/>
        <w:rPr>
          <w:rFonts w:ascii="Arial" w:cs="Arial" w:eastAsia="Arial" w:hAnsi="Arial"/>
          <w:sz w:val="16"/>
          <w:szCs w:val="16"/>
          <w:color w:val="auto"/>
        </w:rPr>
      </w:pPr>
    </w:p>
    <w:p>
      <w:pPr>
        <w:ind w:right="20" w:firstLine="443"/>
        <w:spacing w:after="0" w:line="298"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Company’s consolidated balance sheet as of September 30, 2006 set forth in the Company’s Quarterly Report on Form 10-Q for the quarterly period ended September 30, 2006,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31" w:lineRule="exact"/>
        <w:rPr>
          <w:rFonts w:ascii="Arial" w:cs="Arial" w:eastAsia="Arial" w:hAnsi="Arial"/>
          <w:sz w:val="16"/>
          <w:szCs w:val="16"/>
          <w:color w:val="auto"/>
        </w:rPr>
      </w:pPr>
    </w:p>
    <w:p>
      <w:pPr>
        <w:ind w:firstLine="443"/>
        <w:spacing w:after="0" w:line="290"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Securities have been duly and validly authorized, and, when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700" w:top="280" w:right="319" w:bottom="1440" w:gutter="0" w:footer="0" w:header="0"/>
        </w:sectPr>
      </w:pPr>
    </w:p>
    <w:bookmarkStart w:id="10" w:name="page11"/>
    <w:bookmarkEnd w:id="10"/>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Designated Securities will conform, to the descriptions thereof contained in the Registration Statement, the General Disclosure Package and the Prospectus as amended or supplemented with respect to such Designated Securities.</w:t>
      </w:r>
    </w:p>
    <w:p>
      <w:pPr>
        <w:spacing w:after="0" w:line="51" w:lineRule="exact"/>
        <w:rPr>
          <w:sz w:val="20"/>
          <w:szCs w:val="20"/>
          <w:color w:val="auto"/>
        </w:rPr>
      </w:pPr>
    </w:p>
    <w:p>
      <w:pPr>
        <w:ind w:firstLine="443"/>
        <w:spacing w:after="0" w:line="286" w:lineRule="auto"/>
        <w:tabs>
          <w:tab w:leader="none" w:pos="64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39" w:lineRule="exact"/>
        <w:rPr>
          <w:rFonts w:ascii="Arial" w:cs="Arial" w:eastAsia="Arial" w:hAnsi="Arial"/>
          <w:sz w:val="16"/>
          <w:szCs w:val="16"/>
          <w:color w:val="auto"/>
        </w:rPr>
      </w:pPr>
    </w:p>
    <w:p>
      <w:pPr>
        <w:ind w:firstLine="443"/>
        <w:spacing w:after="0" w:line="294"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55"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1" w:name="page12"/>
    <w:bookmarkEnd w:id="11"/>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4" w:lineRule="exact"/>
        <w:rPr>
          <w:sz w:val="20"/>
          <w:szCs w:val="20"/>
          <w:color w:val="auto"/>
        </w:rPr>
      </w:pPr>
    </w:p>
    <w:p>
      <w:pPr>
        <w:ind w:right="80" w:firstLine="443"/>
        <w:spacing w:after="0" w:line="256" w:lineRule="auto"/>
        <w:tabs>
          <w:tab w:leader="none" w:pos="7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firstLine="443"/>
        <w:spacing w:after="0" w:line="259"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60" w:firstLine="443"/>
        <w:spacing w:after="0" w:line="255"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2005 and the consolidated statements of operations, consolidated statements of common shareholders’ equity and consolidated statements of cash flows for the year ended December 31, 2005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right="520" w:firstLine="443"/>
        <w:spacing w:after="0" w:line="332"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jc w:val="both"/>
        <w:ind w:right="160" w:firstLine="443"/>
        <w:spacing w:after="0" w:line="256"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2" w:name="page13"/>
    <w:bookmarkEnd w:id="12"/>
    <w:p>
      <w:pPr>
        <w:ind w:left="44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62" w:lineRule="exact"/>
        <w:rPr>
          <w:sz w:val="20"/>
          <w:szCs w:val="20"/>
          <w:color w:val="auto"/>
        </w:rPr>
      </w:pPr>
    </w:p>
    <w:p>
      <w:pPr>
        <w:ind w:left="440" w:firstLine="443"/>
        <w:spacing w:after="0" w:line="323" w:lineRule="auto"/>
        <w:tabs>
          <w:tab w:leader="none" w:pos="1107" w:val="left"/>
        </w:tabs>
        <w:numPr>
          <w:ilvl w:val="1"/>
          <w:numId w:val="9"/>
        </w:numPr>
        <w:rPr>
          <w:rFonts w:ascii="Arial" w:cs="Arial" w:eastAsia="Arial" w:hAnsi="Arial"/>
          <w:sz w:val="15"/>
          <w:szCs w:val="15"/>
          <w:color w:val="auto"/>
        </w:rPr>
      </w:pPr>
      <w:r>
        <w:rPr>
          <w:rFonts w:ascii="Arial" w:cs="Arial" w:eastAsia="Arial" w:hAnsi="Arial"/>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97" w:lineRule="exact"/>
        <w:rPr>
          <w:rFonts w:ascii="Arial" w:cs="Arial" w:eastAsia="Arial" w:hAnsi="Arial"/>
          <w:sz w:val="15"/>
          <w:szCs w:val="15"/>
          <w:color w:val="auto"/>
        </w:rPr>
      </w:pPr>
    </w:p>
    <w:p>
      <w:pPr>
        <w:ind w:left="-20" w:right="180" w:firstLine="464"/>
        <w:spacing w:after="0" w:line="259"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20" w:right="20" w:firstLine="464"/>
        <w:spacing w:after="0" w:line="290"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ind w:left="440" w:firstLine="443"/>
        <w:spacing w:after="0" w:line="256" w:lineRule="auto"/>
        <w:tabs>
          <w:tab w:leader="none" w:pos="11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13" w:name="page14"/>
    <w:bookmarkEnd w:id="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47" w:lineRule="exact"/>
        <w:rPr>
          <w:sz w:val="20"/>
          <w:szCs w:val="20"/>
          <w:color w:val="auto"/>
        </w:rPr>
      </w:pPr>
    </w:p>
    <w:p>
      <w:pPr>
        <w:ind w:right="20" w:firstLine="443"/>
        <w:spacing w:after="0" w:line="286"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3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4" w:name="page15"/>
    <w:bookmarkEnd w:id="14"/>
    <w:p>
      <w:pPr>
        <w:ind w:right="100" w:firstLine="443"/>
        <w:spacing w:after="0" w:line="287" w:lineRule="auto"/>
        <w:tabs>
          <w:tab w:leader="none" w:pos="677"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41" w:lineRule="exact"/>
        <w:rPr>
          <w:rFonts w:ascii="Arial" w:cs="Arial" w:eastAsia="Arial" w:hAnsi="Arial"/>
          <w:sz w:val="16"/>
          <w:szCs w:val="16"/>
          <w:color w:val="auto"/>
        </w:rPr>
      </w:pPr>
    </w:p>
    <w:p>
      <w:pPr>
        <w:ind w:firstLine="443"/>
        <w:spacing w:after="0" w:line="255"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60" w:firstLine="443"/>
        <w:spacing w:after="0" w:line="290" w:lineRule="auto"/>
        <w:tabs>
          <w:tab w:leader="none" w:pos="6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left="660" w:hanging="217"/>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5" w:name="page16"/>
    <w:bookmarkEnd w:id="1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39" w:lineRule="exact"/>
        <w:rPr>
          <w:sz w:val="20"/>
          <w:szCs w:val="20"/>
          <w:color w:val="auto"/>
        </w:rPr>
      </w:pPr>
    </w:p>
    <w:p>
      <w:pPr>
        <w:ind w:firstLine="443"/>
        <w:spacing w:after="0" w:line="285"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6" w:name="page17"/>
    <w:bookmarkEnd w:id="1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32" w:lineRule="exact"/>
        <w:rPr>
          <w:sz w:val="20"/>
          <w:szCs w:val="20"/>
          <w:color w:val="auto"/>
        </w:rPr>
      </w:pPr>
    </w:p>
    <w:p>
      <w:pPr>
        <w:ind w:right="140" w:firstLine="443"/>
        <w:spacing w:after="0" w:line="259" w:lineRule="auto"/>
        <w:tabs>
          <w:tab w:leader="none" w:pos="6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right="280" w:firstLine="443"/>
        <w:spacing w:after="0" w:line="286" w:lineRule="auto"/>
        <w:tabs>
          <w:tab w:leader="none" w:pos="64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20" w:firstLine="4"/>
        <w:spacing w:after="0" w:line="302"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28" w:lineRule="exact"/>
        <w:rPr>
          <w:rFonts w:ascii="Arial" w:cs="Arial" w:eastAsia="Arial" w:hAnsi="Arial"/>
          <w:sz w:val="16"/>
          <w:szCs w:val="16"/>
          <w:color w:val="auto"/>
        </w:rPr>
      </w:pPr>
    </w:p>
    <w:p>
      <w:pPr>
        <w:ind w:right="100" w:firstLine="443"/>
        <w:spacing w:after="0" w:line="268" w:lineRule="auto"/>
        <w:tabs>
          <w:tab w:leader="none" w:pos="6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right="200" w:firstLine="443"/>
        <w:spacing w:after="0" w:line="268" w:lineRule="auto"/>
        <w:tabs>
          <w:tab w:leader="none" w:pos="6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to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firstLine="443"/>
        <w:spacing w:after="0" w:line="310" w:lineRule="auto"/>
        <w:tabs>
          <w:tab w:leader="none" w:pos="648"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9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700" w:top="280" w:right="319" w:bottom="1440" w:gutter="0" w:footer="0" w:header="0"/>
        </w:sectPr>
      </w:pPr>
    </w:p>
    <w:bookmarkStart w:id="17" w:name="page18"/>
    <w:bookmarkEnd w:id="17"/>
    <w:p>
      <w:pPr>
        <w:ind w:left="-20" w:firstLine="464"/>
        <w:spacing w:after="0" w:line="285"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23" w:lineRule="exact"/>
        <w:rPr>
          <w:rFonts w:ascii="Arial" w:cs="Arial" w:eastAsia="Arial" w:hAnsi="Arial"/>
          <w:sz w:val="16"/>
          <w:szCs w:val="16"/>
          <w:color w:val="auto"/>
        </w:rPr>
      </w:pPr>
    </w:p>
    <w:p>
      <w:pPr>
        <w:ind w:left="-20" w:right="40" w:firstLine="464"/>
        <w:spacing w:after="0" w:line="255" w:lineRule="auto"/>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ind w:left="440" w:right="120" w:firstLine="443"/>
        <w:spacing w:after="0" w:line="259" w:lineRule="auto"/>
        <w:tabs>
          <w:tab w:leader="none" w:pos="11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80" w:right="239" w:bottom="1440" w:gutter="0" w:footer="0" w:header="0"/>
        </w:sectPr>
      </w:pPr>
    </w:p>
    <w:bookmarkStart w:id="18" w:name="page19"/>
    <w:bookmarkEnd w:id="1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456(b)(i)(ii) either in a post-effective amendment to the Registration Statement or on the cover page of a prospectus filed pursuant to Rule 424(b);</w:t>
      </w:r>
    </w:p>
    <w:p>
      <w:pPr>
        <w:spacing w:after="0" w:line="39" w:lineRule="exact"/>
        <w:rPr>
          <w:sz w:val="20"/>
          <w:szCs w:val="20"/>
          <w:color w:val="auto"/>
        </w:rPr>
      </w:pPr>
    </w:p>
    <w:p>
      <w:pPr>
        <w:ind w:right="40" w:firstLine="443"/>
        <w:spacing w:after="0" w:line="294"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34" w:lineRule="exact"/>
        <w:rPr>
          <w:rFonts w:ascii="Arial" w:cs="Arial" w:eastAsia="Arial" w:hAnsi="Arial"/>
          <w:sz w:val="16"/>
          <w:szCs w:val="16"/>
          <w:color w:val="auto"/>
        </w:rPr>
      </w:pPr>
    </w:p>
    <w:p>
      <w:pPr>
        <w:ind w:firstLine="443"/>
        <w:spacing w:after="0" w:line="332"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to the effect set forth in Exhibit C hereto;</w:t>
      </w:r>
    </w:p>
    <w:p>
      <w:pPr>
        <w:spacing w:after="0" w:line="4" w:lineRule="exact"/>
        <w:rPr>
          <w:rFonts w:ascii="Arial" w:cs="Arial" w:eastAsia="Arial" w:hAnsi="Arial"/>
          <w:sz w:val="16"/>
          <w:szCs w:val="16"/>
          <w:color w:val="auto"/>
        </w:rPr>
      </w:pPr>
    </w:p>
    <w:p>
      <w:pPr>
        <w:ind w:right="20" w:firstLine="443"/>
        <w:spacing w:after="0" w:line="287"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Pillsbury Winthrop Shaw Pittman LLP, Tax Counsel to the Company, dated the Time of Delivery for such Designated Securities, in form and substance satisfactory to the Representatives, to the effect that, subject to customary representations, qualifications and exclusions, (1) the Company qualified as a real estate investment trust (“REIT”) under the Code for its taxable years ending through December 31, 2005,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captions “Certain Federal Income Tax Considerations” and “Federal Income Tax Consequences,” and (y) the Company’s Annual Report on Form 10-K for the year ended December 31, 2005 under the captions “Risk Factors– 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9" w:name="page20"/>
    <w:bookmarkEnd w:id="19"/>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“Certain Federal Income Tax Considerations” and “Federal Income Tax Consequences” are hereby confirmed;</w:t>
      </w:r>
    </w:p>
    <w:p>
      <w:pPr>
        <w:spacing w:after="0" w:line="59" w:lineRule="exact"/>
        <w:rPr>
          <w:sz w:val="20"/>
          <w:szCs w:val="20"/>
          <w:color w:val="auto"/>
        </w:rPr>
      </w:pPr>
    </w:p>
    <w:p>
      <w:pPr>
        <w:ind w:right="80" w:firstLine="443"/>
        <w:spacing w:after="0" w:line="259" w:lineRule="auto"/>
        <w:tabs>
          <w:tab w:leader="none" w:pos="6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59" w:lineRule="exact"/>
        <w:rPr>
          <w:rFonts w:ascii="Arial" w:cs="Arial" w:eastAsia="Arial" w:hAnsi="Arial"/>
          <w:sz w:val="18"/>
          <w:szCs w:val="18"/>
          <w:color w:val="auto"/>
        </w:rPr>
      </w:pPr>
    </w:p>
    <w:p>
      <w:pPr>
        <w:ind w:right="100" w:firstLine="443"/>
        <w:spacing w:after="0" w:line="256" w:lineRule="auto"/>
        <w:tabs>
          <w:tab w:leader="none" w:pos="6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Baa2 by Moody’s Investor’s Service Inc. and BBB+ by Standard &amp; Poor’s Ratings Group, a division of McGraw-Hill,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62"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(g)(i)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D hereto which may require or permit (in lieu of a payment in cash) the issuance of Common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20" w:name="page21"/>
    <w:bookmarkEnd w:id="20"/>
    <w:p>
      <w:pPr>
        <w:jc w:val="both"/>
        <w:ind w:left="460" w:right="80" w:firstLine="443"/>
        <w:spacing w:after="0" w:line="298" w:lineRule="auto"/>
        <w:tabs>
          <w:tab w:leader="none" w:pos="1147"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left="460" w:right="80" w:firstLine="443"/>
        <w:spacing w:after="0" w:line="290" w:lineRule="auto"/>
        <w:tabs>
          <w:tab w:leader="none" w:pos="11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37" w:lineRule="exact"/>
        <w:rPr>
          <w:rFonts w:ascii="Arial" w:cs="Arial" w:eastAsia="Arial" w:hAnsi="Arial"/>
          <w:sz w:val="16"/>
          <w:szCs w:val="16"/>
          <w:color w:val="auto"/>
        </w:rPr>
      </w:pPr>
    </w:p>
    <w:p>
      <w:pPr>
        <w:ind w:left="460" w:right="560" w:firstLine="443"/>
        <w:spacing w:after="0" w:line="268" w:lineRule="auto"/>
        <w:tabs>
          <w:tab w:leader="none" w:pos="11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and as to such other matters as the Representatives may reasonably request.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8.(a) The Company will indemnify and hold harmless each Underwriter, severally and not jointly,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20" w:lineRule="exact"/>
        <w:rPr>
          <w:sz w:val="20"/>
          <w:szCs w:val="20"/>
          <w:color w:val="auto"/>
        </w:rPr>
      </w:pPr>
    </w:p>
    <w:p>
      <w:pPr>
        <w:ind w:firstLine="464"/>
        <w:spacing w:after="0" w:line="286"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7" w:lineRule="exact"/>
        <w:rPr>
          <w:rFonts w:ascii="Arial" w:cs="Arial" w:eastAsia="Arial" w:hAnsi="Arial"/>
          <w:sz w:val="16"/>
          <w:szCs w:val="16"/>
          <w:color w:val="auto"/>
        </w:rPr>
      </w:pPr>
    </w:p>
    <w:p>
      <w:pPr>
        <w:ind w:right="120" w:firstLine="464"/>
        <w:spacing w:after="0" w:line="255"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23" w:lineRule="exact"/>
        <w:rPr>
          <w:sz w:val="20"/>
          <w:szCs w:val="20"/>
          <w:color w:val="auto"/>
        </w:rPr>
      </w:pPr>
    </w:p>
    <w:p>
      <w:pPr>
        <w:ind w:left="720" w:hanging="256"/>
        <w:spacing w:after="0"/>
        <w:tabs>
          <w:tab w:leader="none" w:pos="7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firstLine="8"/>
        <w:spacing w:after="0" w:line="284"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20" w:lineRule="exact"/>
        <w:rPr>
          <w:sz w:val="20"/>
          <w:szCs w:val="20"/>
          <w:color w:val="auto"/>
        </w:rPr>
      </w:pPr>
    </w:p>
    <w:p>
      <w:pPr>
        <w:ind w:firstLine="464"/>
        <w:spacing w:after="0" w:line="255"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9.(a)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left="-80" w:right="20" w:firstLine="464"/>
        <w:spacing w:after="0" w:line="289" w:lineRule="auto"/>
        <w:tabs>
          <w:tab w:leader="none" w:pos="625"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ind w:left="-80" w:firstLine="464"/>
        <w:spacing w:after="0" w:line="289" w:lineRule="auto"/>
        <w:tabs>
          <w:tab w:leader="none" w:pos="6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8" w:lineRule="exact"/>
        <w:rPr>
          <w:sz w:val="20"/>
          <w:szCs w:val="20"/>
          <w:color w:val="auto"/>
        </w:rPr>
      </w:pPr>
    </w:p>
    <w:p>
      <w:pPr>
        <w:ind w:left="-80" w:right="20" w:firstLine="464"/>
        <w:spacing w:after="0" w:line="298"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12" w:lineRule="exact"/>
        <w:rPr>
          <w:rFonts w:ascii="Arial" w:cs="Arial" w:eastAsia="Arial" w:hAnsi="Arial"/>
          <w:sz w:val="16"/>
          <w:szCs w:val="16"/>
          <w:color w:val="auto"/>
        </w:rPr>
      </w:pPr>
    </w:p>
    <w:p>
      <w:pPr>
        <w:ind w:left="-80" w:right="120" w:firstLine="464"/>
        <w:spacing w:after="0" w:line="306" w:lineRule="auto"/>
        <w:tabs>
          <w:tab w:leader="none" w:pos="6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280" w:right="319" w:bottom="1440" w:gutter="0" w:footer="0" w:header="0"/>
        </w:sectPr>
      </w:pPr>
    </w:p>
    <w:bookmarkStart w:id="25" w:name="page26"/>
    <w:bookmarkEnd w:id="25"/>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43" w:lineRule="exact"/>
        <w:rPr>
          <w:sz w:val="20"/>
          <w:szCs w:val="20"/>
          <w:color w:val="auto"/>
        </w:rPr>
      </w:pPr>
    </w:p>
    <w:p>
      <w:pPr>
        <w:ind w:right="300" w:firstLine="464"/>
        <w:spacing w:after="0" w:line="306"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40" w:firstLine="464"/>
        <w:spacing w:after="0" w:line="294"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right="740" w:firstLine="464"/>
        <w:spacing w:after="0" w:line="26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right="360" w:firstLine="464"/>
        <w:spacing w:after="0" w:line="33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280" w:right="1440" w:bottom="1440" w:gutter="0" w:footer="0" w:header="0"/>
          <w:type w:val="continuous"/>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1"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6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Wachovia Capital Markets,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Teresa Hee</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Teresa Hee</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Shea</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Chris Shea</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Agreement</w:t>
      </w:r>
    </w:p>
    <w:p>
      <w:pPr>
        <w:spacing w:after="0" w:line="171" w:lineRule="exact"/>
        <w:rPr>
          <w:sz w:val="20"/>
          <w:szCs w:val="20"/>
          <w:color w:val="auto"/>
        </w:rPr>
      </w:pPr>
    </w:p>
    <w:p>
      <w:pPr>
        <w:jc w:val="both"/>
        <w:ind w:left="10020"/>
        <w:spacing w:after="0"/>
        <w:tabs>
          <w:tab w:leader="none" w:pos="10960" w:val="left"/>
        </w:tabs>
        <w:rPr>
          <w:sz w:val="20"/>
          <w:szCs w:val="20"/>
          <w:color w:val="auto"/>
        </w:rPr>
      </w:pPr>
      <w:r>
        <w:rPr>
          <w:rFonts w:ascii="Arial" w:cs="Arial" w:eastAsia="Arial" w:hAnsi="Arial"/>
          <w:sz w:val="18"/>
          <w:szCs w:val="18"/>
          <w:color w:val="auto"/>
        </w:rPr>
        <w:t>November</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6861175</wp:posOffset>
            </wp:positionH>
            <wp:positionV relativeFrom="paragraph">
              <wp:posOffset>-13970</wp:posOffset>
            </wp:positionV>
            <wp:extent cx="1117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Wachovia Capital Markets,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Charlotte, NC 28288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November , 2006 (the “Underwriting Agreement”), between the Company on the one hand and Wachovia Capital Markets, LLC, Citigroup Global Markets Inc., Bear, Stearns &amp; Co. Inc., Banc of America Securities LLC, Commerzbank Capital Markets Corp., J.P. Morgan Securities Inc., Piper Jaffray &amp; Co., PNC Capital Markets LLC and SunTrust Capital Markets, Inc.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are Wachovia Capital Markets, LLC and Citigroup Global Markets Inc., and the addresses of the Representatives referred to in such Section 12 are set forth in Schedule II hereto.</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380"/>
          </w:cols>
          <w:pgMar w:left="240" w:top="280" w:right="279" w:bottom="1440" w:gutter="0" w:footer="0" w:header="0"/>
        </w:sectPr>
      </w:pPr>
    </w:p>
    <w:bookmarkStart w:id="30" w:name="page31"/>
    <w:bookmarkEnd w:id="30"/>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Wachovia Capital Markets, LLC</w:t>
            </w:r>
          </w:p>
        </w:tc>
      </w:tr>
      <w:tr>
        <w:trPr>
          <w:trHeight w:val="42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Citigroup Global Markets Inc.</w:t>
            </w:r>
          </w:p>
        </w:tc>
      </w:tr>
      <w:tr>
        <w:trPr>
          <w:trHeight w:val="42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80"/>
          </w:cols>
          <w:pgMar w:left="240" w:top="280" w:right="5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7500" w:type="dxa"/>
            <w:vAlign w:val="bottom"/>
            <w:gridSpan w:val="3"/>
          </w:tcPr>
          <w:p>
            <w:pPr>
              <w:jc w:val="center"/>
              <w:ind w:right="3852"/>
              <w:spacing w:after="0"/>
              <w:rPr>
                <w:sz w:val="20"/>
                <w:szCs w:val="20"/>
                <w:color w:val="auto"/>
              </w:rPr>
            </w:pPr>
            <w:r>
              <w:rPr>
                <w:rFonts w:ascii="Arial" w:cs="Arial" w:eastAsia="Arial" w:hAnsi="Arial"/>
                <w:sz w:val="18"/>
                <w:szCs w:val="18"/>
                <w:color w:val="auto"/>
                <w:w w:val="94"/>
              </w:rPr>
              <w:t>SCHEDULE 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w w:val="87"/>
              </w:rPr>
              <w:t>Principal Amount of</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5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53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53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5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5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5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5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5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5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5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5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Total</w:t>
            </w:r>
          </w:p>
        </w:tc>
        <w:tc>
          <w:tcPr>
            <w:tcW w:w="7500" w:type="dxa"/>
            <w:vAlign w:val="bottom"/>
            <w:gridSpan w:val="3"/>
          </w:tcPr>
          <w:p>
            <w:pPr>
              <w:ind w:left="6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Sch. 1 to Exhibit A</w:t>
            </w:r>
          </w:p>
        </w:tc>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20" w:type="dxa"/>
            <w:vAlign w:val="bottom"/>
            <w:gridSpan w:val="2"/>
            <w:vMerge w:val="continue"/>
          </w:tcPr>
          <w:p>
            <w:pPr>
              <w:spacing w:after="0"/>
              <w:rPr>
                <w:sz w:val="24"/>
                <w:szCs w:val="24"/>
                <w:color w:val="auto"/>
              </w:rPr>
            </w:pPr>
          </w:p>
        </w:tc>
        <w:tc>
          <w:tcPr>
            <w:tcW w:w="5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340" w:type="dxa"/>
            <w:vAlign w:val="bottom"/>
          </w:tcPr>
          <w:p>
            <w:pPr>
              <w:jc w:val="right"/>
              <w:ind w:right="3372"/>
              <w:spacing w:after="0"/>
              <w:rPr>
                <w:sz w:val="20"/>
                <w:szCs w:val="20"/>
                <w:color w:val="auto"/>
              </w:rPr>
            </w:pPr>
            <w:r>
              <w:rPr>
                <w:rFonts w:ascii="Arial" w:cs="Arial" w:eastAsia="Arial" w:hAnsi="Arial"/>
                <w:sz w:val="18"/>
                <w:szCs w:val="18"/>
                <w:color w:val="auto"/>
              </w:rPr>
              <w:t>29</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 w:name="page33"/>
    <w:bookmarkEnd w:id="3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Notes due 20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tabs>
          <w:tab w:leader="none" w:pos="7220" w:val="left"/>
        </w:tabs>
        <w:rPr>
          <w:sz w:val="20"/>
          <w:szCs w:val="20"/>
          <w:color w:val="auto"/>
        </w:rPr>
      </w:pPr>
      <w:r>
        <w:rPr>
          <w:rFonts w:ascii="Arial" w:cs="Arial" w:eastAsia="Arial" w:hAnsi="Arial"/>
          <w:sz w:val="16"/>
          <w:szCs w:val="16"/>
          <w:color w:val="auto"/>
        </w:rPr>
        <w:t>% of the principal amount of the Designated Securities, plus accrued interest from November</w:t>
      </w:r>
      <w:r>
        <w:rPr>
          <w:sz w:val="20"/>
          <w:szCs w:val="20"/>
          <w:color w:val="auto"/>
        </w:rPr>
        <w:tab/>
      </w:r>
      <w:r>
        <w:rPr>
          <w:rFonts w:ascii="Arial" w:cs="Arial" w:eastAsia="Arial" w:hAnsi="Arial"/>
          <w:sz w:val="15"/>
          <w:szCs w:val="15"/>
          <w:color w:val="auto"/>
        </w:rPr>
        <w:t>, 2006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tabs>
          <w:tab w:leader="none" w:pos="7220" w:val="left"/>
        </w:tabs>
        <w:rPr>
          <w:sz w:val="20"/>
          <w:szCs w:val="20"/>
          <w:color w:val="auto"/>
        </w:rPr>
      </w:pPr>
      <w:r>
        <w:rPr>
          <w:rFonts w:ascii="Arial" w:cs="Arial" w:eastAsia="Arial" w:hAnsi="Arial"/>
          <w:sz w:val="16"/>
          <w:szCs w:val="16"/>
          <w:color w:val="auto"/>
        </w:rPr>
        <w:t>% of the principal amount of the Designated Securities, plus accrued interest from November</w:t>
      </w:r>
      <w:r>
        <w:rPr>
          <w:sz w:val="20"/>
          <w:szCs w:val="20"/>
          <w:color w:val="auto"/>
        </w:rPr>
        <w:tab/>
      </w:r>
      <w:r>
        <w:rPr>
          <w:rFonts w:ascii="Arial" w:cs="Arial" w:eastAsia="Arial" w:hAnsi="Arial"/>
          <w:sz w:val="15"/>
          <w:szCs w:val="15"/>
          <w:color w:val="auto"/>
        </w:rPr>
        <w:t>, 2006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-13970</wp:posOffset>
            </wp:positionV>
            <wp:extent cx="9753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jc w:val="center"/>
        <w:ind w:right="9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-13970</wp:posOffset>
            </wp:positionV>
            <wp:extent cx="222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1260"/>
        <w:spacing w:after="0"/>
        <w:tabs>
          <w:tab w:leader="none" w:pos="2280" w:val="left"/>
          <w:tab w:leader="none" w:pos="44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commencing</w:t>
      </w:r>
      <w:r>
        <w:rPr>
          <w:sz w:val="20"/>
          <w:szCs w:val="20"/>
          <w:color w:val="auto"/>
        </w:rPr>
        <w:tab/>
      </w:r>
      <w:r>
        <w:rPr>
          <w:rFonts w:ascii="Arial" w:cs="Arial" w:eastAsia="Arial" w:hAnsi="Arial"/>
          <w:sz w:val="15"/>
          <w:szCs w:val="15"/>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-13970</wp:posOffset>
            </wp:positionV>
            <wp:extent cx="1164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64590" cy="889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-13970</wp:posOffset>
            </wp:positionV>
            <wp:extent cx="696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300"/>
          </w:cols>
          <w:pgMar w:left="240" w:top="28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8"/>
          <w:szCs w:val="18"/>
          <w:color w:val="auto"/>
        </w:rPr>
        <w:t>[a/p].m. (Eastern time) on November</w:t>
      </w:r>
      <w:r>
        <w:rPr>
          <w:sz w:val="20"/>
          <w:szCs w:val="20"/>
          <w:color w:val="auto"/>
        </w:rPr>
        <w:tab/>
      </w:r>
      <w:r>
        <w:rPr>
          <w:rFonts w:ascii="Arial" w:cs="Arial" w:eastAsia="Arial" w:hAnsi="Arial"/>
          <w:sz w:val="15"/>
          <w:szCs w:val="15"/>
          <w:color w:val="auto"/>
        </w:rPr>
        <w:t>, 2006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Sidley Austin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Wachovia Capital Markets, LLC and Citigroup Global Markets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pacing w:after="0" w:line="90"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c/o</w:t>
        <w:tab/>
        <w:t>Wachovia Capital Markets, LLC</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Baltimore, MD 21202</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B-2</w:t>
      </w:r>
    </w:p>
    <w:p>
      <w:pPr>
        <w:sectPr>
          <w:pgSz w:w="11900" w:h="16838" w:orient="portrait"/>
          <w:cols w:equalWidth="0" w:num="1">
            <w:col w:w="10400"/>
          </w:cols>
          <w:pgMar w:left="240" w:top="274" w:right="1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18"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B-3</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Exhibit B</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Dated November</w:t>
      </w:r>
      <w:r>
        <w:rPr>
          <w:sz w:val="20"/>
          <w:szCs w:val="20"/>
          <w:color w:val="auto"/>
        </w:rPr>
        <w:tab/>
      </w:r>
      <w:r>
        <w:rPr>
          <w:rFonts w:ascii="Arial" w:cs="Arial" w:eastAsia="Arial" w:hAnsi="Arial"/>
          <w:sz w:val="15"/>
          <w:szCs w:val="15"/>
          <w:color w:val="auto"/>
        </w:rPr>
        <w:t>, 2006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333-135159</w:t>
      </w:r>
    </w:p>
    <w:p>
      <w:pPr>
        <w:spacing w:after="0" w:line="9"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8"/>
          <w:szCs w:val="18"/>
          <w:color w:val="auto"/>
        </w:rPr>
        <w:t>Supplementing Prospectus Supplement Dated November</w:t>
      </w:r>
      <w:r>
        <w:rPr>
          <w:sz w:val="20"/>
          <w:szCs w:val="20"/>
          <w:color w:val="auto"/>
        </w:rPr>
        <w:tab/>
      </w:r>
      <w:r>
        <w:rPr>
          <w:rFonts w:ascii="Arial" w:cs="Arial" w:eastAsia="Arial" w:hAnsi="Arial"/>
          <w:sz w:val="15"/>
          <w:szCs w:val="15"/>
          <w:color w:val="auto"/>
        </w:rPr>
        <w:t>, 2006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June 20, 2006</w:t>
      </w:r>
    </w:p>
    <w:p>
      <w:pPr>
        <w:spacing w:after="0" w:line="15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-10160</wp:posOffset>
            </wp:positionV>
            <wp:extent cx="111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14"/>
          </w:tcPr>
          <w:p>
            <w:pPr>
              <w:ind w:left="200"/>
              <w:spacing w:after="0"/>
              <w:rPr>
                <w:sz w:val="20"/>
                <w:szCs w:val="20"/>
                <w:color w:val="auto"/>
              </w:rPr>
            </w:pPr>
            <w:r>
              <w:rPr>
                <w:rFonts w:ascii="Arial" w:cs="Arial" w:eastAsia="Arial" w:hAnsi="Arial"/>
                <w:sz w:val="18"/>
                <w:szCs w:val="18"/>
                <w:color w:val="auto"/>
              </w:rPr>
              <w:t>Term sheet dated November   , 2006</w:t>
            </w:r>
          </w:p>
        </w:tc>
      </w:tr>
      <w:tr>
        <w:trPr>
          <w:trHeight w:val="419"/>
        </w:trPr>
        <w:tc>
          <w:tcPr>
            <w:tcW w:w="3340" w:type="dxa"/>
            <w:vAlign w:val="bottom"/>
          </w:tcPr>
          <w:p>
            <w:pPr>
              <w:spacing w:after="0"/>
              <w:rPr>
                <w:sz w:val="20"/>
                <w:szCs w:val="20"/>
                <w:color w:val="auto"/>
              </w:rPr>
            </w:pPr>
            <w:r>
              <w:rPr>
                <w:rFonts w:ascii="Arial" w:cs="Arial" w:eastAsia="Arial" w:hAnsi="Arial"/>
                <w:sz w:val="18"/>
                <w:szCs w:val="18"/>
                <w:color w:val="auto"/>
              </w:rPr>
              <w:t>Size: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 (Interest Rate):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11"/>
          </w:tcPr>
          <w:p>
            <w:pPr>
              <w:spacing w:after="0"/>
              <w:rPr>
                <w:sz w:val="20"/>
                <w:szCs w:val="20"/>
                <w:color w:val="auto"/>
              </w:rPr>
            </w:pPr>
            <w:r>
              <w:rPr>
                <w:rFonts w:ascii="Arial" w:cs="Arial" w:eastAsia="Arial" w:hAnsi="Arial"/>
                <w:sz w:val="18"/>
                <w:szCs w:val="18"/>
                <w:color w:val="auto"/>
              </w:rPr>
              <w:t>% per year</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86"/>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gridSpan w:val="12"/>
          </w:tcPr>
          <w:p>
            <w:pPr>
              <w:jc w:val="right"/>
              <w:ind w:right="260"/>
              <w:spacing w:after="0"/>
              <w:rPr>
                <w:sz w:val="20"/>
                <w:szCs w:val="20"/>
                <w:color w:val="auto"/>
              </w:rPr>
            </w:pPr>
            <w:r>
              <w:rPr>
                <w:rFonts w:ascii="Arial" w:cs="Arial" w:eastAsia="Arial" w:hAnsi="Arial"/>
                <w:sz w:val="18"/>
                <w:szCs w:val="18"/>
                <w:color w:val="auto"/>
                <w:w w:val="90"/>
              </w:rPr>
              <w:t>basis points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1300" w:type="dxa"/>
            <w:vAlign w:val="bottom"/>
            <w:gridSpan w:val="14"/>
          </w:tcPr>
          <w:p>
            <w:pPr>
              <w:spacing w:after="0"/>
              <w:rPr>
                <w:sz w:val="20"/>
                <w:szCs w:val="20"/>
                <w:color w:val="auto"/>
              </w:rPr>
            </w:pPr>
            <w:r>
              <w:rPr>
                <w:rFonts w:ascii="Arial" w:cs="Arial" w:eastAsia="Arial" w:hAnsi="Arial"/>
                <w:sz w:val="18"/>
                <w:szCs w:val="18"/>
                <w:color w:val="auto"/>
              </w:rPr>
              <w:t>% UST due</w:t>
            </w:r>
          </w:p>
        </w:tc>
        <w:tc>
          <w:tcPr>
            <w:tcW w:w="780" w:type="dxa"/>
            <w:vAlign w:val="bottom"/>
            <w:gridSpan w:val="6"/>
          </w:tcPr>
          <w:p>
            <w:pPr>
              <w:jc w:val="right"/>
              <w:ind w:right="80"/>
              <w:spacing w:after="0"/>
              <w:rPr>
                <w:sz w:val="20"/>
                <w:szCs w:val="20"/>
                <w:color w:val="auto"/>
              </w:rPr>
            </w:pPr>
            <w:r>
              <w:rPr>
                <w:rFonts w:ascii="Arial" w:cs="Arial" w:eastAsia="Arial" w:hAnsi="Arial"/>
                <w:sz w:val="18"/>
                <w:szCs w:val="18"/>
                <w:color w:val="auto"/>
              </w:rPr>
              <w:t>, 20</w:t>
            </w: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43"/>
        </w:trPr>
        <w:tc>
          <w:tcPr>
            <w:tcW w:w="3340" w:type="dxa"/>
            <w:vAlign w:val="bottom"/>
          </w:tcPr>
          <w:p>
            <w:pPr>
              <w:spacing w:after="0"/>
              <w:rPr>
                <w:sz w:val="20"/>
                <w:szCs w:val="20"/>
                <w:color w:val="auto"/>
              </w:rPr>
            </w:pPr>
            <w:r>
              <w:rPr>
                <w:rFonts w:ascii="Arial" w:cs="Arial" w:eastAsia="Arial" w:hAnsi="Arial"/>
                <w:sz w:val="18"/>
                <w:szCs w:val="18"/>
                <w:color w:val="auto"/>
              </w:rPr>
              <w:t>Benchmark Treasury Yield and Price:</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r>
      <w:tr>
        <w:trPr>
          <w:trHeight w:val="286"/>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gridSpan w:val="3"/>
          </w:tcPr>
          <w:p>
            <w:pPr>
              <w:ind w:left="60"/>
              <w:spacing w:after="0"/>
              <w:rPr>
                <w:sz w:val="20"/>
                <w:szCs w:val="20"/>
                <w:color w:val="auto"/>
              </w:rPr>
            </w:pPr>
            <w:r>
              <w:rPr>
                <w:rFonts w:ascii="Arial" w:cs="Arial" w:eastAsia="Arial" w:hAnsi="Arial"/>
                <w:sz w:val="18"/>
                <w:szCs w:val="18"/>
                <w:color w:val="auto"/>
                <w:w w:val="86"/>
              </w:rPr>
              <w:t>and</w:t>
            </w:r>
          </w:p>
        </w:tc>
        <w:tc>
          <w:tcPr>
            <w:tcW w:w="10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43"/>
        </w:trPr>
        <w:tc>
          <w:tcPr>
            <w:tcW w:w="3340" w:type="dxa"/>
            <w:vAlign w:val="bottom"/>
          </w:tcPr>
          <w:p>
            <w:pPr>
              <w:spacing w:after="0"/>
              <w:rPr>
                <w:sz w:val="20"/>
                <w:szCs w:val="20"/>
                <w:color w:val="auto"/>
              </w:rPr>
            </w:pPr>
            <w:r>
              <w:rPr>
                <w:rFonts w:ascii="Arial" w:cs="Arial" w:eastAsia="Arial" w:hAnsi="Arial"/>
                <w:sz w:val="18"/>
                <w:szCs w:val="18"/>
                <w:color w:val="auto"/>
              </w:rPr>
              <w:t>First Payment Date: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11"/>
          </w:tcPr>
          <w:p>
            <w:pPr>
              <w:ind w:left="520"/>
              <w:spacing w:after="0"/>
              <w:rPr>
                <w:sz w:val="20"/>
                <w:szCs w:val="20"/>
                <w:color w:val="auto"/>
              </w:rPr>
            </w:pPr>
            <w:r>
              <w:rPr>
                <w:rFonts w:ascii="Arial" w:cs="Arial" w:eastAsia="Arial" w:hAnsi="Arial"/>
                <w:sz w:val="18"/>
                <w:szCs w:val="18"/>
                <w:color w:val="auto"/>
                <w:w w:val="83"/>
              </w:rPr>
              <w:t>, 2007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86"/>
        </w:trPr>
        <w:tc>
          <w:tcPr>
            <w:tcW w:w="3340" w:type="dxa"/>
            <w:vAlign w:val="bottom"/>
          </w:tcPr>
          <w:p>
            <w:pPr>
              <w:spacing w:after="0"/>
              <w:rPr>
                <w:sz w:val="20"/>
                <w:szCs w:val="20"/>
                <w:color w:val="auto"/>
              </w:rPr>
            </w:pPr>
            <w:r>
              <w:rPr>
                <w:rFonts w:ascii="Arial" w:cs="Arial" w:eastAsia="Arial" w:hAnsi="Arial"/>
                <w:sz w:val="18"/>
                <w:szCs w:val="18"/>
                <w:color w:val="auto"/>
              </w:rPr>
              <w:t>Maturity Date: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7"/>
          </w:tcPr>
          <w:p>
            <w:pPr>
              <w:ind w:left="520"/>
              <w:spacing w:after="0"/>
              <w:rPr>
                <w:sz w:val="20"/>
                <w:szCs w:val="20"/>
                <w:color w:val="auto"/>
              </w:rPr>
            </w:pPr>
            <w:r>
              <w:rPr>
                <w:rFonts w:ascii="Arial" w:cs="Arial" w:eastAsia="Arial" w:hAnsi="Arial"/>
                <w:sz w:val="18"/>
                <w:szCs w:val="18"/>
                <w:color w:val="auto"/>
                <w:w w:val="86"/>
              </w:rPr>
              <w:t>, 20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43"/>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gridSpan w:val="19"/>
          </w:tcPr>
          <w:p>
            <w:pPr>
              <w:spacing w:after="0"/>
              <w:rPr>
                <w:sz w:val="20"/>
                <w:szCs w:val="20"/>
                <w:color w:val="auto"/>
              </w:rPr>
            </w:pPr>
            <w:r>
              <w:rPr>
                <w:rFonts w:ascii="Arial" w:cs="Arial" w:eastAsia="Arial" w:hAnsi="Arial"/>
                <w:sz w:val="18"/>
                <w:szCs w:val="18"/>
                <w:color w:val="auto"/>
                <w:w w:val="88"/>
              </w:rPr>
              <w:t>% of principal amount, plus accrued interest, if any, from the date of original issuance</w:t>
            </w:r>
          </w:p>
        </w:tc>
      </w:tr>
      <w:tr>
        <w:trPr>
          <w:trHeight w:val="286"/>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340" w:type="dxa"/>
            <w:vAlign w:val="bottom"/>
            <w:gridSpan w:val="3"/>
          </w:tcPr>
          <w:p>
            <w:pPr>
              <w:spacing w:after="0"/>
              <w:rPr>
                <w:sz w:val="20"/>
                <w:szCs w:val="20"/>
                <w:color w:val="auto"/>
              </w:rPr>
            </w:pPr>
            <w:r>
              <w:rPr>
                <w:rFonts w:ascii="Arial" w:cs="Arial" w:eastAsia="Arial" w:hAnsi="Arial"/>
                <w:sz w:val="18"/>
                <w:szCs w:val="18"/>
                <w:color w:val="auto"/>
              </w:rPr>
              <w:t>T+ ;</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5"/>
          </w:tcPr>
          <w:p>
            <w:pPr>
              <w:ind w:left="140"/>
              <w:spacing w:after="0"/>
              <w:rPr>
                <w:sz w:val="20"/>
                <w:szCs w:val="20"/>
                <w:color w:val="auto"/>
              </w:rPr>
            </w:pPr>
            <w:r>
              <w:rPr>
                <w:rFonts w:ascii="Arial" w:cs="Arial" w:eastAsia="Arial" w:hAnsi="Arial"/>
                <w:sz w:val="18"/>
                <w:szCs w:val="18"/>
                <w:color w:val="auto"/>
              </w:rPr>
              <w:t>, 2006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Record Dates: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8"/>
                <w:szCs w:val="18"/>
                <w:color w:val="auto"/>
                <w:w w:val="93"/>
              </w:rPr>
              <w:t>and</w:t>
            </w: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43"/>
        </w:trPr>
        <w:tc>
          <w:tcPr>
            <w:tcW w:w="3340" w:type="dxa"/>
            <w:vAlign w:val="bottom"/>
          </w:tcPr>
          <w:p>
            <w:pPr>
              <w:spacing w:after="0"/>
              <w:rPr>
                <w:sz w:val="20"/>
                <w:szCs w:val="20"/>
                <w:color w:val="auto"/>
              </w:rPr>
            </w:pPr>
            <w:r>
              <w:rPr>
                <w:rFonts w:ascii="Arial" w:cs="Arial" w:eastAsia="Arial" w:hAnsi="Arial"/>
                <w:sz w:val="18"/>
                <w:szCs w:val="18"/>
                <w:color w:val="auto"/>
              </w:rPr>
              <w:t>Aggregate Price to Public:</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86"/>
        </w:trPr>
        <w:tc>
          <w:tcPr>
            <w:tcW w:w="33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0" w:type="dxa"/>
            <w:vAlign w:val="bottom"/>
          </w:tcPr>
          <w:p>
            <w:pPr>
              <w:spacing w:after="0"/>
              <w:rPr>
                <w:sz w:val="20"/>
                <w:szCs w:val="20"/>
                <w:color w:val="auto"/>
              </w:rPr>
            </w:pPr>
            <w:r>
              <w:rPr>
                <w:rFonts w:ascii="Arial" w:cs="Arial" w:eastAsia="Arial" w:hAnsi="Arial"/>
                <w:sz w:val="16"/>
                <w:szCs w:val="16"/>
                <w:color w:val="auto"/>
                <w:w w:val="74"/>
              </w:rPr>
              <w:t>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8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gridSpan w:val="8"/>
          </w:tcPr>
          <w:p>
            <w:pPr>
              <w:ind w:left="120"/>
              <w:spacing w:after="0"/>
              <w:rPr>
                <w:sz w:val="20"/>
                <w:szCs w:val="20"/>
                <w:color w:val="auto"/>
              </w:rPr>
            </w:pPr>
            <w:r>
              <w:rPr>
                <w:rFonts w:ascii="Arial" w:cs="Arial" w:eastAsia="Arial" w:hAnsi="Arial"/>
                <w:sz w:val="18"/>
                <w:szCs w:val="18"/>
                <w:color w:val="auto"/>
              </w:rPr>
              <w:t>Sch. 1 to Exhibit B, Page 1</w:t>
            </w:r>
          </w:p>
        </w:tc>
      </w:tr>
    </w:tbl>
    <w:p>
      <w:pPr>
        <w:sectPr>
          <w:pgSz w:w="11900" w:h="16838" w:orient="portrait"/>
          <w:cols w:equalWidth="0" w:num="1">
            <w:col w:w="11420"/>
          </w:cols>
          <w:pgMar w:left="240" w:top="274" w:right="2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Net Proceeds to the Company before Expenses: $</w:t>
            </w:r>
          </w:p>
        </w:tc>
        <w:tc>
          <w:tcPr>
            <w:tcW w:w="3140" w:type="dxa"/>
            <w:vAlign w:val="bottom"/>
          </w:tcPr>
          <w:p>
            <w:pPr>
              <w:spacing w:after="0"/>
              <w:rPr>
                <w:sz w:val="19"/>
                <w:szCs w:val="19"/>
                <w:color w:val="auto"/>
              </w:rPr>
            </w:pPr>
          </w:p>
        </w:tc>
      </w:tr>
      <w:tr>
        <w:trPr>
          <w:trHeight w:val="324"/>
        </w:trPr>
        <w:tc>
          <w:tcPr>
            <w:tcW w:w="2900" w:type="dxa"/>
            <w:vAlign w:val="bottom"/>
          </w:tcPr>
          <w:p>
            <w:pPr>
              <w:spacing w:after="0"/>
              <w:rPr>
                <w:sz w:val="20"/>
                <w:szCs w:val="20"/>
                <w:color w:val="auto"/>
              </w:rPr>
            </w:pPr>
            <w:r>
              <w:rPr>
                <w:rFonts w:ascii="Arial" w:cs="Arial" w:eastAsia="Arial" w:hAnsi="Arial"/>
                <w:sz w:val="18"/>
                <w:szCs w:val="18"/>
                <w:color w:val="auto"/>
              </w:rPr>
              <w:t>Redemption Provision:</w:t>
            </w:r>
          </w:p>
        </w:tc>
        <w:tc>
          <w:tcPr>
            <w:tcW w:w="4780" w:type="dxa"/>
            <w:vAlign w:val="bottom"/>
          </w:tcPr>
          <w:p>
            <w:pPr>
              <w:ind w:left="560"/>
              <w:spacing w:after="0"/>
              <w:rPr>
                <w:sz w:val="20"/>
                <w:szCs w:val="20"/>
                <w:color w:val="auto"/>
              </w:rPr>
            </w:pPr>
            <w:r>
              <w:rPr>
                <w:rFonts w:ascii="Arial" w:cs="Arial" w:eastAsia="Arial" w:hAnsi="Arial"/>
                <w:sz w:val="18"/>
                <w:szCs w:val="18"/>
                <w:color w:val="auto"/>
                <w:w w:val="92"/>
              </w:rPr>
              <w:t>Make-whole call at any time based on U.S. Treasury plus</w:t>
            </w:r>
          </w:p>
        </w:tc>
        <w:tc>
          <w:tcPr>
            <w:tcW w:w="3140" w:type="dxa"/>
            <w:vAlign w:val="bottom"/>
          </w:tcPr>
          <w:p>
            <w:pPr>
              <w:jc w:val="right"/>
              <w:spacing w:after="0"/>
              <w:rPr>
                <w:sz w:val="20"/>
                <w:szCs w:val="20"/>
                <w:color w:val="auto"/>
              </w:rPr>
            </w:pPr>
            <w:r>
              <w:rPr>
                <w:rFonts w:ascii="Arial" w:cs="Arial" w:eastAsia="Arial" w:hAnsi="Arial"/>
                <w:sz w:val="18"/>
                <w:szCs w:val="18"/>
                <w:color w:val="auto"/>
                <w:w w:val="93"/>
              </w:rPr>
              <w:t>% (fifteen one-hundredths of one percent)</w:t>
            </w:r>
          </w:p>
        </w:tc>
      </w:tr>
      <w:tr>
        <w:trPr>
          <w:trHeight w:val="324"/>
        </w:trPr>
        <w:tc>
          <w:tcPr>
            <w:tcW w:w="2900" w:type="dxa"/>
            <w:vAlign w:val="bottom"/>
          </w:tcPr>
          <w:p>
            <w:pPr>
              <w:spacing w:after="0"/>
              <w:rPr>
                <w:sz w:val="20"/>
                <w:szCs w:val="20"/>
                <w:color w:val="auto"/>
              </w:rPr>
            </w:pPr>
            <w:r>
              <w:rPr>
                <w:rFonts w:ascii="Arial" w:cs="Arial" w:eastAsia="Arial" w:hAnsi="Arial"/>
                <w:sz w:val="18"/>
                <w:szCs w:val="18"/>
                <w:color w:val="auto"/>
              </w:rPr>
              <w:t>Dealer Concession:</w:t>
            </w:r>
          </w:p>
        </w:tc>
        <w:tc>
          <w:tcPr>
            <w:tcW w:w="4780" w:type="dxa"/>
            <w:vAlign w:val="bottom"/>
          </w:tcPr>
          <w:p>
            <w:pPr>
              <w:ind w:left="90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24"/>
                <w:szCs w:val="24"/>
                <w:color w:val="auto"/>
              </w:rPr>
            </w:pPr>
          </w:p>
        </w:tc>
      </w:tr>
      <w:tr>
        <w:trPr>
          <w:trHeight w:val="324"/>
        </w:trPr>
        <w:tc>
          <w:tcPr>
            <w:tcW w:w="2900" w:type="dxa"/>
            <w:vAlign w:val="bottom"/>
          </w:tcPr>
          <w:p>
            <w:pPr>
              <w:spacing w:after="0"/>
              <w:rPr>
                <w:sz w:val="20"/>
                <w:szCs w:val="20"/>
                <w:color w:val="auto"/>
              </w:rPr>
            </w:pPr>
            <w:r>
              <w:rPr>
                <w:rFonts w:ascii="Arial" w:cs="Arial" w:eastAsia="Arial" w:hAnsi="Arial"/>
                <w:sz w:val="18"/>
                <w:szCs w:val="18"/>
                <w:color w:val="auto"/>
              </w:rPr>
              <w:t>Reallowance:</w:t>
            </w:r>
          </w:p>
        </w:tc>
        <w:tc>
          <w:tcPr>
            <w:tcW w:w="4780" w:type="dxa"/>
            <w:vAlign w:val="bottom"/>
          </w:tcPr>
          <w:p>
            <w:pPr>
              <w:ind w:left="90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24"/>
                <w:szCs w:val="24"/>
                <w:color w:val="auto"/>
              </w:rPr>
            </w:pPr>
          </w:p>
        </w:tc>
      </w:tr>
      <w:tr>
        <w:trPr>
          <w:trHeight w:val="324"/>
        </w:trPr>
        <w:tc>
          <w:tcPr>
            <w:tcW w:w="2900" w:type="dxa"/>
            <w:vAlign w:val="bottom"/>
          </w:tcPr>
          <w:p>
            <w:pPr>
              <w:spacing w:after="0"/>
              <w:rPr>
                <w:sz w:val="20"/>
                <w:szCs w:val="20"/>
                <w:color w:val="auto"/>
              </w:rPr>
            </w:pPr>
            <w:r>
              <w:rPr>
                <w:rFonts w:ascii="Arial" w:cs="Arial" w:eastAsia="Arial" w:hAnsi="Arial"/>
                <w:sz w:val="18"/>
                <w:szCs w:val="18"/>
                <w:color w:val="auto"/>
              </w:rPr>
              <w:t>CUSIP:</w:t>
            </w:r>
          </w:p>
        </w:tc>
        <w:tc>
          <w:tcPr>
            <w:tcW w:w="47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18"/>
        </w:trPr>
        <w:tc>
          <w:tcPr>
            <w:tcW w:w="29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4780" w:type="dxa"/>
            <w:vAlign w:val="bottom"/>
          </w:tcPr>
          <w:p>
            <w:pPr>
              <w:ind w:left="300"/>
              <w:spacing w:after="0"/>
              <w:rPr>
                <w:sz w:val="20"/>
                <w:szCs w:val="20"/>
                <w:color w:val="auto"/>
              </w:rPr>
            </w:pPr>
            <w:r>
              <w:rPr>
                <w:rFonts w:ascii="Arial" w:cs="Arial" w:eastAsia="Arial" w:hAnsi="Arial"/>
                <w:sz w:val="18"/>
                <w:szCs w:val="18"/>
                <w:color w:val="auto"/>
              </w:rPr>
              <w:t>Wachovia Capital Markets, LLC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900" w:type="dxa"/>
            <w:vAlign w:val="bottom"/>
          </w:tcPr>
          <w:p>
            <w:pPr>
              <w:spacing w:after="0"/>
              <w:rPr>
                <w:sz w:val="19"/>
                <w:szCs w:val="19"/>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Citigroup Global Markets Inc.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900" w:type="dxa"/>
            <w:vAlign w:val="bottom"/>
          </w:tcPr>
          <w:p>
            <w:pPr>
              <w:spacing w:after="0"/>
              <w:rPr>
                <w:sz w:val="20"/>
                <w:szCs w:val="20"/>
                <w:color w:val="auto"/>
              </w:rPr>
            </w:pPr>
            <w:r>
              <w:rPr>
                <w:rFonts w:ascii="Arial" w:cs="Arial" w:eastAsia="Arial" w:hAnsi="Arial"/>
                <w:sz w:val="18"/>
                <w:szCs w:val="18"/>
                <w:color w:val="auto"/>
              </w:rPr>
              <w:t>Co-Managers:</w:t>
            </w:r>
          </w:p>
        </w:tc>
        <w:tc>
          <w:tcPr>
            <w:tcW w:w="4780" w:type="dxa"/>
            <w:vAlign w:val="bottom"/>
          </w:tcPr>
          <w:p>
            <w:pPr>
              <w:ind w:left="300"/>
              <w:spacing w:after="0"/>
              <w:rPr>
                <w:sz w:val="20"/>
                <w:szCs w:val="20"/>
                <w:color w:val="auto"/>
              </w:rPr>
            </w:pPr>
            <w:r>
              <w:rPr>
                <w:rFonts w:ascii="Arial" w:cs="Arial" w:eastAsia="Arial" w:hAnsi="Arial"/>
                <w:sz w:val="18"/>
                <w:szCs w:val="18"/>
                <w:color w:val="auto"/>
              </w:rPr>
              <w:t>Bear, Stearns &amp; Co. Inc.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Banc of America Securities LLC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Commerzbank Capital</w:t>
            </w:r>
          </w:p>
        </w:tc>
        <w:tc>
          <w:tcPr>
            <w:tcW w:w="31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Markets Corp.</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J.P. Morgan Securities Inc.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Piper Jaffray &amp; Co.</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PNC Capital Markets LLC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900" w:type="dxa"/>
            <w:vAlign w:val="bottom"/>
          </w:tcPr>
          <w:p>
            <w:pPr>
              <w:spacing w:after="0"/>
              <w:rPr>
                <w:sz w:val="19"/>
                <w:szCs w:val="19"/>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SunTrust Capital Markets, Inc.</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900" w:type="dxa"/>
            <w:vAlign w:val="bottom"/>
          </w:tcPr>
          <w:p>
            <w:pPr>
              <w:spacing w:after="0"/>
              <w:rPr>
                <w:sz w:val="20"/>
                <w:szCs w:val="20"/>
                <w:color w:val="auto"/>
              </w:rPr>
            </w:pPr>
            <w:r>
              <w:rPr>
                <w:rFonts w:ascii="Arial" w:cs="Arial" w:eastAsia="Arial" w:hAnsi="Arial"/>
                <w:sz w:val="18"/>
                <w:szCs w:val="18"/>
                <w:color w:val="auto"/>
                <w:w w:val="97"/>
              </w:rPr>
              <w:t>Estimated Expenses of the Company</w:t>
            </w:r>
          </w:p>
        </w:tc>
        <w:tc>
          <w:tcPr>
            <w:tcW w:w="47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Excluding Underwriting Discount:</w:t>
            </w:r>
          </w:p>
        </w:tc>
        <w:tc>
          <w:tcPr>
            <w:tcW w:w="478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9"/>
                <w:szCs w:val="19"/>
                <w:color w:val="auto"/>
              </w:rPr>
            </w:pPr>
          </w:p>
        </w:tc>
      </w:tr>
    </w:tbl>
    <w:p>
      <w:pPr>
        <w:spacing w:after="0" w:line="15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Wachovia Capital Markets, LLC toll-free at 1-800-326-5897 or Citigroup Global Markets Inc. toll-free at 1-800-858-5407.</w:t>
      </w:r>
    </w:p>
    <w:p>
      <w:pPr>
        <w:spacing w:after="0" w:line="108"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 1 to Exhibit B, Page 2</w:t>
      </w:r>
    </w:p>
    <w:p>
      <w:pPr>
        <w:sectPr>
          <w:pgSz w:w="11900" w:h="16838" w:orient="portrait"/>
          <w:cols w:equalWidth="0" w:num="1">
            <w:col w:w="11320"/>
          </w:cols>
          <w:pgMar w:left="240" w:top="28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320"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[Not Filed with this Current Report]</w:t>
      </w:r>
    </w:p>
    <w:p>
      <w:pPr>
        <w:spacing w:after="0" w:line="19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220"/>
          </w:cols>
          <w:pgMar w:left="1440" w:top="274" w:right="239" w:bottom="1440" w:gutter="0" w:footer="0" w:header="0"/>
        </w:sectPr>
      </w:pPr>
    </w:p>
    <w:bookmarkStart w:id="38" w:name="page39"/>
    <w:bookmarkEnd w:id="38"/>
    <w:p>
      <w:pPr>
        <w:ind w:left="10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C-1</w:t>
      </w:r>
    </w:p>
    <w:p>
      <w:pPr>
        <w:spacing w:after="0" w:line="20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w:t>
      </w:r>
    </w:p>
    <w:p>
      <w:pPr>
        <w:spacing w:after="0" w:line="85"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8.75% Notes due December 1, 2009, 4.50% Notes due 2011 and 5.65% Notes due 2016, 6.00% Notes due 2012 and 6.20% Notes due 2017 filed as Exhibit 4(a) to the Company’s Registration Statement on Form S-3 (File No. 333-63619).</w:t>
      </w:r>
    </w:p>
    <w:p>
      <w:pPr>
        <w:spacing w:after="0" w:line="1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Credit Agreement dated as of July 28, 2006, by and among the Company, as Borrower, The Financial Institutions Party Thereto and Their Assignees Under Section 12.5.(d), as Lenders, Wachovia Capital Markets, LLC as sole Lead Arranger and Sole Book Manager, Wachovia Bank, National Association as Agent, Eurohypo AG, New York Branch as Syndication Agent and each of PNC Bank, National Association, SunTrust Bank and U.S. Bank National Association as Documentation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dated as of August 24, 2006, by and between the Company and Wachovia Investment Holdings, LLC.</w:t>
      </w:r>
    </w:p>
    <w:p>
      <w:pPr>
        <w:sectPr>
          <w:pgSz w:w="11900" w:h="16838" w:orient="portrait"/>
          <w:cols w:equalWidth="0" w:num="1">
            <w:col w:w="11420"/>
          </w:cols>
          <w:pgMar w:left="240" w:top="27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ind w:left="840"/>
              <w:spacing w:after="0"/>
              <w:rPr>
                <w:sz w:val="20"/>
                <w:szCs w:val="20"/>
                <w:color w:val="auto"/>
              </w:rPr>
            </w:pPr>
            <w:r>
              <w:rPr>
                <w:rFonts w:ascii="Arial" w:cs="Arial" w:eastAsia="Arial" w:hAnsi="Arial"/>
                <w:sz w:val="18"/>
                <w:szCs w:val="18"/>
                <w:b w:val="1"/>
                <w:bCs w:val="1"/>
                <w:color w:val="auto"/>
              </w:rPr>
              <w:t>EXHIBIT D</w:t>
            </w:r>
          </w:p>
        </w:tc>
        <w:tc>
          <w:tcPr>
            <w:tcW w:w="0" w:type="dxa"/>
            <w:vAlign w:val="bottom"/>
          </w:tcPr>
          <w:p>
            <w:pPr>
              <w:spacing w:after="0"/>
              <w:rPr>
                <w:sz w:val="1"/>
                <w:szCs w:val="1"/>
                <w:color w:val="auto"/>
              </w:rPr>
            </w:pPr>
          </w:p>
        </w:tc>
      </w:tr>
      <w:tr>
        <w:trPr>
          <w:trHeight w:val="340"/>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FEDERAL REALTY INVESTMENT TRUST</w:t>
            </w:r>
          </w:p>
        </w:tc>
        <w:tc>
          <w:tcPr>
            <w:tcW w:w="220" w:type="dxa"/>
            <w:vAlign w:val="bottom"/>
          </w:tcPr>
          <w:p>
            <w:pPr>
              <w:spacing w:after="0"/>
              <w:rPr>
                <w:sz w:val="24"/>
                <w:szCs w:val="24"/>
                <w:color w:val="auto"/>
              </w:rPr>
            </w:pPr>
          </w:p>
        </w:tc>
        <w:tc>
          <w:tcPr>
            <w:tcW w:w="2200" w:type="dxa"/>
            <w:vAlign w:val="bottom"/>
            <w:gridSpan w:val="3"/>
          </w:tcPr>
          <w:p>
            <w:pPr>
              <w:ind w:left="240"/>
              <w:spacing w:after="0"/>
              <w:rPr>
                <w:sz w:val="20"/>
                <w:szCs w:val="20"/>
                <w:color w:val="auto"/>
              </w:rPr>
            </w:pPr>
            <w:r>
              <w:rPr>
                <w:rFonts w:ascii="Arial" w:cs="Arial" w:eastAsia="Arial" w:hAnsi="Arial"/>
                <w:sz w:val="14"/>
                <w:szCs w:val="14"/>
                <w:b w:val="1"/>
                <w:bCs w:val="1"/>
                <w:color w:val="auto"/>
              </w:rPr>
              <w:t>Company’s Direct or Indirect</w:t>
            </w:r>
          </w:p>
        </w:tc>
        <w:tc>
          <w:tcPr>
            <w:tcW w:w="0" w:type="dxa"/>
            <w:vAlign w:val="bottom"/>
          </w:tcPr>
          <w:p>
            <w:pPr>
              <w:spacing w:after="0"/>
              <w:rPr>
                <w:sz w:val="1"/>
                <w:szCs w:val="1"/>
                <w:color w:val="auto"/>
              </w:rPr>
            </w:pPr>
          </w:p>
        </w:tc>
      </w:tr>
      <w:tr>
        <w:trPr>
          <w:trHeight w:val="155"/>
        </w:trPr>
        <w:tc>
          <w:tcPr>
            <w:tcW w:w="9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 Associates Limited Partnership (“FR”)</w:t>
            </w:r>
          </w:p>
        </w:tc>
        <w:tc>
          <w:tcPr>
            <w:tcW w:w="220" w:type="dxa"/>
            <w:vAlign w:val="bottom"/>
            <w:shd w:val="clear" w:color="auto" w:fill="CCEEFF"/>
          </w:tcPr>
          <w:p>
            <w:pPr>
              <w:spacing w:after="0"/>
              <w:rPr>
                <w:sz w:val="18"/>
                <w:szCs w:val="18"/>
                <w:color w:val="auto"/>
              </w:rPr>
            </w:pPr>
          </w:p>
        </w:tc>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98.97% (1.03% SRI)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Andorra Associates</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Governor Plaza Associates</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Shopping Center Associates</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Berman Enterprises II Limited Partnership</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FRIT Escondido Promenade, LLC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70%</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FRIT Santana Row TRS, Inc.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ind w:left="20"/>
              <w:spacing w:after="0"/>
              <w:rPr>
                <w:sz w:val="20"/>
                <w:szCs w:val="20"/>
                <w:color w:val="auto"/>
              </w:rPr>
            </w:pPr>
            <w:r>
              <w:rPr>
                <w:rFonts w:ascii="Arial" w:cs="Arial" w:eastAsia="Arial" w:hAnsi="Arial"/>
                <w:sz w:val="18"/>
                <w:szCs w:val="18"/>
                <w:color w:val="auto"/>
              </w:rPr>
              <w:t>(FRIT L&amp;D)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Congressional Plaza Associates, LLC</w:t>
            </w:r>
          </w:p>
        </w:tc>
        <w:tc>
          <w:tcPr>
            <w:tcW w:w="2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64.1030%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99%</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Realty Partners L. P. (Master DownREIT- 327,549 units outstanding – 533,999 units have been redeemed)</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units (FedRP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534,039 units (FRLP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Federal Realty Partners, Inc. (“FedRP Inc.”)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FRLP, Inc. (“FRLP Inc.”)</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FR Leesburg Plaza, LLC (“Leesburg LLC”)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 Leesburg Plaza, LP (DownREIT– 37,267 units outstanding – 100,733 units have been redeemed)</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315,233 units (Leesburg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Federal Realty Management Services, Inc.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FR Federal Plaza, Inc. (“FedPlaza Inc.”)</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FR Federal Plaza, LLC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ind w:left="20"/>
              <w:spacing w:after="0"/>
              <w:rPr>
                <w:sz w:val="20"/>
                <w:szCs w:val="20"/>
                <w:color w:val="auto"/>
              </w:rPr>
            </w:pPr>
            <w:r>
              <w:rPr>
                <w:rFonts w:ascii="Arial" w:cs="Arial" w:eastAsia="Arial" w:hAnsi="Arial"/>
                <w:sz w:val="18"/>
                <w:szCs w:val="18"/>
                <w:color w:val="auto"/>
              </w:rPr>
              <w:t>(FedPlaza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FR Mercer Mall, Inc. (“Mercer Inc.”)</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FR Mercer Mall, LLC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ind w:left="20"/>
              <w:spacing w:after="0"/>
              <w:rPr>
                <w:sz w:val="20"/>
                <w:szCs w:val="20"/>
                <w:color w:val="auto"/>
              </w:rPr>
            </w:pPr>
            <w:r>
              <w:rPr>
                <w:rFonts w:ascii="Arial" w:cs="Arial" w:eastAsia="Arial" w:hAnsi="Arial"/>
                <w:sz w:val="18"/>
                <w:szCs w:val="18"/>
                <w:color w:val="auto"/>
              </w:rPr>
              <w:t>(Mercer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Federal/LPF GP, Inc. (“LPF”)</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Federal/Lion Venture LP (“Venture”)</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29.99% (.1% LPF)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Plaza del Mercado, LLC (“Mercado”)</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FLV Plaza del Mercado, LP</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30% through Mercado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Campus Plaza GP, LLC (“Campus”)</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FLV Campus Plaza Limited Partnership</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30% through Campus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Pleasant Shops GP, LLC (“Pleasant”)</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FLV Pleasant Shops Limited Partnership</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30% through Pleasant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Atlantic Plaza GP, LLC (“Atlantic”)</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FLV Atlantic Plaza Limited Partnership</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30% through Atlantic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Greenlawn Plaza GP, LLC (“Greenlawn”)</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FLV Greenlawn Plaza, LP</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30% through Greenlawn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Barcroft Plaza GP, LLC (“Barcroft”)</w:t>
            </w:r>
          </w:p>
        </w:tc>
        <w:tc>
          <w:tcPr>
            <w:tcW w:w="2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FLV Barcroft Plaza, LP</w:t>
            </w:r>
          </w:p>
        </w:tc>
        <w:tc>
          <w:tcPr>
            <w:tcW w:w="2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30% through Barcroft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FR Westgate Mall, Inc. (“Westgate Inc.”)</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FR Westgate Mall, LLC</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6"/>
              </w:rPr>
              <w:t>100%</w:t>
            </w:r>
          </w:p>
        </w:tc>
        <w:tc>
          <w:tcPr>
            <w:tcW w:w="1760" w:type="dxa"/>
            <w:vAlign w:val="bottom"/>
          </w:tcPr>
          <w:p>
            <w:pPr>
              <w:ind w:left="20"/>
              <w:spacing w:after="0"/>
              <w:rPr>
                <w:sz w:val="20"/>
                <w:szCs w:val="20"/>
                <w:color w:val="auto"/>
              </w:rPr>
            </w:pPr>
            <w:r>
              <w:rPr>
                <w:rFonts w:ascii="Arial" w:cs="Arial" w:eastAsia="Arial" w:hAnsi="Arial"/>
                <w:sz w:val="18"/>
                <w:szCs w:val="18"/>
                <w:color w:val="auto"/>
              </w:rPr>
              <w:t>(Westgate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 D-1</w:t>
      </w:r>
    </w:p>
    <w:p>
      <w:pPr>
        <w:sectPr>
          <w:pgSz w:w="11900" w:h="16838" w:orient="portrait"/>
          <w:cols w:equalWidth="0" w:num="1">
            <w:col w:w="11420"/>
          </w:cols>
          <w:pgMar w:left="240" w:top="32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Assembly Square, LLC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 Sturtevant Street, Inc. (“Sturtevant Inc.”)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 Sturtevant Street, LLC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(Sturtevant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 Crow Canyon, Inc. (f/k/a JS&amp;DB, Inc.) (“Crow Inc.”)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 Crow Canyon, LLC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(Crow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 Key Road, Inc.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Riverside, Inc.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 Linden Square, Inc.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North Dartmouth, Inc. (“ND Inc.”)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 North Dartmouth, LLC</w:t>
            </w: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100% by First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Title Insurance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(“First American”)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part of a reverse 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exchange; thereafter 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040" w:type="dxa"/>
            <w:vAlign w:val="bottom"/>
          </w:tcPr>
          <w:p>
            <w:pPr>
              <w:ind w:left="2600"/>
              <w:spacing w:after="0"/>
              <w:rPr>
                <w:sz w:val="20"/>
                <w:szCs w:val="20"/>
                <w:color w:val="auto"/>
              </w:rPr>
            </w:pPr>
            <w:r>
              <w:rPr>
                <w:rFonts w:ascii="Arial" w:cs="Arial" w:eastAsia="Arial" w:hAnsi="Arial"/>
                <w:sz w:val="18"/>
                <w:szCs w:val="18"/>
                <w:color w:val="auto"/>
              </w:rPr>
              <w:t>Inc.</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 Inc. (“Chelsea I Inc.”)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 Chelsea Commons I, LLC</w:t>
            </w: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100% by First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as part of a reverse 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exchange; thereafter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Chelsea I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II, Inc. (“Chelsea II Inc.”)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 Chelsea Commons II, LLC</w:t>
            </w: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100% by First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as part of a reverse 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exchange; thereafter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780" w:type="dxa"/>
            <w:vAlign w:val="bottom"/>
            <w:gridSpan w:val="2"/>
          </w:tcPr>
          <w:p>
            <w:pPr>
              <w:ind w:left="2600"/>
              <w:spacing w:after="0"/>
              <w:rPr>
                <w:sz w:val="20"/>
                <w:szCs w:val="20"/>
                <w:color w:val="auto"/>
              </w:rPr>
            </w:pPr>
            <w:r>
              <w:rPr>
                <w:rFonts w:ascii="Arial" w:cs="Arial" w:eastAsia="Arial" w:hAnsi="Arial"/>
                <w:sz w:val="18"/>
                <w:szCs w:val="18"/>
                <w:color w:val="auto"/>
              </w:rPr>
              <w:t>Chelsea II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 Inc.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Street Retail, Inc.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STREET RETAIL, INC. (“SRI”)</w:t>
            </w:r>
          </w:p>
        </w:tc>
        <w:tc>
          <w:tcPr>
            <w:tcW w:w="30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640" w:type="dxa"/>
            <w:vAlign w:val="bottom"/>
            <w:gridSpan w:val="3"/>
          </w:tcPr>
          <w:p>
            <w:pPr>
              <w:spacing w:after="0"/>
              <w:rPr>
                <w:sz w:val="20"/>
                <w:szCs w:val="20"/>
                <w:color w:val="auto"/>
              </w:rPr>
            </w:pPr>
            <w:r>
              <w:rPr>
                <w:rFonts w:ascii="Arial" w:cs="Arial" w:eastAsia="Arial" w:hAnsi="Arial"/>
                <w:sz w:val="18"/>
                <w:szCs w:val="18"/>
                <w:color w:val="auto"/>
              </w:rPr>
              <w:t>SRI Old Town, LLC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Forest Hills I, LLC</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Street Retail Forest Hills II, LLC</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West GP, Inc. (“SRWGP”)</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Street Retail West I, L.P.</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II, L.P.</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Street Retail West 3, L.P.</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4, L.P.</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90%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Street Retail West 6, L.P.</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7, L.P.</w:t>
            </w:r>
          </w:p>
        </w:tc>
        <w:tc>
          <w:tcPr>
            <w:tcW w:w="304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90%</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Street Retail West 10, L.P.</w:t>
            </w:r>
          </w:p>
        </w:tc>
        <w:tc>
          <w:tcPr>
            <w:tcW w:w="3040" w:type="dxa"/>
            <w:vAlign w:val="bottom"/>
          </w:tcPr>
          <w:p>
            <w:pPr>
              <w:ind w:left="260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(10% through SRI)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San Antonio, LP</w:t>
            </w:r>
          </w:p>
        </w:tc>
        <w:tc>
          <w:tcPr>
            <w:tcW w:w="4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.1% (SRI San Anton)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99.9% (SRI Texas)</w:t>
            </w: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420"/>
          </w:cols>
          <w:pgMar w:left="240" w:top="28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SRI San Antonio, Inc. (f/k/a Dim Sum, Inc.</w:t>
            </w:r>
          </w:p>
        </w:tc>
        <w:tc>
          <w:tcPr>
            <w:tcW w:w="2780" w:type="dxa"/>
            <w:vAlign w:val="bottom"/>
            <w:shd w:val="clear" w:color="auto" w:fill="CCEEFF"/>
          </w:tcPr>
          <w:p>
            <w:pPr>
              <w:spacing w:after="0"/>
              <w:rPr>
                <w:sz w:val="18"/>
                <w:szCs w:val="18"/>
                <w:color w:val="auto"/>
              </w:rPr>
            </w:pPr>
          </w:p>
        </w:tc>
      </w:tr>
      <w:tr>
        <w:trPr>
          <w:trHeight w:val="224"/>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f/k/a FR Acquisition Holding Co., Inc.) (“SRI San Anton”)</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SRI Texas, Inc. (“SRI Texas”)</w:t>
            </w:r>
          </w:p>
        </w:tc>
        <w:tc>
          <w:tcPr>
            <w:tcW w:w="278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FRIT San Jose Town and Country Village, LLC (“San Jose LLC”)</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100%</w:t>
            </w:r>
          </w:p>
        </w:tc>
      </w:tr>
      <w:tr>
        <w:trPr>
          <w:trHeight w:val="208"/>
        </w:trPr>
        <w:tc>
          <w:tcPr>
            <w:tcW w:w="8640" w:type="dxa"/>
            <w:vAlign w:val="bottom"/>
          </w:tcPr>
          <w:p>
            <w:pPr>
              <w:ind w:left="440"/>
              <w:spacing w:after="0"/>
              <w:rPr>
                <w:sz w:val="20"/>
                <w:szCs w:val="20"/>
                <w:color w:val="auto"/>
              </w:rPr>
            </w:pPr>
            <w:r>
              <w:rPr>
                <w:rFonts w:ascii="Arial" w:cs="Arial" w:eastAsia="Arial" w:hAnsi="Arial"/>
                <w:sz w:val="18"/>
                <w:szCs w:val="18"/>
                <w:color w:val="auto"/>
              </w:rPr>
              <w:t>San Jose Residential, Inc.</w:t>
            </w:r>
          </w:p>
        </w:tc>
        <w:tc>
          <w:tcPr>
            <w:tcW w:w="2780" w:type="dxa"/>
            <w:vAlign w:val="bottom"/>
          </w:tcPr>
          <w:p>
            <w:pPr>
              <w:ind w:left="920"/>
              <w:spacing w:after="0"/>
              <w:rPr>
                <w:sz w:val="20"/>
                <w:szCs w:val="20"/>
                <w:color w:val="auto"/>
              </w:rPr>
            </w:pPr>
            <w:r>
              <w:rPr>
                <w:rFonts w:ascii="Arial" w:cs="Arial" w:eastAsia="Arial" w:hAnsi="Arial"/>
                <w:sz w:val="18"/>
                <w:szCs w:val="18"/>
                <w:color w:val="auto"/>
              </w:rPr>
              <w:t>100% nonvoting stock</w:t>
            </w:r>
          </w:p>
        </w:tc>
      </w:tr>
      <w:tr>
        <w:trPr>
          <w:trHeight w:val="222"/>
        </w:trPr>
        <w:tc>
          <w:tcPr>
            <w:tcW w:w="8640" w:type="dxa"/>
            <w:vAlign w:val="bottom"/>
          </w:tcPr>
          <w:p>
            <w:pPr>
              <w:spacing w:after="0"/>
              <w:rPr>
                <w:sz w:val="19"/>
                <w:szCs w:val="19"/>
                <w:color w:val="auto"/>
              </w:rPr>
            </w:pPr>
          </w:p>
        </w:tc>
        <w:tc>
          <w:tcPr>
            <w:tcW w:w="2780" w:type="dxa"/>
            <w:vAlign w:val="bottom"/>
          </w:tcPr>
          <w:p>
            <w:pPr>
              <w:ind w:left="920"/>
              <w:spacing w:after="0"/>
              <w:rPr>
                <w:sz w:val="20"/>
                <w:szCs w:val="20"/>
                <w:color w:val="auto"/>
              </w:rPr>
            </w:pPr>
            <w:r>
              <w:rPr>
                <w:rFonts w:ascii="Arial" w:cs="Arial" w:eastAsia="Arial" w:hAnsi="Arial"/>
                <w:sz w:val="18"/>
                <w:szCs w:val="18"/>
                <w:color w:val="auto"/>
              </w:rPr>
              <w:t>(San Jose LLC)</w:t>
            </w:r>
          </w:p>
        </w:tc>
      </w:tr>
      <w:tr>
        <w:trPr>
          <w:trHeight w:val="21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Santana Row Services, Inc.</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Santana Row ROF, Inc. (“ROF”)</w:t>
            </w:r>
          </w:p>
        </w:tc>
        <w:tc>
          <w:tcPr>
            <w:tcW w:w="278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 Rive Gauche San Jose, LLC</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37.5% (ROF)</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Straits Santana Row, LLC</w:t>
            </w:r>
          </w:p>
        </w:tc>
        <w:tc>
          <w:tcPr>
            <w:tcW w:w="2780" w:type="dxa"/>
            <w:vAlign w:val="bottom"/>
          </w:tcPr>
          <w:p>
            <w:pPr>
              <w:ind w:left="920"/>
              <w:spacing w:after="0"/>
              <w:rPr>
                <w:sz w:val="20"/>
                <w:szCs w:val="20"/>
                <w:color w:val="auto"/>
              </w:rPr>
            </w:pPr>
            <w:r>
              <w:rPr>
                <w:rFonts w:ascii="Arial" w:cs="Arial" w:eastAsia="Arial" w:hAnsi="Arial"/>
                <w:sz w:val="18"/>
                <w:szCs w:val="18"/>
                <w:color w:val="auto"/>
              </w:rPr>
              <w:t>90% (ROF)</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Blowfish SR, LLC</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30% (ROF)</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Village Café Santana Row, LLC</w:t>
            </w:r>
          </w:p>
        </w:tc>
        <w:tc>
          <w:tcPr>
            <w:tcW w:w="2780" w:type="dxa"/>
            <w:vAlign w:val="bottom"/>
          </w:tcPr>
          <w:p>
            <w:pPr>
              <w:ind w:left="920"/>
              <w:spacing w:after="0"/>
              <w:rPr>
                <w:sz w:val="20"/>
                <w:szCs w:val="20"/>
                <w:color w:val="auto"/>
              </w:rPr>
            </w:pPr>
            <w:r>
              <w:rPr>
                <w:rFonts w:ascii="Arial" w:cs="Arial" w:eastAsia="Arial" w:hAnsi="Arial"/>
                <w:sz w:val="18"/>
                <w:szCs w:val="18"/>
                <w:color w:val="auto"/>
              </w:rPr>
              <w:t>49% (ROF)</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Yankee Pier Santana Row, LLC</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75% (ROF)</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Pizza Antica, LLC</w:t>
            </w:r>
          </w:p>
        </w:tc>
        <w:tc>
          <w:tcPr>
            <w:tcW w:w="2780" w:type="dxa"/>
            <w:vAlign w:val="bottom"/>
          </w:tcPr>
          <w:p>
            <w:pPr>
              <w:ind w:left="920"/>
              <w:spacing w:after="0"/>
              <w:rPr>
                <w:sz w:val="20"/>
                <w:szCs w:val="20"/>
                <w:color w:val="auto"/>
              </w:rPr>
            </w:pPr>
            <w:r>
              <w:rPr>
                <w:rFonts w:ascii="Arial" w:cs="Arial" w:eastAsia="Arial" w:hAnsi="Arial"/>
                <w:sz w:val="18"/>
                <w:szCs w:val="18"/>
                <w:color w:val="auto"/>
              </w:rPr>
              <w:t>20% (ROF)</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Sino, LLC (f/k/a Red Lantern Restaurant, LLC)</w:t>
            </w:r>
          </w:p>
        </w:tc>
        <w:tc>
          <w:tcPr>
            <w:tcW w:w="2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90% (ROF)</w:t>
            </w: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Santana Grill Partners, LP</w:t>
            </w:r>
          </w:p>
        </w:tc>
        <w:tc>
          <w:tcPr>
            <w:tcW w:w="2780" w:type="dxa"/>
            <w:vAlign w:val="bottom"/>
          </w:tcPr>
          <w:p>
            <w:pPr>
              <w:ind w:left="920"/>
              <w:spacing w:after="0"/>
              <w:rPr>
                <w:sz w:val="20"/>
                <w:szCs w:val="20"/>
                <w:color w:val="auto"/>
              </w:rPr>
            </w:pPr>
            <w:r>
              <w:rPr>
                <w:rFonts w:ascii="Arial" w:cs="Arial" w:eastAsia="Arial" w:hAnsi="Arial"/>
                <w:sz w:val="18"/>
                <w:szCs w:val="18"/>
                <w:color w:val="auto"/>
              </w:rPr>
              <w:t>29.167% (ROF)</w:t>
            </w:r>
          </w:p>
        </w:tc>
      </w:tr>
      <w:tr>
        <w:trPr>
          <w:trHeight w:val="370"/>
        </w:trPr>
        <w:tc>
          <w:tcPr>
            <w:tcW w:w="8640" w:type="dxa"/>
            <w:vAlign w:val="bottom"/>
          </w:tcPr>
          <w:p>
            <w:pPr>
              <w:spacing w:after="0"/>
              <w:rPr>
                <w:sz w:val="20"/>
                <w:szCs w:val="20"/>
                <w:color w:val="auto"/>
              </w:rPr>
            </w:pPr>
            <w:r>
              <w:rPr>
                <w:rFonts w:ascii="Arial" w:cs="Arial" w:eastAsia="Arial" w:hAnsi="Arial"/>
                <w:sz w:val="18"/>
                <w:szCs w:val="18"/>
                <w:color w:val="auto"/>
              </w:rPr>
              <w:t>Santana Row Association, a California non-profit mutual benefit corporation</w:t>
            </w:r>
          </w:p>
        </w:tc>
        <w:tc>
          <w:tcPr>
            <w:tcW w:w="2780" w:type="dxa"/>
            <w:vAlign w:val="bottom"/>
          </w:tcPr>
          <w:p>
            <w:pPr>
              <w:spacing w:after="0"/>
              <w:rPr>
                <w:sz w:val="24"/>
                <w:szCs w:val="24"/>
                <w:color w:val="auto"/>
              </w:rPr>
            </w:pPr>
          </w:p>
        </w:tc>
      </w:tr>
      <w:tr>
        <w:trPr>
          <w:trHeight w:val="378"/>
        </w:trPr>
        <w:tc>
          <w:tcPr>
            <w:tcW w:w="8640" w:type="dxa"/>
            <w:vAlign w:val="bottom"/>
          </w:tcPr>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tc>
        <w:tc>
          <w:tcPr>
            <w:tcW w:w="278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D-3</w:t>
      </w:r>
    </w:p>
    <w:p>
      <w:pPr>
        <w:sectPr>
          <w:pgSz w:w="11900" w:h="16838" w:orient="portrait"/>
          <w:cols w:equalWidth="0" w:num="1">
            <w:col w:w="11420"/>
          </w:cols>
          <w:pgMar w:left="240" w:top="288" w:right="239" w:bottom="1440" w:gutter="0" w:footer="0" w:header="0"/>
        </w:sectPr>
      </w:pPr>
    </w:p>
    <w:bookmarkStart w:id="42" w:name="page43"/>
    <w:bookmarkEnd w:id="42"/>
    <w:p>
      <w:pPr>
        <w:ind w:left="10400"/>
        <w:spacing w:after="0"/>
        <w:rPr>
          <w:sz w:val="20"/>
          <w:szCs w:val="20"/>
          <w:color w:val="auto"/>
        </w:rPr>
      </w:pPr>
      <w:r>
        <w:rPr>
          <w:rFonts w:ascii="Arial" w:cs="Arial" w:eastAsia="Arial" w:hAnsi="Arial"/>
          <w:sz w:val="18"/>
          <w:szCs w:val="18"/>
          <w:b w:val="1"/>
          <w:bCs w:val="1"/>
          <w:color w:val="auto"/>
        </w:rPr>
        <w:t>EXHIBIT 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28,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Wachovia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November 28, 2006 (the “Underwriting Agreement”), between the Company on the one hand and Wachovia Capital Markets, LLC, Citigroup Global Markets Inc., Bear, Stearns &amp; Co. Inc., Banc of America Securities LLC, Commerzbank Capital Markets Corp., J.P. Morgan Securities Inc., Piper Jaffray &amp; Co., PNC Capital Markets LLC and SunTrust Capital Markets, Inc.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w:t>
      </w:r>
    </w:p>
    <w:p>
      <w:pPr>
        <w:sectPr>
          <w:pgSz w:w="11900" w:h="16838" w:orient="portrait"/>
          <w:cols w:equalWidth="0" w:num="1">
            <w:col w:w="11420"/>
          </w:cols>
          <w:pgMar w:left="240" w:top="125" w:right="239" w:bottom="1440" w:gutter="0" w:footer="0" w:header="0"/>
        </w:sectPr>
      </w:pPr>
    </w:p>
    <w:bookmarkStart w:id="43" w:name="page44"/>
    <w:bookmarkEnd w:id="4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are Wachovia Capital Markets, LLC and Citigroup Global Markets Inc., and the addresses of the Representatives referred to in such Section 12 are set forth in Schedule II hereto.</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4" w:name="page45"/>
    <w:bookmarkEnd w:id="44"/>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Wachovia Capital Markets,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Teresa Hee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Teresa Hee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Shea</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Chris Shea</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40" w:type="dxa"/>
            <w:vAlign w:val="bottom"/>
            <w:gridSpan w:val="3"/>
          </w:tcPr>
          <w:p>
            <w:pPr>
              <w:ind w:left="1280"/>
              <w:spacing w:after="0"/>
              <w:rPr>
                <w:sz w:val="20"/>
                <w:szCs w:val="20"/>
                <w:color w:val="auto"/>
              </w:rPr>
            </w:pPr>
            <w:r>
              <w:rPr>
                <w:rFonts w:ascii="Arial" w:cs="Arial" w:eastAsia="Arial" w:hAnsi="Arial"/>
                <w:sz w:val="18"/>
                <w:szCs w:val="18"/>
                <w:color w:val="auto"/>
              </w:rPr>
              <w:t>SCHEDULE I</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5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5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5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Total</w:t>
            </w:r>
          </w:p>
        </w:tc>
        <w:tc>
          <w:tcPr>
            <w:tcW w:w="6440" w:type="dxa"/>
            <w:vAlign w:val="bottom"/>
            <w:gridSpan w:val="3"/>
          </w:tcPr>
          <w:p>
            <w:pPr>
              <w:ind w:left="63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6" w:name="page47"/>
    <w:bookmarkEnd w:id="4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5.40% Notes due 2013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$135,000,000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 of the principal amount of the Designated Securities, plus accrued interest, if any, from December 1,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99.375% of the principal amount of the Designated Securities, plus accrued interest from December 1,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5.40%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commencing June 1, 2007</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8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p.m. (Eastern time) on November 28, 2006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Sidley Austin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Wachovia Capital Markets, LLC and Citigroup Global Markets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pacing w:after="0" w:line="90"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c/o</w:t>
        <w:tab/>
        <w:t>Wachovia Capital Markets, LLC</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NC0602</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Charlotte, NC 28288</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00"/>
          </w:cols>
          <w:pgMar w:left="240" w:top="274" w:right="1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5.40% Note due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CUSIP No. 313747AP2</w:t>
            </w:r>
          </w:p>
        </w:tc>
        <w:tc>
          <w:tcPr>
            <w:tcW w:w="5340" w:type="dxa"/>
            <w:vAlign w:val="bottom"/>
          </w:tcPr>
          <w:p>
            <w:pPr>
              <w:jc w:val="right"/>
              <w:spacing w:after="0"/>
              <w:rPr>
                <w:sz w:val="20"/>
                <w:szCs w:val="20"/>
                <w:color w:val="auto"/>
              </w:rPr>
            </w:pPr>
            <w:r>
              <w:rPr>
                <w:rFonts w:ascii="Arial" w:cs="Arial" w:eastAsia="Arial" w:hAnsi="Arial"/>
                <w:sz w:val="18"/>
                <w:szCs w:val="18"/>
                <w:color w:val="auto"/>
              </w:rPr>
              <w:t>$135,000,000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Thirty-Five Million Dollars on December 1, 2013 (the “Stated Maturity Date”) or the date fixed for earlier redemption (the “Redemption Date,” and together with the Stated Maturity Date with respect to principal repayable on such date, the “Maturity Date”), and to pay interest thereon from December 1, 2006 or from the most recent interest payment date to which interest has been paid or duly provided for, semi-annually on June 1 and December 1 in each year (each, an “Interest Payment Date”), commencing June 1, 2007, at the rate of 5.40%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or November 15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9" w:name="page50"/>
    <w:bookmarkEnd w:id="49"/>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47"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December 1, 2006,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0" w:name="page51"/>
    <w:bookmarkEnd w:id="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240"/>
          </w:cols>
          <w:pgMar w:left="240" w:top="280" w:right="41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5.40% Note due 2013</w:t>
      </w:r>
    </w:p>
    <w:p>
      <w:pPr>
        <w:spacing w:after="0" w:line="171"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“5.40% Notes due 2013” (collectively, the “Notes”), and the aggregate principal amount of the Notes to be issued under such series is initially limited to $135,000,000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w:t>
      </w:r>
    </w:p>
    <w:p>
      <w:pPr>
        <w:spacing w:after="0" w:line="38" w:lineRule="exact"/>
        <w:rPr>
          <w:sz w:val="20"/>
          <w:szCs w:val="20"/>
          <w:color w:val="auto"/>
        </w:rPr>
      </w:pPr>
    </w:p>
    <w:p>
      <w:pPr>
        <w:ind w:right="60" w:firstLine="8"/>
        <w:spacing w:after="0" w:line="252"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(fifteen one-hundredths of one percent)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52" w:name="page53"/>
    <w:bookmarkEnd w:id="52"/>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Issue, assuming a price for the Comparable Treasury Issue (expressed as a percentage of its principal amount) equal to the Comparable Treasury Price for such Redemption Date.</w:t>
      </w:r>
    </w:p>
    <w:p>
      <w:pPr>
        <w:spacing w:after="0" w:line="51"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right="22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3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(1) Citigroup Global Markets Inc. and other primary U.S. Government securities dealers in New York City selected by Wachovia Capital Markets, LLC, and their respective successors; provided, however, that if Citigroup Global Markets Inc. ceases to be a primary U.S. Government securities dealer (a “Primary Treasury Dealer”), the Company will substitute therefor another Primary Treasury Dealer; and (2) any other Primary Treasury Dealer selected by the Company.</w:t>
      </w:r>
    </w:p>
    <w:p>
      <w:pPr>
        <w:spacing w:after="0" w:line="62"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3" w:name="page54"/>
    <w:bookmarkEnd w:id="5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8"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40" w:firstLine="8"/>
        <w:spacing w:after="0" w:line="253"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4" w:name="page55"/>
    <w:bookmarkEnd w:id="54"/>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60" w:firstLine="438"/>
        <w:spacing w:after="0" w:line="357"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jc w:val="both"/>
        <w:ind w:left="460" w:right="180" w:firstLine="438"/>
        <w:spacing w:after="0" w:line="259" w:lineRule="auto"/>
        <w:rPr>
          <w:sz w:val="20"/>
          <w:szCs w:val="20"/>
          <w:color w:val="auto"/>
        </w:rPr>
      </w:pPr>
      <w:r>
        <w:rPr>
          <w:rFonts w:ascii="Arial" w:cs="Arial" w:eastAsia="Arial" w:hAnsi="Arial"/>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5" w:name="page56"/>
    <w:bookmarkEnd w:id="55"/>
    <w:p>
      <w:pPr>
        <w:ind w:right="70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Income Available for Debt Service”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32"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“Funds from Operations”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56" w:name="page57"/>
    <w:bookmarkEnd w:id="56"/>
    <w:p>
      <w:pPr>
        <w:ind w:left="460" w:right="16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1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July 28, 2006,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40" w:lineRule="exact"/>
        <w:rPr>
          <w:sz w:val="20"/>
          <w:szCs w:val="20"/>
          <w:color w:val="auto"/>
        </w:rPr>
      </w:pPr>
    </w:p>
    <w:p>
      <w:pPr>
        <w:jc w:val="center"/>
        <w:ind w:left="740" w:right="420"/>
        <w:spacing w:after="0" w:line="440"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$1,000 and any integral multiple thereof. 9</w:t>
      </w:r>
    </w:p>
    <w:p>
      <w:pPr>
        <w:sectPr>
          <w:pgSz w:w="11900" w:h="16838" w:orient="portrait"/>
          <w:cols w:equalWidth="0" w:num="1">
            <w:col w:w="11380"/>
          </w:cols>
          <w:pgMar w:left="240" w:top="280" w:right="279" w:bottom="1440" w:gutter="0" w:footer="0" w:header="0"/>
        </w:sectPr>
      </w:pPr>
    </w:p>
    <w:bookmarkStart w:id="57" w:name="page58"/>
    <w:bookmarkEnd w:id="57"/>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LETTERHEAD]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Federal Realty Investment Trust</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Underwritten Public Offering of</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$135,000,000 of its 5.40% Notes due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 the Securities and Exchange Commission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 prospectus supplement dated November 28, 2006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to the prospectus dated June 20, 2006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registration statement on Form S-3 (File No. 333-135159)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is an “automatic shelf registration statement” as defined under Rule 405 of the Act and which was filed on June 20, 2006. The Base Prospectus and the Prospectus Supplement are together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relates to the issuance and sale by the Company of $135,000,000 of its 5.40% Notes due 2013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Underwriting Agreement dated November 28, 2006 between the Company 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November 28, 2006 between the Company and the Underwriters (the “</w:t>
      </w:r>
      <w:r>
        <w:rPr>
          <w:rFonts w:ascii="Arial" w:cs="Arial" w:eastAsia="Arial" w:hAnsi="Arial"/>
          <w:sz w:val="16"/>
          <w:szCs w:val="16"/>
          <w:b w:val="1"/>
          <w:bCs w:val="1"/>
          <w:color w:val="auto"/>
        </w:rPr>
        <w:t>Pricing 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will be offered and sold pursuant to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dated as of September 1, 1998 between the Company and U.S. Bank National Association, successor to Wachovia Bank, National Association, successor to First Union National Bank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90" w:lineRule="exact"/>
        <w:rPr>
          <w:sz w:val="20"/>
          <w:szCs w:val="20"/>
          <w:color w:val="auto"/>
        </w:rPr>
      </w:pPr>
    </w:p>
    <w:p>
      <w:pPr>
        <w:ind w:left="1140" w:hanging="56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Indenture, as certified by the Secretary of the Company on November 28, 2006;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5" w:lineRule="exact"/>
        <w:rPr>
          <w:sz w:val="20"/>
          <w:szCs w:val="20"/>
          <w:color w:val="auto"/>
        </w:rPr>
      </w:pPr>
    </w:p>
    <w:p>
      <w:pPr>
        <w:ind w:left="1140" w:right="80" w:hanging="565"/>
        <w:spacing w:after="0" w:line="268"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certified by the Maryland State Department of Assessments and Taxation on November 20, 2006;</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Amended and Restated Bylaws, as amended, of the Company, as certified by the Secretary of the Company on November 28, 2006;</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Notes;</w:t>
      </w:r>
    </w:p>
    <w:p>
      <w:pPr>
        <w:spacing w:after="0" w:line="90" w:lineRule="exact"/>
        <w:rPr>
          <w:rFonts w:ascii="Arial" w:cs="Arial" w:eastAsia="Arial" w:hAnsi="Arial"/>
          <w:sz w:val="18"/>
          <w:szCs w:val="18"/>
          <w:color w:val="auto"/>
        </w:rPr>
      </w:pPr>
    </w:p>
    <w:p>
      <w:pPr>
        <w:ind w:left="1140" w:right="20" w:hanging="565"/>
        <w:spacing w:after="0" w:line="268"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resolutions adopted by the Board of Trustees of the Company on February 13, 2004, February 17, 2006, October 12, 2006 and November 2, 2006 (the “</w:t>
      </w:r>
      <w:r>
        <w:rPr>
          <w:rFonts w:ascii="Arial" w:cs="Arial" w:eastAsia="Arial" w:hAnsi="Arial"/>
          <w:sz w:val="18"/>
          <w:szCs w:val="18"/>
          <w:b w:val="1"/>
          <w:bCs w:val="1"/>
          <w:color w:val="auto"/>
        </w:rPr>
        <w:t>Board Resolutions</w:t>
      </w:r>
      <w:r>
        <w:rPr>
          <w:rFonts w:ascii="Arial" w:cs="Arial" w:eastAsia="Arial" w:hAnsi="Arial"/>
          <w:sz w:val="18"/>
          <w:szCs w:val="18"/>
          <w:color w:val="auto"/>
        </w:rPr>
        <w:t>”), as certified by the Secretary of the Company on November 28, 2006;</w:t>
      </w:r>
    </w:p>
    <w:p>
      <w:pPr>
        <w:spacing w:after="0" w:line="44" w:lineRule="exact"/>
        <w:rPr>
          <w:rFonts w:ascii="Arial" w:cs="Arial" w:eastAsia="Arial" w:hAnsi="Arial"/>
          <w:sz w:val="18"/>
          <w:szCs w:val="18"/>
          <w:color w:val="auto"/>
        </w:rPr>
      </w:pPr>
    </w:p>
    <w:p>
      <w:pPr>
        <w:ind w:left="1140" w:hanging="565"/>
        <w:spacing w:after="0" w:line="361" w:lineRule="auto"/>
        <w:tabs>
          <w:tab w:leader="none" w:pos="11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resolutions adopted by the Pricing Committee of the Board of Trustees of the Company on November 28, 2006 (the “</w:t>
      </w:r>
      <w:r>
        <w:rPr>
          <w:rFonts w:ascii="Arial" w:cs="Arial" w:eastAsia="Arial" w:hAnsi="Arial"/>
          <w:sz w:val="15"/>
          <w:szCs w:val="15"/>
          <w:b w:val="1"/>
          <w:bCs w:val="1"/>
          <w:color w:val="auto"/>
        </w:rPr>
        <w:t>Pricing Committee</w:t>
      </w:r>
      <w:r>
        <w:rPr>
          <w:rFonts w:ascii="Arial" w:cs="Arial" w:eastAsia="Arial" w:hAnsi="Arial"/>
          <w:sz w:val="15"/>
          <w:szCs w:val="15"/>
          <w:color w:val="auto"/>
        </w:rPr>
        <w:t xml:space="preserve"> </w:t>
      </w:r>
      <w:r>
        <w:rPr>
          <w:rFonts w:ascii="Arial" w:cs="Arial" w:eastAsia="Arial" w:hAnsi="Arial"/>
          <w:sz w:val="15"/>
          <w:szCs w:val="15"/>
          <w:b w:val="1"/>
          <w:bCs w:val="1"/>
          <w:color w:val="auto"/>
        </w:rPr>
        <w:t>Resolutions</w:t>
      </w:r>
      <w:r>
        <w:rPr>
          <w:rFonts w:ascii="Arial" w:cs="Arial" w:eastAsia="Arial" w:hAnsi="Arial"/>
          <w:sz w:val="15"/>
          <w:szCs w:val="15"/>
          <w:color w:val="auto"/>
        </w:rPr>
        <w:t>” and, together with the Board Resolutions, the “</w:t>
      </w:r>
      <w:r>
        <w:rPr>
          <w:rFonts w:ascii="Arial" w:cs="Arial" w:eastAsia="Arial" w:hAnsi="Arial"/>
          <w:sz w:val="15"/>
          <w:szCs w:val="15"/>
          <w:b w:val="1"/>
          <w:bCs w:val="1"/>
          <w:color w:val="auto"/>
        </w:rPr>
        <w:t>Resolutions</w:t>
      </w:r>
      <w:r>
        <w:rPr>
          <w:rFonts w:ascii="Arial" w:cs="Arial" w:eastAsia="Arial" w:hAnsi="Arial"/>
          <w:sz w:val="15"/>
          <w:szCs w:val="15"/>
          <w:color w:val="auto"/>
        </w:rPr>
        <w:t>”), as certified by the Secretary of the Company on November 28, 2006;</w:t>
      </w:r>
    </w:p>
    <w:p>
      <w:pPr>
        <w:ind w:left="1140" w:hanging="56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1140" w:right="180" w:hanging="565"/>
        <w:spacing w:after="0" w:line="268"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ectPr>
          <w:pgSz w:w="11900" w:h="16838" w:orient="portrait"/>
          <w:cols w:equalWidth="0" w:num="1">
            <w:col w:w="11380"/>
          </w:cols>
          <w:pgMar w:left="240" w:top="280"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will constitute legally valid and binding obligations of the Company, enforceable against the Company in accordance with their terms when duly executed and delivered by the Company against payment therefor and countersigned or authenticated by the Trustee in accordance with the Indenture and delivered to and paid for by the purchasers of the Notes in the manner contemplated by the Underwriting Agreement.</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Notes are considered in a proceeding in equity or at law). Such opinions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opinion is limited to the laws of the United States, Maryland law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w:t>
      </w:r>
    </w:p>
    <w:p>
      <w:pPr>
        <w:sectPr>
          <w:pgSz w:w="11900" w:h="16838" w:orient="portrait"/>
          <w:cols w:equalWidth="0" w:num="1">
            <w:col w:w="11380"/>
          </w:cols>
          <w:pgMar w:left="240" w:top="280"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160"/>
          </w:cols>
          <w:pgMar w:left="240" w:top="280" w:right="4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LETTERHEAD]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28,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dated June 20, 2006 (the “Base Prospectus”), the prospectus supplement relating to the Notes dated November 28, 2006 (the “Prospectus Supplement”), and all documents incorporated and deemed to be incorporated by reference therein) with the Securities and Exchange Commission, relating to the issuance and sale by the Company of $135,000,000 aggregate principal amount of its 5.40% notes due 2013 (the “Notes”).</w:t>
      </w:r>
    </w:p>
    <w:p>
      <w:pPr>
        <w:spacing w:after="0" w:line="1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(2006) taxable year and for future taxable years, and (iii) the discussions in (x) the Base Prospectus under the caption “Federal Income Tax Consequences,” (y) the Prospectus Supplement under the caption “Certain Federal Income Tax Considerations,” and (z) the Company’s Annual Report on Form 10-K for the year ended December 31, 2005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“Federal Income Tax Consequences” are hereby confirmed.</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12.1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Income from continuing operations before minority interests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rPr>
              <w:t>income or loss from equity investees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72,254</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65,309</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87,883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66,897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41,281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90,491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87,023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77,120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income of subsidiaries with no fixed charges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148,574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131,265</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177,146</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152,687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147,227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105,774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75,183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65,554</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88,566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65,058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96,182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Ratio of earnings to fixed charges (A divided by B)</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lvl w:ilvl="1">
      <w:lvlJc w:val="left"/>
      <w:lvlText w:val="(%2)"/>
      <w:numFmt w:val="lowerLetter"/>
      <w:start w:val="1"/>
    </w:lvl>
  </w:abstractNum>
  <w:abstractNum w:abstractNumId="2">
    <w:nsid w:val="3F2DBA31"/>
    <w:multiLevelType w:val="hybridMultilevel"/>
    <w:lvl w:ilvl="0">
      <w:lvlJc w:val="left"/>
      <w:lvlText w:val="(%1)"/>
      <w:numFmt w:val="lowerLetter"/>
      <w:start w:val="3"/>
    </w:lvl>
  </w:abstractNum>
  <w:abstractNum w:abstractNumId="3">
    <w:nsid w:val="7C83E458"/>
    <w:multiLevelType w:val="hybridMultilevel"/>
    <w:lvl w:ilvl="0">
      <w:lvlJc w:val="left"/>
      <w:lvlText w:val="%1)"/>
      <w:numFmt w:val="decimal"/>
      <w:start w:val="163"/>
    </w:lvl>
    <w:lvl w:ilvl="1">
      <w:lvlJc w:val="left"/>
      <w:lvlText w:val="(%2)"/>
      <w:numFmt w:val="upperLetter"/>
      <w:start w:val="1"/>
    </w:lvl>
  </w:abstractNum>
  <w:abstractNum w:abstractNumId="4">
    <w:nsid w:val="257130A3"/>
    <w:multiLevelType w:val="hybridMultilevel"/>
    <w:lvl w:ilvl="0">
      <w:lvlJc w:val="left"/>
      <w:lvlText w:val="(%1)"/>
      <w:numFmt w:val="lowerLetter"/>
      <w:start w:val="4"/>
    </w:lvl>
  </w:abstractNum>
  <w:abstractNum w:abstractNumId="5">
    <w:nsid w:val="62BBD95A"/>
    <w:multiLevelType w:val="hybridMultilevel"/>
    <w:lvl w:ilvl="0">
      <w:lvlJc w:val="left"/>
      <w:lvlText w:val="(%1)"/>
      <w:numFmt w:val="lowerLetter"/>
      <w:start w:val="7"/>
    </w:lvl>
  </w:abstractNum>
  <w:abstractNum w:abstractNumId="6">
    <w:nsid w:val="436C6125"/>
    <w:multiLevelType w:val="hybridMultilevel"/>
    <w:lvl w:ilvl="0">
      <w:lvlJc w:val="left"/>
      <w:lvlText w:val="(%1)"/>
      <w:numFmt w:val="lowerLetter"/>
      <w:start w:val="10"/>
    </w:lvl>
  </w:abstractNum>
  <w:abstractNum w:abstractNumId="7">
    <w:nsid w:val="628C895D"/>
    <w:multiLevelType w:val="hybridMultilevel"/>
    <w:lvl w:ilvl="0">
      <w:lvlJc w:val="left"/>
      <w:lvlText w:val="(%1)"/>
      <w:numFmt w:val="lowerLetter"/>
      <w:start w:val="13"/>
    </w:lvl>
  </w:abstractNum>
  <w:abstractNum w:abstractNumId="8">
    <w:nsid w:val="333AB105"/>
    <w:multiLevelType w:val="hybridMultilevel"/>
    <w:lvl w:ilvl="0">
      <w:lvlJc w:val="left"/>
      <w:lvlText w:val="%1"/>
      <w:numFmt w:val="decimal"/>
      <w:start w:val="1"/>
    </w:lvl>
    <w:lvl w:ilvl="1">
      <w:lvlJc w:val="left"/>
      <w:lvlText w:val="(%2)"/>
      <w:numFmt w:val="lowerLetter"/>
      <w:start w:val="19"/>
    </w:lvl>
  </w:abstractNum>
  <w:abstractNum w:abstractNumId="9">
    <w:nsid w:val="721DA317"/>
    <w:multiLevelType w:val="hybridMultilevel"/>
    <w:lvl w:ilvl="0">
      <w:lvlJc w:val="left"/>
      <w:lvlText w:val="%1."/>
      <w:numFmt w:val="decimal"/>
      <w:start w:val="3"/>
    </w:lvl>
    <w:lvl w:ilvl="1">
      <w:lvlJc w:val="left"/>
      <w:lvlText w:val="(%2)"/>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Letter"/>
      <w:start w:val="3"/>
    </w:lvl>
  </w:abstractNum>
  <w:abstractNum w:abstractNumId="12">
    <w:nsid w:val="6763845E"/>
    <w:multiLevelType w:val="hybridMultilevel"/>
    <w:lvl w:ilvl="0">
      <w:lvlJc w:val="left"/>
      <w:lvlText w:val="(%1)"/>
      <w:numFmt w:val="lowerLetter"/>
      <w:start w:val="7"/>
    </w:lvl>
  </w:abstractNum>
  <w:abstractNum w:abstractNumId="13">
    <w:nsid w:val="75A2A8D4"/>
    <w:multiLevelType w:val="hybridMultilevel"/>
    <w:lvl w:ilvl="0">
      <w:lvlJc w:val="left"/>
      <w:lvlText w:val="%1"/>
      <w:numFmt w:val="lowerLetter"/>
      <w:start w:val="1"/>
    </w:lvl>
    <w:lvl w:ilvl="1">
      <w:lvlJc w:val="left"/>
      <w:lvlText w:val="(%2)"/>
      <w:numFmt w:val="lowerLetter"/>
      <w:start w:val="8"/>
    </w:lvl>
  </w:abstractNum>
  <w:abstractNum w:abstractNumId="14">
    <w:nsid w:val="8EDBDAB"/>
    <w:multiLevelType w:val="hybridMultilevel"/>
    <w:lvl w:ilvl="0">
      <w:lvlJc w:val="left"/>
      <w:lvlText w:val="(%1)"/>
      <w:numFmt w:val="lowerLetter"/>
      <w:start w:val="35"/>
    </w:lvl>
    <w:lvl w:ilvl="1">
      <w:lvlJc w:val="left"/>
      <w:lvlText w:val="(%2)"/>
      <w:numFmt w:val="lowerLetter"/>
      <w:start w:val="10"/>
    </w:lvl>
  </w:abstractNum>
  <w:abstractNum w:abstractNumId="15">
    <w:nsid w:val="79838CB2"/>
    <w:multiLevelType w:val="hybridMultilevel"/>
    <w:lvl w:ilvl="0">
      <w:lvlJc w:val="left"/>
      <w:lvlText w:val="%1."/>
      <w:numFmt w:val="decimal"/>
      <w:start w:val="6"/>
    </w:lvl>
    <w:lvl w:ilvl="1">
      <w:lvlJc w:val="left"/>
      <w:lvlText w:val="(%2)"/>
      <w:numFmt w:val="lowerLetter"/>
      <w:start w:val="1"/>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lowerLetter"/>
      <w:start w:val="5"/>
    </w:lvl>
  </w:abstractNum>
  <w:abstractNum w:abstractNumId="18">
    <w:nsid w:val="189A769B"/>
    <w:multiLevelType w:val="hybridMultilevel"/>
    <w:lvl w:ilvl="0">
      <w:lvlJc w:val="left"/>
      <w:lvlText w:val="(%1)"/>
      <w:numFmt w:val="lowerLetter"/>
      <w:start w:val="8"/>
    </w:lvl>
  </w:abstractNum>
  <w:abstractNum w:abstractNumId="19">
    <w:nsid w:val="54E49EB4"/>
    <w:multiLevelType w:val="hybridMultilevel"/>
    <w:lvl w:ilvl="0">
      <w:lvlJc w:val="left"/>
      <w:lvlText w:val="(%1)"/>
      <w:numFmt w:val="lowerLetter"/>
      <w:start w:val="2"/>
    </w:lvl>
  </w:abstractNum>
  <w:abstractNum w:abstractNumId="20">
    <w:nsid w:val="71F32454"/>
    <w:multiLevelType w:val="hybridMultilevel"/>
    <w:lvl w:ilvl="0">
      <w:lvlJc w:val="left"/>
      <w:lvlText w:val="%1"/>
      <w:numFmt w:val="lowerLetter"/>
      <w:start w:val="1"/>
    </w:lvl>
    <w:lvl w:ilvl="1">
      <w:lvlJc w:val="left"/>
      <w:lvlText w:val="(%2)"/>
      <w:numFmt w:val="lowerLetter"/>
      <w:start w:val="4"/>
    </w:lvl>
  </w:abstractNum>
  <w:abstractNum w:abstractNumId="21">
    <w:nsid w:val="2CA88611"/>
    <w:multiLevelType w:val="hybridMultilevel"/>
    <w:lvl w:ilvl="0">
      <w:lvlJc w:val="left"/>
      <w:lvlText w:val="(%1)"/>
      <w:numFmt w:val="lowerLetter"/>
      <w:start w:val="2"/>
    </w:lvl>
    <w:lvl w:ilvl="1">
      <w:lvlJc w:val="left"/>
      <w:lvlText w:val="%2"/>
      <w:numFmt w:val="lowerLetter"/>
      <w:start w:val="1"/>
    </w:lvl>
  </w:abstractNum>
  <w:abstractNum w:abstractNumId="22">
    <w:nsid w:val="836C40E"/>
    <w:multiLevelType w:val="hybridMultilevel"/>
    <w:lvl w:ilvl="0">
      <w:lvlJc w:val="left"/>
      <w:lvlText w:val="(%1)"/>
      <w:numFmt w:val="lowerLetter"/>
      <w:start w:val="5"/>
    </w:lvl>
  </w:abstractNum>
  <w:abstractNum w:abstractNumId="23">
    <w:nsid w:val="2901D82"/>
    <w:multiLevelType w:val="hybridMultilevel"/>
    <w:lvl w:ilvl="0">
      <w:lvlJc w:val="left"/>
      <w:lvlText w:val="(%1)"/>
      <w:numFmt w:val="lowerLetter"/>
      <w:start w:val="2"/>
    </w:lvl>
  </w:abstractNum>
  <w:abstractNum w:abstractNumId="24">
    <w:nsid w:val="3A95F874"/>
    <w:multiLevelType w:val="hybridMultilevel"/>
    <w:lvl w:ilvl="0">
      <w:lvlJc w:val="left"/>
      <w:lvlText w:val="%1."/>
      <w:numFmt w:val="decimal"/>
      <w:start w:val="10"/>
    </w:lvl>
  </w:abstractNum>
  <w:abstractNum w:abstractNumId="25">
    <w:nsid w:val="8138641"/>
    <w:multiLevelType w:val="hybridMultilevel"/>
    <w:lvl w:ilvl="0">
      <w:lvlJc w:val="left"/>
      <w:lvlText w:val="%1."/>
      <w:numFmt w:val="decimal"/>
      <w:start w:val="12"/>
    </w:lvl>
  </w:abstractNum>
  <w:abstractNum w:abstractNumId="26">
    <w:nsid w:val="1E7FF521"/>
    <w:multiLevelType w:val="hybridMultilevel"/>
    <w:lvl w:ilvl="0">
      <w:lvlJc w:val="left"/>
      <w:lvlText w:val="%1."/>
      <w:numFmt w:val="decimal"/>
      <w:start w:val="13"/>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lowerRoman"/>
      <w:start w:val="4"/>
    </w:lvl>
  </w:abstractNum>
  <w:abstractNum w:abstractNumId="31">
    <w:nsid w:val="4516DDE9"/>
    <w:multiLevelType w:val="hybridMultilevel"/>
    <w:lvl w:ilvl="0">
      <w:lvlJc w:val="left"/>
      <w:lvlText w:val="(%1)"/>
      <w:numFmt w:val="lowerRoman"/>
      <w:start w:val="3"/>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2019-12-13T00:53:05Z</dcterms:created>
  <dcterms:modified xsi:type="dcterms:W3CDTF">2019-12-13T00:53:05Z</dcterms:modified>
</cp:coreProperties>
</file>