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color w:val="DE1A1E"/>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21,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76" w:lineRule="exact"/>
        <w:rPr>
          <w:sz w:val="24"/>
          <w:szCs w:val="24"/>
          <w:color w:val="auto"/>
        </w:rPr>
      </w:pPr>
    </w:p>
    <w:p>
      <w:pPr>
        <w:ind w:left="51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24130</wp:posOffset>
            </wp:positionV>
            <wp:extent cx="2255520" cy="909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 Notes due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4"/>
          <w:szCs w:val="24"/>
          <w:color w:val="auto"/>
        </w:rPr>
      </w:pPr>
    </w:p>
    <w:p>
      <w:pPr>
        <w:ind w:right="220" w:firstLine="456"/>
        <w:spacing w:after="0" w:line="258" w:lineRule="auto"/>
        <w:rPr>
          <w:sz w:val="20"/>
          <w:szCs w:val="20"/>
          <w:color w:val="auto"/>
        </w:rPr>
      </w:pPr>
      <w:r>
        <w:rPr>
          <w:rFonts w:ascii="Arial" w:cs="Arial" w:eastAsia="Arial" w:hAnsi="Arial"/>
          <w:sz w:val="18"/>
          <w:szCs w:val="18"/>
          <w:color w:val="auto"/>
        </w:rPr>
        <w:t>We are offering $ aggregate principal amount of our % Notes due 2021. The notes will bear interest at the rate of % per year. Interest on the notes will be payable semi-annually in arears on and of each year, beginning on , 2016. The notes will mature on</w:t>
      </w:r>
    </w:p>
    <w:p>
      <w:pPr>
        <w:spacing w:after="0" w:line="1" w:lineRule="exact"/>
        <w:rPr>
          <w:sz w:val="24"/>
          <w:szCs w:val="24"/>
          <w:color w:val="auto"/>
        </w:rPr>
      </w:pPr>
    </w:p>
    <w:p>
      <w:pPr>
        <w:ind w:right="540" w:firstLine="908"/>
        <w:spacing w:after="0" w:line="261"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2021. We may redeem some or all of the notes at any time before maturity at the applicable redemption price discussed under the caption “Description of Notes — Optional Redemption.”</w:t>
      </w:r>
    </w:p>
    <w:p>
      <w:pPr>
        <w:spacing w:after="0" w:line="76" w:lineRule="exact"/>
        <w:rPr>
          <w:sz w:val="24"/>
          <w:szCs w:val="24"/>
          <w:color w:val="auto"/>
        </w:rPr>
      </w:pPr>
    </w:p>
    <w:p>
      <w:pPr>
        <w:ind w:right="120" w:firstLine="456"/>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73" w:lineRule="exact"/>
        <w:rPr>
          <w:sz w:val="24"/>
          <w:szCs w:val="24"/>
          <w:color w:val="auto"/>
        </w:rPr>
      </w:pPr>
    </w:p>
    <w:p>
      <w:pPr>
        <w:ind w:left="460"/>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9" w:lineRule="exact"/>
        <w:rPr>
          <w:sz w:val="24"/>
          <w:szCs w:val="24"/>
          <w:color w:val="auto"/>
        </w:rPr>
      </w:pPr>
    </w:p>
    <w:p>
      <w:pPr>
        <w:ind w:right="14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S-6 of this prospectus supplement, on page 3 of the accompanying prospectus and in our Annual Report on Form 10-K for the year ended December 31, 2014, filed with the Securities and Exchange Commission, or the SEC, on February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tbl>
      <w:tblPr>
        <w:tblLayout w:type="fixed"/>
        <w:tblInd w:w="1380" w:type="dxa"/>
        <w:tblCellMar>
          <w:top w:w="0" w:type="dxa"/>
          <w:left w:w="0" w:type="dxa"/>
          <w:bottom w:w="0" w:type="dxa"/>
          <w:right w:w="0" w:type="dxa"/>
        </w:tblCellMar>
      </w:tblPr>
      <w:tr>
        <w:trPr>
          <w:trHeight w:val="171"/>
        </w:trPr>
        <w:tc>
          <w:tcPr>
            <w:tcW w:w="7380" w:type="dxa"/>
            <w:vAlign w:val="bottom"/>
            <w:gridSpan w:val="2"/>
          </w:tcPr>
          <w:p>
            <w:pPr>
              <w:ind w:left="6840"/>
              <w:spacing w:after="0"/>
              <w:rPr>
                <w:sz w:val="20"/>
                <w:szCs w:val="20"/>
                <w:color w:val="auto"/>
              </w:rPr>
            </w:pPr>
            <w:r>
              <w:rPr>
                <w:rFonts w:ascii="Arial" w:cs="Arial" w:eastAsia="Arial" w:hAnsi="Arial"/>
                <w:sz w:val="14"/>
                <w:szCs w:val="14"/>
                <w:b w:val="1"/>
                <w:bCs w:val="1"/>
                <w:color w:val="auto"/>
                <w:w w:val="90"/>
              </w:rPr>
              <w:t>Per Note</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Public offering price </w:t>
            </w:r>
            <w:r>
              <w:rPr>
                <w:rFonts w:ascii="Arial" w:cs="Arial" w:eastAsia="Arial" w:hAnsi="Arial"/>
                <w:sz w:val="15"/>
                <w:szCs w:val="15"/>
                <w:color w:val="auto"/>
              </w:rPr>
              <w:t>(1)</w:t>
            </w: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161" w:lineRule="exact"/>
        <w:rPr>
          <w:sz w:val="24"/>
          <w:szCs w:val="24"/>
          <w:color w:val="auto"/>
        </w:rPr>
      </w:pPr>
    </w:p>
    <w:p>
      <w:pPr>
        <w:spacing w:after="0"/>
        <w:tabs>
          <w:tab w:leader="none" w:pos="4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6"/>
          <w:szCs w:val="16"/>
          <w:color w:val="auto"/>
        </w:rPr>
        <w:t>Plus accrued interest from</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 2015, if settlement occurs after that date.</w:t>
      </w:r>
    </w:p>
    <w:p>
      <w:pPr>
        <w:spacing w:after="0" w:line="140" w:lineRule="exact"/>
        <w:rPr>
          <w:sz w:val="24"/>
          <w:szCs w:val="24"/>
          <w:color w:val="auto"/>
        </w:rPr>
      </w:pPr>
    </w:p>
    <w:p>
      <w:pPr>
        <w:sectPr>
          <w:pgSz w:w="11900" w:h="16838" w:orient="portrait"/>
          <w:cols w:equalWidth="0" w:num="2">
            <w:col w:w="2520" w:space="720"/>
            <w:col w:w="8180"/>
          </w:cols>
          <w:pgMar w:left="240" w:top="230" w:right="239" w:bottom="1440" w:gutter="0" w:footer="0" w:header="0"/>
          <w:type w:val="continuous"/>
        </w:sectPr>
      </w:pP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color w:val="auto"/>
        </w:rPr>
        <w:t>about</w:t>
      </w:r>
    </w:p>
    <w:p>
      <w:pPr>
        <w:spacing w:after="0" w:line="20" w:lineRule="exact"/>
        <w:rPr>
          <w:sz w:val="24"/>
          <w:szCs w:val="24"/>
          <w:color w:val="auto"/>
        </w:rPr>
      </w:pPr>
      <w:r>
        <w:rPr>
          <w:sz w:val="24"/>
          <w:szCs w:val="24"/>
          <w:color w:val="auto"/>
        </w:rPr>
        <w:br w:type="column"/>
      </w:r>
    </w:p>
    <w:p>
      <w:pPr>
        <w:ind w:right="520" w:hanging="843"/>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 2015.</w:t>
      </w:r>
    </w:p>
    <w:p>
      <w:pPr>
        <w:spacing w:after="0" w:line="58" w:lineRule="exact"/>
        <w:rPr>
          <w:sz w:val="24"/>
          <w:szCs w:val="24"/>
          <w:color w:val="auto"/>
        </w:rPr>
      </w:pPr>
    </w:p>
    <w:p>
      <w:pPr>
        <w:sectPr>
          <w:pgSz w:w="11900" w:h="16838" w:orient="portrait"/>
          <w:cols w:equalWidth="0" w:num="2">
            <w:col w:w="580" w:space="720"/>
            <w:col w:w="10120"/>
          </w:cols>
          <w:pgMar w:left="240" w:top="230" w:right="239" w:bottom="1440" w:gutter="0" w:footer="0" w:header="0"/>
          <w:type w:val="continuous"/>
        </w:sectPr>
      </w:pPr>
    </w:p>
    <w:p>
      <w:pPr>
        <w:ind w:right="780" w:firstLine="456"/>
        <w:spacing w:after="0" w:line="347"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230" w:right="239" w:bottom="1440" w:gutter="0" w:footer="0" w:header="0"/>
          <w:type w:val="continuous"/>
        </w:sectPr>
      </w:pPr>
    </w:p>
    <w:p>
      <w:pPr>
        <w:spacing w:after="0" w:line="12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BofA Merrill Lynch</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145" w:lineRule="exact"/>
        <w:rPr>
          <w:sz w:val="24"/>
          <w:szCs w:val="24"/>
          <w:color w:val="auto"/>
        </w:rPr>
      </w:pPr>
    </w:p>
    <w:p>
      <w:pPr>
        <w:sectPr>
          <w:pgSz w:w="11900" w:h="16838" w:orient="portrait"/>
          <w:cols w:equalWidth="0" w:num="3">
            <w:col w:w="4000" w:space="720"/>
            <w:col w:w="4660" w:space="720"/>
            <w:col w:w="1320"/>
          </w:cols>
          <w:pgMar w:left="240" w:top="230" w:right="239" w:bottom="1440" w:gutter="0" w:footer="0" w:header="0"/>
          <w:type w:val="continuous"/>
        </w:sectPr>
      </w:pPr>
    </w:p>
    <w:p>
      <w:pPr>
        <w:ind w:left="3340"/>
        <w:spacing w:after="0"/>
        <w:rPr>
          <w:sz w:val="20"/>
          <w:szCs w:val="20"/>
          <w:color w:val="auto"/>
        </w:rPr>
      </w:pPr>
      <w:r>
        <w:rPr>
          <w:rFonts w:ascii="Arial" w:cs="Arial" w:eastAsia="Arial" w:hAnsi="Arial"/>
          <w:sz w:val="15"/>
          <w:szCs w:val="15"/>
          <w:b w:val="1"/>
          <w:bCs w:val="1"/>
          <w:color w:val="auto"/>
        </w:rPr>
        <w:t>The date of this prospectus supplement is September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 2015.</w:t>
      </w:r>
    </w:p>
    <w:p>
      <w:pPr>
        <w:sectPr>
          <w:pgSz w:w="11900" w:h="16838" w:orient="portrait"/>
          <w:cols w:equalWidth="0" w:num="2">
            <w:col w:w="7380" w:space="220"/>
            <w:col w:w="38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2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7"/>
            <w:vMerge w:val="continue"/>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624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Additional Material Federal Income Tax Considerations</w:t>
              </w:r>
            </w:hyperlink>
          </w:p>
        </w:tc>
        <w:tc>
          <w:tcPr>
            <w:tcW w:w="640" w:type="dxa"/>
            <w:vAlign w:val="bottom"/>
            <w:gridSpan w:val="2"/>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Underwriting (Conflicts of Interest)</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Experts</w:t>
              </w:r>
            </w:hyperlink>
          </w:p>
        </w:tc>
        <w:tc>
          <w:tcPr>
            <w:tcW w:w="2020" w:type="dxa"/>
            <w:vAlign w:val="bottom"/>
            <w:tcBorders>
              <w:top w:val="single" w:sz="8" w:color="0000EE"/>
            </w:tcBorders>
            <w:gridSpan w:val="7"/>
          </w:tcPr>
          <w:p>
            <w:pPr>
              <w:spacing w:after="0"/>
              <w:rPr>
                <w:sz w:val="17"/>
                <w:szCs w:val="17"/>
                <w:color w:val="auto"/>
              </w:rPr>
            </w:pPr>
          </w:p>
        </w:tc>
        <w:tc>
          <w:tcPr>
            <w:tcW w:w="2100" w:type="dxa"/>
            <w:vAlign w:val="bottom"/>
            <w:gridSpan w:val="3"/>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Legal Matters</w:t>
              </w:r>
            </w:hyperlink>
          </w:p>
        </w:tc>
        <w:tc>
          <w:tcPr>
            <w:tcW w:w="3660" w:type="dxa"/>
            <w:vAlign w:val="bottom"/>
            <w:gridSpan w:val="8"/>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vMerge w:val="restart"/>
          </w:tcPr>
          <w:p>
            <w:pPr>
              <w:spacing w:after="0"/>
              <w:rPr>
                <w:sz w:val="20"/>
                <w:szCs w:val="20"/>
                <w:color w:val="auto"/>
              </w:rPr>
            </w:pPr>
            <w:r>
              <w:rPr>
                <w:rFonts w:ascii="Arial" w:cs="Arial" w:eastAsia="Arial" w:hAnsi="Arial"/>
                <w:sz w:val="18"/>
                <w:szCs w:val="18"/>
                <w:color w:val="auto"/>
              </w:rPr>
              <w:t>About this Prospectus</w:t>
            </w:r>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676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Prospectus Summary</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Risk Factors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Use of Proceeds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Description of Shares of Beneficial Interest</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Material Federal Income Tax Considerations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Plan of Distribution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Legal Matters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Experts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2014, filed with the SEC on February 10, 2015,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45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545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June 30, 2015, we owned or had a majority interest in community and neighborhood shopping centers and mixed-use properties which are operated as 90 predominantly retail real estate projects comprising 20.8 million square feet (excludes unconsolidated joint venture properties). In total, the real estate projects were 95.7% leased and 94.9% occupied at June 30, 2015. A joint venture in which we own a 30% interest owned six retail real estate projects totaling 0.8 million square feet as of June 30, 2015. In total, the joint venture properties in which we own a 30% interest were 92.6% leased and 85.8% occupied at June 30, 2015. We have paid quarterly dividends to our shareholders continuously since our founding in 1962 and have increased our dividends per common share for 48 consecutive years.</w:t>
      </w:r>
    </w:p>
    <w:p>
      <w:pPr>
        <w:spacing w:after="0" w:line="166"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7"/>
          <w:szCs w:val="17"/>
          <w:i w:val="1"/>
          <w:iCs w:val="1"/>
          <w:color w:val="auto"/>
        </w:rPr>
        <w:t>www.federalrealty.com</w:t>
      </w:r>
      <w:r>
        <w:rPr>
          <w:rFonts w:ascii="Arial" w:cs="Arial" w:eastAsia="Arial" w:hAnsi="Arial"/>
          <w:sz w:val="17"/>
          <w:szCs w:val="17"/>
          <w:color w:val="auto"/>
        </w:rPr>
        <w:t>. The information contained on our website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Six Months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7"/>
              </w:rPr>
              <w:t>For the Years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 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180" w:type="dxa"/>
            <w:vAlign w:val="bottom"/>
            <w:tcBorders>
              <w:top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180" w:type="dxa"/>
            <w:vAlign w:val="bottom"/>
            <w:tcBorders>
              <w:top w:val="single" w:sz="8" w:color="auto"/>
            </w:tcBorders>
            <w:shd w:val="clear" w:color="auto" w:fill="CCEEFF"/>
          </w:tcPr>
          <w:p>
            <w:pPr>
              <w:jc w:val="right"/>
              <w:ind w:right="384"/>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20" w:hanging="3"/>
        <w:spacing w:after="0" w:line="254" w:lineRule="auto"/>
        <w:tabs>
          <w:tab w:leader="none" w:pos="44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413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7413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Issuer</w:t>
            </w:r>
          </w:p>
        </w:tc>
        <w:tc>
          <w:tcPr>
            <w:tcW w:w="4580" w:type="dxa"/>
            <w:vAlign w:val="bottom"/>
            <w:gridSpan w:val="3"/>
          </w:tcPr>
          <w:p>
            <w:pPr>
              <w:ind w:left="900"/>
              <w:spacing w:after="0"/>
              <w:rPr>
                <w:sz w:val="20"/>
                <w:szCs w:val="20"/>
                <w:color w:val="auto"/>
              </w:rPr>
            </w:pPr>
            <w:r>
              <w:rPr>
                <w:rFonts w:ascii="Arial" w:cs="Arial" w:eastAsia="Arial" w:hAnsi="Arial"/>
                <w:sz w:val="18"/>
                <w:szCs w:val="18"/>
                <w:color w:val="auto"/>
              </w:rPr>
              <w:t>Federal Realty Investment Trust.</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3"/>
        </w:trPr>
        <w:tc>
          <w:tcPr>
            <w:tcW w:w="3300" w:type="dxa"/>
            <w:vAlign w:val="bottom"/>
          </w:tcPr>
          <w:p>
            <w:pPr>
              <w:spacing w:after="0"/>
              <w:rPr>
                <w:sz w:val="20"/>
                <w:szCs w:val="20"/>
                <w:color w:val="auto"/>
              </w:rPr>
            </w:pPr>
            <w:r>
              <w:rPr>
                <w:rFonts w:ascii="Arial" w:cs="Arial" w:eastAsia="Arial" w:hAnsi="Arial"/>
                <w:sz w:val="18"/>
                <w:szCs w:val="18"/>
                <w:color w:val="auto"/>
              </w:rPr>
              <w:t>Securities offered</w:t>
            </w:r>
          </w:p>
        </w:tc>
        <w:tc>
          <w:tcPr>
            <w:tcW w:w="1440" w:type="dxa"/>
            <w:vAlign w:val="bottom"/>
          </w:tcPr>
          <w:p>
            <w:pPr>
              <w:ind w:left="900"/>
              <w:spacing w:after="0"/>
              <w:rPr>
                <w:sz w:val="20"/>
                <w:szCs w:val="20"/>
                <w:color w:val="auto"/>
              </w:rPr>
            </w:pPr>
            <w:r>
              <w:rPr>
                <w:rFonts w:ascii="Arial" w:cs="Arial" w:eastAsia="Arial" w:hAnsi="Arial"/>
                <w:sz w:val="18"/>
                <w:szCs w:val="18"/>
                <w:color w:val="auto"/>
              </w:rPr>
              <w:t>$</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million aggregate principal amount of</w:t>
            </w:r>
          </w:p>
        </w:tc>
        <w:tc>
          <w:tcPr>
            <w:tcW w:w="1680" w:type="dxa"/>
            <w:vAlign w:val="bottom"/>
          </w:tcPr>
          <w:p>
            <w:pPr>
              <w:ind w:left="120"/>
              <w:spacing w:after="0"/>
              <w:rPr>
                <w:sz w:val="20"/>
                <w:szCs w:val="20"/>
                <w:color w:val="auto"/>
              </w:rPr>
            </w:pPr>
            <w:r>
              <w:rPr>
                <w:rFonts w:ascii="Arial" w:cs="Arial" w:eastAsia="Arial" w:hAnsi="Arial"/>
                <w:sz w:val="18"/>
                <w:szCs w:val="18"/>
                <w:color w:val="auto"/>
              </w:rPr>
              <w:t>% Notes due 2021.</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8"/>
        </w:trPr>
        <w:tc>
          <w:tcPr>
            <w:tcW w:w="3300" w:type="dxa"/>
            <w:vAlign w:val="bottom"/>
          </w:tcPr>
          <w:p>
            <w:pPr>
              <w:spacing w:after="0"/>
              <w:rPr>
                <w:sz w:val="20"/>
                <w:szCs w:val="20"/>
                <w:color w:val="auto"/>
              </w:rPr>
            </w:pPr>
            <w:r>
              <w:rPr>
                <w:rFonts w:ascii="Arial" w:cs="Arial" w:eastAsia="Arial" w:hAnsi="Arial"/>
                <w:sz w:val="18"/>
                <w:szCs w:val="18"/>
                <w:color w:val="auto"/>
              </w:rPr>
              <w:t>Maturity</w:t>
            </w: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rPr>
              <w:t>Unless redeemed prior to maturity as described below, the notes will mature on</w:t>
            </w:r>
          </w:p>
        </w:tc>
        <w:tc>
          <w:tcPr>
            <w:tcW w:w="200" w:type="dxa"/>
            <w:vAlign w:val="bottom"/>
          </w:tcPr>
          <w:p>
            <w:pPr>
              <w:jc w:val="right"/>
              <w:ind w:right="110"/>
              <w:spacing w:after="0"/>
              <w:rPr>
                <w:sz w:val="20"/>
                <w:szCs w:val="20"/>
                <w:color w:val="auto"/>
              </w:rPr>
            </w:pPr>
            <w:r>
              <w:rPr>
                <w:rFonts w:ascii="Arial" w:cs="Arial" w:eastAsia="Arial" w:hAnsi="Arial"/>
                <w:sz w:val="10"/>
                <w:szCs w:val="10"/>
                <w:color w:val="auto"/>
                <w:w w:val="70"/>
              </w:rPr>
              <w:t>,</w:t>
            </w:r>
          </w:p>
        </w:tc>
      </w:tr>
      <w:tr>
        <w:trPr>
          <w:trHeight w:val="230"/>
        </w:trPr>
        <w:tc>
          <w:tcPr>
            <w:tcW w:w="3300" w:type="dxa"/>
            <w:vAlign w:val="bottom"/>
          </w:tcPr>
          <w:p>
            <w:pPr>
              <w:spacing w:after="0"/>
              <w:rPr>
                <w:sz w:val="20"/>
                <w:szCs w:val="20"/>
                <w:color w:val="auto"/>
              </w:rPr>
            </w:pPr>
          </w:p>
        </w:tc>
        <w:tc>
          <w:tcPr>
            <w:tcW w:w="1440" w:type="dxa"/>
            <w:vAlign w:val="bottom"/>
          </w:tcPr>
          <w:p>
            <w:pPr>
              <w:ind w:left="90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5"/>
        </w:trPr>
        <w:tc>
          <w:tcPr>
            <w:tcW w:w="33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260" w:type="dxa"/>
            <w:vAlign w:val="bottom"/>
            <w:gridSpan w:val="4"/>
          </w:tcPr>
          <w:p>
            <w:pPr>
              <w:ind w:left="900"/>
              <w:spacing w:after="0"/>
              <w:rPr>
                <w:sz w:val="20"/>
                <w:szCs w:val="20"/>
                <w:color w:val="auto"/>
              </w:rPr>
            </w:pPr>
            <w:r>
              <w:rPr>
                <w:rFonts w:ascii="Arial" w:cs="Arial" w:eastAsia="Arial" w:hAnsi="Arial"/>
                <w:sz w:val="18"/>
                <w:szCs w:val="18"/>
                <w:color w:val="auto"/>
              </w:rPr>
              <w:t>Interest on the notes will be payable semi-annually in arrears on</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and of each year,</w:t>
            </w:r>
          </w:p>
        </w:tc>
      </w:tr>
      <w:tr>
        <w:trPr>
          <w:trHeight w:val="230"/>
        </w:trPr>
        <w:tc>
          <w:tcPr>
            <w:tcW w:w="3300" w:type="dxa"/>
            <w:vAlign w:val="bottom"/>
          </w:tcPr>
          <w:p>
            <w:pPr>
              <w:spacing w:after="0"/>
              <w:rPr>
                <w:sz w:val="20"/>
                <w:szCs w:val="20"/>
                <w:color w:val="auto"/>
              </w:rPr>
            </w:pPr>
          </w:p>
        </w:tc>
        <w:tc>
          <w:tcPr>
            <w:tcW w:w="2320" w:type="dxa"/>
            <w:vAlign w:val="bottom"/>
            <w:gridSpan w:val="2"/>
          </w:tcPr>
          <w:p>
            <w:pPr>
              <w:ind w:left="900"/>
              <w:spacing w:after="0"/>
              <w:rPr>
                <w:sz w:val="20"/>
                <w:szCs w:val="20"/>
                <w:color w:val="auto"/>
              </w:rPr>
            </w:pPr>
            <w:r>
              <w:rPr>
                <w:rFonts w:ascii="Arial" w:cs="Arial" w:eastAsia="Arial" w:hAnsi="Arial"/>
                <w:sz w:val="18"/>
                <w:szCs w:val="18"/>
                <w:color w:val="auto"/>
              </w:rPr>
              <w:t>beginning on</w:t>
            </w:r>
          </w:p>
        </w:tc>
        <w:tc>
          <w:tcPr>
            <w:tcW w:w="2260" w:type="dxa"/>
            <w:vAlign w:val="bottom"/>
          </w:tcPr>
          <w:p>
            <w:pPr>
              <w:ind w:left="460"/>
              <w:spacing w:after="0"/>
              <w:rPr>
                <w:sz w:val="20"/>
                <w:szCs w:val="20"/>
                <w:color w:val="auto"/>
              </w:rPr>
            </w:pPr>
            <w:r>
              <w:rPr>
                <w:rFonts w:ascii="Arial" w:cs="Arial" w:eastAsia="Arial" w:hAnsi="Arial"/>
                <w:sz w:val="18"/>
                <w:szCs w:val="18"/>
                <w:color w:val="auto"/>
                <w:w w:val="96"/>
              </w:rPr>
              <w:t>, 2016, and at maturity.</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5"/>
        </w:trPr>
        <w:tc>
          <w:tcPr>
            <w:tcW w:w="3300" w:type="dxa"/>
            <w:vAlign w:val="bottom"/>
          </w:tcPr>
          <w:p>
            <w:pPr>
              <w:spacing w:after="0"/>
              <w:rPr>
                <w:sz w:val="20"/>
                <w:szCs w:val="20"/>
                <w:color w:val="auto"/>
              </w:rPr>
            </w:pPr>
            <w:r>
              <w:rPr>
                <w:rFonts w:ascii="Arial" w:cs="Arial" w:eastAsia="Arial" w:hAnsi="Arial"/>
                <w:sz w:val="18"/>
                <w:szCs w:val="18"/>
                <w:color w:val="auto"/>
              </w:rPr>
              <w:t>Ranking</w:t>
            </w: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w w:val="91"/>
              </w:rPr>
              <w:t xml:space="preserve">The notes will be our senior unsecured obligations and will rank </w:t>
            </w:r>
            <w:r>
              <w:rPr>
                <w:rFonts w:ascii="Arial" w:cs="Arial" w:eastAsia="Arial" w:hAnsi="Arial"/>
                <w:sz w:val="18"/>
                <w:szCs w:val="18"/>
                <w:i w:val="1"/>
                <w:iCs w:val="1"/>
                <w:color w:val="auto"/>
                <w:w w:val="91"/>
              </w:rPr>
              <w:t>pari passu</w:t>
            </w:r>
            <w:r>
              <w:rPr>
                <w:rFonts w:ascii="Arial" w:cs="Arial" w:eastAsia="Arial" w:hAnsi="Arial"/>
                <w:sz w:val="18"/>
                <w:szCs w:val="18"/>
                <w:color w:val="auto"/>
                <w:w w:val="91"/>
              </w:rPr>
              <w:t>, or equally, with</w:t>
            </w:r>
          </w:p>
        </w:tc>
        <w:tc>
          <w:tcPr>
            <w:tcW w:w="2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w w:val="93"/>
              </w:rPr>
              <w:t>all of our other unsecured and unsubordinated indebtedness. The notes will be effectively</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1"/>
              </w:rPr>
              <w:t>subordinated to the prior claims of each secured mortgage lender to any specific property that</w:t>
            </w: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89"/>
              </w:rPr>
              <w:t>secures such lender’s mortgage and to all of the unsecured indebtedness of our subsidiaries. At</w:t>
            </w:r>
          </w:p>
        </w:tc>
      </w:tr>
      <w:tr>
        <w:trPr>
          <w:trHeight w:val="216"/>
        </w:trPr>
        <w:tc>
          <w:tcPr>
            <w:tcW w:w="3300" w:type="dxa"/>
            <w:vAlign w:val="bottom"/>
          </w:tcPr>
          <w:p>
            <w:pPr>
              <w:spacing w:after="0"/>
              <w:rPr>
                <w:sz w:val="18"/>
                <w:szCs w:val="18"/>
                <w:color w:val="auto"/>
              </w:rPr>
            </w:pP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w w:val="92"/>
              </w:rPr>
              <w:t>June 30, 2015, we had outstanding approximately $569 million (excluding net unamortized</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w w:val="91"/>
              </w:rPr>
              <w:t>premium) of secured indebtedness, collateralized by all or parts of 15 properties, which will</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2"/>
              </w:rPr>
              <w:t>rank senior to the notes to the extent of the securing collateral (approximately $422 million of</w:t>
            </w: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0"/>
              </w:rPr>
              <w:t>this amount, which was issued by our subsidiaries, will also be structurally senior to the notes),</w:t>
            </w: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1"/>
              </w:rPr>
              <w:t>approximately $15 million of unsecured indebtedness issued by our subsidiaries, which will be</w:t>
            </w: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2"/>
              </w:rPr>
              <w:t>structurally senior to the notes, and approximately $1,876 million of unsecured indebtedness</w:t>
            </w: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3"/>
              </w:rPr>
              <w:t>(excluding net unamortized discount), which will rank equally with the notes. Since June 30,</w:t>
            </w: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1"/>
              </w:rPr>
              <w:t>2015, $149 million of secured indebtedness was repaid with the proceeds of borrowings under</w:t>
            </w:r>
          </w:p>
        </w:tc>
      </w:tr>
      <w:tr>
        <w:trPr>
          <w:trHeight w:val="216"/>
        </w:trPr>
        <w:tc>
          <w:tcPr>
            <w:tcW w:w="3300" w:type="dxa"/>
            <w:vAlign w:val="bottom"/>
          </w:tcPr>
          <w:p>
            <w:pPr>
              <w:spacing w:after="0"/>
              <w:rPr>
                <w:sz w:val="18"/>
                <w:szCs w:val="18"/>
                <w:color w:val="auto"/>
              </w:rPr>
            </w:pP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w w:val="97"/>
              </w:rPr>
              <w:t>our unsecured revolving credit facility; accordingly, as of September 18, 2015 we had</w:t>
            </w:r>
          </w:p>
        </w:tc>
        <w:tc>
          <w:tcPr>
            <w:tcW w:w="20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6260" w:type="dxa"/>
            <w:vAlign w:val="bottom"/>
            <w:gridSpan w:val="4"/>
          </w:tcPr>
          <w:p>
            <w:pPr>
              <w:ind w:left="900"/>
              <w:spacing w:after="0"/>
              <w:rPr>
                <w:sz w:val="20"/>
                <w:szCs w:val="20"/>
                <w:color w:val="auto"/>
              </w:rPr>
            </w:pPr>
            <w:r>
              <w:rPr>
                <w:rFonts w:ascii="Arial" w:cs="Arial" w:eastAsia="Arial" w:hAnsi="Arial"/>
                <w:sz w:val="18"/>
                <w:szCs w:val="18"/>
                <w:color w:val="auto"/>
              </w:rPr>
              <w:t>approximately $421 million of secured indebtedness outstanding.</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5"/>
        </w:trPr>
        <w:tc>
          <w:tcPr>
            <w:tcW w:w="3300" w:type="dxa"/>
            <w:vAlign w:val="bottom"/>
          </w:tcPr>
          <w:p>
            <w:pPr>
              <w:spacing w:after="0"/>
              <w:rPr>
                <w:sz w:val="20"/>
                <w:szCs w:val="20"/>
                <w:color w:val="auto"/>
              </w:rPr>
            </w:pPr>
            <w:r>
              <w:rPr>
                <w:rFonts w:ascii="Arial" w:cs="Arial" w:eastAsia="Arial" w:hAnsi="Arial"/>
                <w:sz w:val="18"/>
                <w:szCs w:val="18"/>
                <w:color w:val="auto"/>
              </w:rPr>
              <w:t>Use of proceeds</w:t>
            </w:r>
          </w:p>
        </w:tc>
        <w:tc>
          <w:tcPr>
            <w:tcW w:w="7540" w:type="dxa"/>
            <w:vAlign w:val="bottom"/>
            <w:gridSpan w:val="5"/>
          </w:tcPr>
          <w:p>
            <w:pPr>
              <w:ind w:left="900"/>
              <w:spacing w:after="0"/>
              <w:rPr>
                <w:sz w:val="20"/>
                <w:szCs w:val="20"/>
                <w:color w:val="auto"/>
              </w:rPr>
            </w:pPr>
            <w:r>
              <w:rPr>
                <w:rFonts w:ascii="Arial" w:cs="Arial" w:eastAsia="Arial" w:hAnsi="Arial"/>
                <w:sz w:val="18"/>
                <w:szCs w:val="18"/>
                <w:color w:val="auto"/>
                <w:w w:val="93"/>
              </w:rPr>
              <w:t>We intend to use the net proceeds from this offering to pay down the outstanding balance</w:t>
            </w:r>
          </w:p>
        </w:tc>
        <w:tc>
          <w:tcPr>
            <w:tcW w:w="2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7740" w:type="dxa"/>
            <w:vAlign w:val="bottom"/>
            <w:gridSpan w:val="6"/>
          </w:tcPr>
          <w:p>
            <w:pPr>
              <w:ind w:left="900"/>
              <w:spacing w:after="0"/>
              <w:rPr>
                <w:sz w:val="20"/>
                <w:szCs w:val="20"/>
                <w:color w:val="auto"/>
              </w:rPr>
            </w:pPr>
            <w:r>
              <w:rPr>
                <w:rFonts w:ascii="Arial" w:cs="Arial" w:eastAsia="Arial" w:hAnsi="Arial"/>
                <w:sz w:val="18"/>
                <w:szCs w:val="18"/>
                <w:color w:val="auto"/>
                <w:w w:val="92"/>
              </w:rPr>
              <w:t>under our revolving credit facility and for general corporate purposes. See “Use of Proceeds”</w:t>
            </w:r>
          </w:p>
        </w:tc>
      </w:tr>
      <w:tr>
        <w:trPr>
          <w:trHeight w:val="230"/>
        </w:trPr>
        <w:tc>
          <w:tcPr>
            <w:tcW w:w="3300" w:type="dxa"/>
            <w:vAlign w:val="bottom"/>
          </w:tcPr>
          <w:p>
            <w:pPr>
              <w:spacing w:after="0"/>
              <w:rPr>
                <w:sz w:val="20"/>
                <w:szCs w:val="20"/>
                <w:color w:val="auto"/>
              </w:rPr>
            </w:pPr>
          </w:p>
        </w:tc>
        <w:tc>
          <w:tcPr>
            <w:tcW w:w="4580" w:type="dxa"/>
            <w:vAlign w:val="bottom"/>
            <w:gridSpan w:val="3"/>
          </w:tcPr>
          <w:p>
            <w:pPr>
              <w:ind w:left="900"/>
              <w:spacing w:after="0"/>
              <w:rPr>
                <w:sz w:val="20"/>
                <w:szCs w:val="20"/>
                <w:color w:val="auto"/>
              </w:rPr>
            </w:pPr>
            <w:r>
              <w:rPr>
                <w:rFonts w:ascii="Arial" w:cs="Arial" w:eastAsia="Arial" w:hAnsi="Arial"/>
                <w:sz w:val="18"/>
                <w:szCs w:val="18"/>
                <w:color w:val="auto"/>
              </w:rPr>
              <w:t>on page S-8 for more information.</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330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6260" w:type="dxa"/>
            <w:vAlign w:val="bottom"/>
            <w:gridSpan w:val="4"/>
          </w:tcPr>
          <w:p>
            <w:pPr>
              <w:ind w:left="900"/>
              <w:spacing w:after="0"/>
              <w:rPr>
                <w:sz w:val="20"/>
                <w:szCs w:val="20"/>
                <w:color w:val="auto"/>
              </w:rPr>
            </w:pPr>
            <w:r>
              <w:rPr>
                <w:rFonts w:ascii="Arial" w:cs="Arial" w:eastAsia="Arial" w:hAnsi="Arial"/>
                <w:sz w:val="18"/>
                <w:szCs w:val="18"/>
                <w:color w:val="auto"/>
              </w:rPr>
              <w:t>The notes contain various covenants, including the following:</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42" w:lineRule="exact"/>
        <w:rPr>
          <w:sz w:val="20"/>
          <w:szCs w:val="20"/>
          <w:color w:val="auto"/>
        </w:rPr>
      </w:pPr>
    </w:p>
    <w:p>
      <w:pPr>
        <w:ind w:left="4400" w:hanging="3"/>
        <w:spacing w:after="0" w:line="286" w:lineRule="auto"/>
        <w:tabs>
          <w:tab w:leader="none" w:pos="4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2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7027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hanging="3"/>
        <w:spacing w:after="0" w:line="285" w:lineRule="auto"/>
        <w:tabs>
          <w:tab w:leader="none" w:pos="4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202" w:lineRule="exact"/>
        <w:rPr>
          <w:rFonts w:ascii="Arial" w:cs="Arial" w:eastAsia="Arial" w:hAnsi="Arial"/>
          <w:sz w:val="16"/>
          <w:szCs w:val="16"/>
          <w:color w:val="auto"/>
        </w:rPr>
      </w:pPr>
    </w:p>
    <w:p>
      <w:pPr>
        <w:ind w:left="4400" w:right="20" w:hanging="3"/>
        <w:spacing w:after="0" w:line="285" w:lineRule="auto"/>
        <w:tabs>
          <w:tab w:leader="none" w:pos="4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jc w:val="both"/>
        <w:ind w:left="4400" w:right="60" w:hanging="3"/>
        <w:spacing w:after="0" w:line="264" w:lineRule="auto"/>
        <w:tabs>
          <w:tab w:leader="none" w:pos="4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ectPr>
          <w:pgSz w:w="11900" w:h="16838" w:orient="portrait"/>
          <w:cols w:equalWidth="0" w:num="1">
            <w:col w:w="11260"/>
          </w:cols>
          <w:pgMar w:left="240" w:top="459" w:right="39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notes will be redeemable at any time at our option, in whole or in part. If the notes are redeemed before ( months prior to the maturity date), the redemption price will be equal to the greater of (1) 100% of the principal amount of the notes being redeemed, or (2) the sum of the</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43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743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w w:val="89"/>
              </w:rPr>
              <w:t>present values of the remaining scheduled payments of principal and interest thereon,</w:t>
            </w:r>
          </w:p>
        </w:tc>
        <w:tc>
          <w:tcPr>
            <w:tcW w:w="68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1"/>
              </w:rPr>
              <w:t>discounted to the redemption date on a semi-annual basis at the Adjusted Treasury Rate plus</w:t>
            </w:r>
          </w:p>
        </w:tc>
      </w:tr>
      <w:tr>
        <w:trPr>
          <w:trHeight w:val="216"/>
        </w:trPr>
        <w:tc>
          <w:tcPr>
            <w:tcW w:w="3640" w:type="dxa"/>
            <w:vAlign w:val="bottom"/>
          </w:tcPr>
          <w:p>
            <w:pPr>
              <w:spacing w:after="0"/>
              <w:rPr>
                <w:sz w:val="18"/>
                <w:szCs w:val="18"/>
                <w:color w:val="auto"/>
              </w:rPr>
            </w:pPr>
          </w:p>
        </w:tc>
        <w:tc>
          <w:tcPr>
            <w:tcW w:w="7400" w:type="dxa"/>
            <w:vAlign w:val="bottom"/>
            <w:gridSpan w:val="3"/>
          </w:tcPr>
          <w:p>
            <w:pPr>
              <w:ind w:left="1100"/>
              <w:spacing w:after="0"/>
              <w:rPr>
                <w:sz w:val="20"/>
                <w:szCs w:val="20"/>
                <w:color w:val="auto"/>
              </w:rPr>
            </w:pPr>
            <w:r>
              <w:rPr>
                <w:rFonts w:ascii="Arial" w:cs="Arial" w:eastAsia="Arial" w:hAnsi="Arial"/>
                <w:sz w:val="18"/>
                <w:szCs w:val="18"/>
                <w:color w:val="auto"/>
                <w:w w:val="94"/>
              </w:rPr>
              <w:t>basis points (0.   %), plus, in each case, accrued and unpaid interest thereon to, but</w:t>
            </w:r>
          </w:p>
        </w:tc>
      </w:tr>
      <w:tr>
        <w:trPr>
          <w:trHeight w:val="216"/>
        </w:trPr>
        <w:tc>
          <w:tcPr>
            <w:tcW w:w="3640" w:type="dxa"/>
            <w:vAlign w:val="bottom"/>
          </w:tcPr>
          <w:p>
            <w:pPr>
              <w:spacing w:after="0"/>
              <w:rPr>
                <w:sz w:val="18"/>
                <w:szCs w:val="18"/>
                <w:color w:val="auto"/>
              </w:rPr>
            </w:pPr>
          </w:p>
        </w:tc>
        <w:tc>
          <w:tcPr>
            <w:tcW w:w="6020" w:type="dxa"/>
            <w:vAlign w:val="bottom"/>
          </w:tcPr>
          <w:p>
            <w:pPr>
              <w:ind w:left="560"/>
              <w:spacing w:after="0"/>
              <w:rPr>
                <w:sz w:val="20"/>
                <w:szCs w:val="20"/>
                <w:color w:val="auto"/>
              </w:rPr>
            </w:pPr>
            <w:r>
              <w:rPr>
                <w:rFonts w:ascii="Arial" w:cs="Arial" w:eastAsia="Arial" w:hAnsi="Arial"/>
                <w:sz w:val="18"/>
                <w:szCs w:val="18"/>
                <w:color w:val="auto"/>
                <w:w w:val="99"/>
              </w:rPr>
              <w:t>excluding, the redemption date. If the notes are redeemed on or after</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r>
              <w:rPr>
                <w:rFonts w:ascii="Arial" w:cs="Arial" w:eastAsia="Arial" w:hAnsi="Arial"/>
                <w:sz w:val="18"/>
                <w:szCs w:val="18"/>
                <w:color w:val="auto"/>
              </w:rPr>
              <w:t>months</w:t>
            </w:r>
          </w:p>
        </w:tc>
      </w:tr>
      <w:tr>
        <w:trPr>
          <w:trHeight w:val="216"/>
        </w:trPr>
        <w:tc>
          <w:tcPr>
            <w:tcW w:w="3640" w:type="dxa"/>
            <w:vAlign w:val="bottom"/>
          </w:tcPr>
          <w:p>
            <w:pPr>
              <w:spacing w:after="0"/>
              <w:rPr>
                <w:sz w:val="18"/>
                <w:szCs w:val="18"/>
                <w:color w:val="auto"/>
              </w:rPr>
            </w:pP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2"/>
              </w:rPr>
              <w:t>prior to the maturity date), the redemption price will be equal to 100% of the principal amount</w:t>
            </w:r>
          </w:p>
        </w:tc>
      </w:tr>
      <w:tr>
        <w:trPr>
          <w:trHeight w:val="216"/>
        </w:trPr>
        <w:tc>
          <w:tcPr>
            <w:tcW w:w="3640" w:type="dxa"/>
            <w:vAlign w:val="bottom"/>
          </w:tcPr>
          <w:p>
            <w:pPr>
              <w:spacing w:after="0"/>
              <w:rPr>
                <w:sz w:val="18"/>
                <w:szCs w:val="18"/>
                <w:color w:val="auto"/>
              </w:rPr>
            </w:pP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3"/>
              </w:rPr>
              <w:t>of the notes being redeemed plus accrued and unpaid interest thereon to, but excluding, the</w:t>
            </w:r>
          </w:p>
        </w:tc>
      </w:tr>
      <w:tr>
        <w:trPr>
          <w:trHeight w:val="230"/>
        </w:trPr>
        <w:tc>
          <w:tcPr>
            <w:tcW w:w="3640" w:type="dxa"/>
            <w:vAlign w:val="bottom"/>
          </w:tcPr>
          <w:p>
            <w:pPr>
              <w:spacing w:after="0"/>
              <w:rPr>
                <w:sz w:val="20"/>
                <w:szCs w:val="20"/>
                <w:color w:val="auto"/>
              </w:rPr>
            </w:pPr>
          </w:p>
        </w:tc>
        <w:tc>
          <w:tcPr>
            <w:tcW w:w="6020" w:type="dxa"/>
            <w:vAlign w:val="bottom"/>
          </w:tcPr>
          <w:p>
            <w:pPr>
              <w:ind w:left="560"/>
              <w:spacing w:after="0"/>
              <w:rPr>
                <w:sz w:val="20"/>
                <w:szCs w:val="20"/>
                <w:color w:val="auto"/>
              </w:rPr>
            </w:pPr>
            <w:r>
              <w:rPr>
                <w:rFonts w:ascii="Arial" w:cs="Arial" w:eastAsia="Arial" w:hAnsi="Arial"/>
                <w:sz w:val="18"/>
                <w:szCs w:val="18"/>
                <w:color w:val="auto"/>
              </w:rPr>
              <w:t>redemption date.</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73"/>
        </w:trPr>
        <w:tc>
          <w:tcPr>
            <w:tcW w:w="3640" w:type="dxa"/>
            <w:vAlign w:val="bottom"/>
          </w:tcPr>
          <w:p>
            <w:pPr>
              <w:spacing w:after="0"/>
              <w:rPr>
                <w:sz w:val="24"/>
                <w:szCs w:val="24"/>
                <w:color w:val="auto"/>
              </w:rPr>
            </w:pPr>
          </w:p>
        </w:tc>
        <w:tc>
          <w:tcPr>
            <w:tcW w:w="6020" w:type="dxa"/>
            <w:vAlign w:val="bottom"/>
          </w:tcPr>
          <w:p>
            <w:pPr>
              <w:ind w:left="560"/>
              <w:spacing w:after="0"/>
              <w:rPr>
                <w:sz w:val="20"/>
                <w:szCs w:val="20"/>
                <w:color w:val="auto"/>
              </w:rPr>
            </w:pPr>
            <w:r>
              <w:rPr>
                <w:rFonts w:ascii="Arial" w:cs="Arial" w:eastAsia="Arial" w:hAnsi="Arial"/>
                <w:sz w:val="18"/>
                <w:szCs w:val="18"/>
                <w:color w:val="auto"/>
                <w:w w:val="93"/>
              </w:rPr>
              <w:t>See “Description of Notes — Optional Redemption” for more information.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3640" w:type="dxa"/>
            <w:vAlign w:val="bottom"/>
          </w:tcPr>
          <w:p>
            <w:pPr>
              <w:spacing w:after="0"/>
              <w:rPr>
                <w:sz w:val="20"/>
                <w:szCs w:val="20"/>
                <w:color w:val="auto"/>
              </w:rPr>
            </w:pPr>
            <w:r>
              <w:rPr>
                <w:rFonts w:ascii="Arial" w:cs="Arial" w:eastAsia="Arial" w:hAnsi="Arial"/>
                <w:sz w:val="18"/>
                <w:szCs w:val="18"/>
                <w:color w:val="auto"/>
              </w:rPr>
              <w:t>Material federal income tax considerations</w:t>
            </w: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0"/>
              </w:rPr>
              <w:t>For a description of the material U.S. federal income tax considerations of an investment in the</w:t>
            </w:r>
          </w:p>
        </w:tc>
      </w:tr>
      <w:tr>
        <w:trPr>
          <w:trHeight w:val="216"/>
        </w:trPr>
        <w:tc>
          <w:tcPr>
            <w:tcW w:w="3640" w:type="dxa"/>
            <w:vAlign w:val="bottom"/>
          </w:tcPr>
          <w:p>
            <w:pPr>
              <w:spacing w:after="0"/>
              <w:rPr>
                <w:sz w:val="18"/>
                <w:szCs w:val="18"/>
                <w:color w:val="auto"/>
              </w:rPr>
            </w:pP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2"/>
              </w:rPr>
              <w:t>notes, please review the disclosure in this prospectus supplement under “Additional Material</w:t>
            </w:r>
          </w:p>
        </w:tc>
      </w:tr>
      <w:tr>
        <w:trPr>
          <w:trHeight w:val="216"/>
        </w:trPr>
        <w:tc>
          <w:tcPr>
            <w:tcW w:w="3640" w:type="dxa"/>
            <w:vAlign w:val="bottom"/>
          </w:tcPr>
          <w:p>
            <w:pPr>
              <w:spacing w:after="0"/>
              <w:rPr>
                <w:sz w:val="18"/>
                <w:szCs w:val="18"/>
                <w:color w:val="auto"/>
              </w:rPr>
            </w:pP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5"/>
              </w:rPr>
              <w:t>Federal Income Tax Considerations” and in the accompanying prospectus under “Material</w:t>
            </w:r>
          </w:p>
        </w:tc>
      </w:tr>
      <w:tr>
        <w:trPr>
          <w:trHeight w:val="230"/>
        </w:trPr>
        <w:tc>
          <w:tcPr>
            <w:tcW w:w="3640" w:type="dxa"/>
            <w:vAlign w:val="bottom"/>
          </w:tcPr>
          <w:p>
            <w:pPr>
              <w:spacing w:after="0"/>
              <w:rPr>
                <w:sz w:val="20"/>
                <w:szCs w:val="20"/>
                <w:color w:val="auto"/>
              </w:rPr>
            </w:pPr>
          </w:p>
        </w:tc>
        <w:tc>
          <w:tcPr>
            <w:tcW w:w="6020" w:type="dxa"/>
            <w:vAlign w:val="bottom"/>
          </w:tcPr>
          <w:p>
            <w:pPr>
              <w:ind w:left="560"/>
              <w:spacing w:after="0"/>
              <w:rPr>
                <w:sz w:val="20"/>
                <w:szCs w:val="20"/>
                <w:color w:val="auto"/>
              </w:rPr>
            </w:pPr>
            <w:r>
              <w:rPr>
                <w:rFonts w:ascii="Arial" w:cs="Arial" w:eastAsia="Arial" w:hAnsi="Arial"/>
                <w:sz w:val="18"/>
                <w:szCs w:val="18"/>
                <w:color w:val="auto"/>
              </w:rPr>
              <w:t>Federal Income Tax Considerations.”</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5"/>
        </w:trPr>
        <w:tc>
          <w:tcPr>
            <w:tcW w:w="3640" w:type="dxa"/>
            <w:vAlign w:val="bottom"/>
          </w:tcPr>
          <w:p>
            <w:pPr>
              <w:spacing w:after="0"/>
              <w:rPr>
                <w:sz w:val="20"/>
                <w:szCs w:val="20"/>
                <w:color w:val="auto"/>
              </w:rPr>
            </w:pPr>
            <w:r>
              <w:rPr>
                <w:rFonts w:ascii="Arial" w:cs="Arial" w:eastAsia="Arial" w:hAnsi="Arial"/>
                <w:sz w:val="18"/>
                <w:szCs w:val="18"/>
                <w:color w:val="auto"/>
              </w:rPr>
              <w:t>Risk factors</w:t>
            </w: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4"/>
              </w:rPr>
              <w:t>Investing in the notes involves risks. Please review the risk factors discussed beginning on</w:t>
            </w:r>
          </w:p>
        </w:tc>
      </w:tr>
      <w:tr>
        <w:trPr>
          <w:trHeight w:val="230"/>
        </w:trPr>
        <w:tc>
          <w:tcPr>
            <w:tcW w:w="3640" w:type="dxa"/>
            <w:vAlign w:val="bottom"/>
          </w:tcPr>
          <w:p>
            <w:pPr>
              <w:spacing w:after="0"/>
              <w:rPr>
                <w:sz w:val="20"/>
                <w:szCs w:val="20"/>
                <w:color w:val="auto"/>
              </w:rPr>
            </w:pPr>
          </w:p>
        </w:tc>
        <w:tc>
          <w:tcPr>
            <w:tcW w:w="7400" w:type="dxa"/>
            <w:vAlign w:val="bottom"/>
            <w:gridSpan w:val="3"/>
          </w:tcPr>
          <w:p>
            <w:pPr>
              <w:ind w:left="560"/>
              <w:spacing w:after="0"/>
              <w:rPr>
                <w:sz w:val="20"/>
                <w:szCs w:val="20"/>
                <w:color w:val="auto"/>
              </w:rPr>
            </w:pPr>
            <w:r>
              <w:rPr>
                <w:rFonts w:ascii="Arial" w:cs="Arial" w:eastAsia="Arial" w:hAnsi="Arial"/>
                <w:sz w:val="18"/>
                <w:szCs w:val="18"/>
                <w:color w:val="auto"/>
                <w:w w:val="90"/>
              </w:rPr>
              <w:t>page S-6 of this prospectus supplement, on page 3 of the accompanying prospectus and in our</w:t>
            </w:r>
          </w:p>
        </w:tc>
      </w:tr>
    </w:tbl>
    <w:p>
      <w:pPr>
        <w:ind w:left="4400" w:right="200"/>
        <w:spacing w:after="0" w:line="288" w:lineRule="auto"/>
        <w:rPr>
          <w:sz w:val="20"/>
          <w:szCs w:val="20"/>
          <w:color w:val="auto"/>
        </w:rPr>
      </w:pPr>
      <w:r>
        <w:rPr>
          <w:rFonts w:ascii="Arial" w:cs="Arial" w:eastAsia="Arial" w:hAnsi="Arial"/>
          <w:sz w:val="16"/>
          <w:szCs w:val="16"/>
          <w:color w:val="auto"/>
        </w:rPr>
        <w:t>Annual Report on Form 10-K for the year ended December 31, 2014, filed with the SEC on February 10, 2015,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2014 filed with the SEC on February 10, 2015 before you decide to purchase the notes. The risks and uncertainties described below and in the incorporated Form 10-K for the year ended December 31, 2014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2015, our subsidiaries had approximately $437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2015, we had approximately $569 million (excluding net unamortized premium) of secured debt outstanding, all of which was effectively senior to the notes to the extent of the value of the securing assets. Since June 30, 2015, $149 million of secured indebtedness was repaid with the proceeds of borrowings under our unsecured revolving credit facility; accordingly, as of September 18, 2015 we had approximately $421 million of secured indebtedness outstanding.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6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24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820" w:type="dxa"/>
            <w:vAlign w:val="bottom"/>
          </w:tcPr>
          <w:p>
            <w:pPr>
              <w:spacing w:after="0"/>
              <w:rPr>
                <w:sz w:val="24"/>
                <w:szCs w:val="24"/>
                <w:color w:val="auto"/>
              </w:rPr>
            </w:pPr>
          </w:p>
        </w:tc>
      </w:tr>
      <w:tr>
        <w:trPr>
          <w:trHeight w:val="432"/>
        </w:trPr>
        <w:tc>
          <w:tcPr>
            <w:tcW w:w="10600" w:type="dxa"/>
            <w:vAlign w:val="bottom"/>
            <w:gridSpan w:val="2"/>
          </w:tcPr>
          <w:p>
            <w:pPr>
              <w:ind w:left="460"/>
              <w:spacing w:after="0"/>
              <w:rPr>
                <w:sz w:val="20"/>
                <w:szCs w:val="20"/>
                <w:color w:val="auto"/>
              </w:rPr>
            </w:pPr>
            <w:r>
              <w:rPr>
                <w:rFonts w:ascii="Arial" w:cs="Arial" w:eastAsia="Arial" w:hAnsi="Arial"/>
                <w:sz w:val="18"/>
                <w:szCs w:val="18"/>
                <w:color w:val="auto"/>
                <w:w w:val="91"/>
              </w:rPr>
              <w:t>The net proceeds to us from the issuance and sale of the notes offered by this prospectus supplement are estimated to be approximately $</w:t>
            </w:r>
          </w:p>
        </w:tc>
        <w:tc>
          <w:tcPr>
            <w:tcW w:w="820" w:type="dxa"/>
            <w:vAlign w:val="bottom"/>
          </w:tcPr>
          <w:p>
            <w:pPr>
              <w:ind w:left="300"/>
              <w:spacing w:after="0"/>
              <w:rPr>
                <w:sz w:val="20"/>
                <w:szCs w:val="20"/>
                <w:color w:val="auto"/>
              </w:rPr>
            </w:pPr>
            <w:r>
              <w:rPr>
                <w:rFonts w:ascii="Arial" w:cs="Arial" w:eastAsia="Arial" w:hAnsi="Arial"/>
                <w:sz w:val="18"/>
                <w:szCs w:val="18"/>
                <w:color w:val="auto"/>
                <w:w w:val="97"/>
              </w:rPr>
              <w:t>million</w:t>
            </w:r>
          </w:p>
        </w:tc>
      </w:tr>
    </w:tbl>
    <w:p>
      <w:pPr>
        <w:jc w:val="both"/>
        <w:ind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deducting the underwriting discount and other estimated expenses of this offering payable by us. We intend to use these net proceeds to pay down the outstanding balance under our revolving credit facility and for general corporate purposes. Pending application of the net proceeds, we may invest the net proceeds in short-term income-producing investments.</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June 30, 2015, we had $107 million outstanding under our revolving credit facility ($250 million as of September 18, 2015).</w:t>
      </w:r>
    </w:p>
    <w:p>
      <w:pPr>
        <w:spacing w:after="0" w:line="18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46"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million of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notes maturing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2021, which may be redeemed prior to that date in accordance with</w:t>
      </w:r>
    </w:p>
    <w:p>
      <w:pPr>
        <w:spacing w:after="0" w:line="46" w:lineRule="exact"/>
        <w:rPr>
          <w:sz w:val="20"/>
          <w:szCs w:val="20"/>
          <w:color w:val="auto"/>
        </w:rPr>
      </w:pPr>
    </w:p>
    <w:p>
      <w:pPr>
        <w:sectPr>
          <w:pgSz w:w="11900" w:h="16838" w:orient="portrait"/>
          <w:cols w:equalWidth="0" w:num="4">
            <w:col w:w="1720" w:space="580"/>
            <w:col w:w="1000" w:space="420"/>
            <w:col w:w="1720" w:space="720"/>
            <w:col w:w="524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their terms.</w:t>
      </w:r>
    </w:p>
    <w:p>
      <w:pPr>
        <w:spacing w:after="0" w:line="21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We will pay interest on the notes semi-annually in arrears on and of each year, beginning , 2016, to the registered holders of the notes on the preceding and . Interest will be computed and paid on the basis of a 360-day year consisting of twelve 30-</w:t>
      </w:r>
    </w:p>
    <w:p>
      <w:pPr>
        <w:sectPr>
          <w:pgSz w:w="11900" w:h="16838" w:orient="portrait"/>
          <w:cols w:equalWidth="0" w:num="1">
            <w:col w:w="11400"/>
          </w:cols>
          <w:pgMar w:left="240" w:top="459" w:right="259" w:bottom="1440" w:gutter="0" w:footer="0" w:header="0"/>
          <w:type w:val="continuous"/>
        </w:sectPr>
      </w:pPr>
    </w:p>
    <w:p>
      <w:pPr>
        <w:spacing w:after="0" w:line="1"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June 30, 2015, we had outstanding approximately $569 million (excluding net unamortized premium) of secured indebtedness collateralized by all or parts of 15 properties, which ranks senior to the notes to the extent of securing collateral (approximately $422 million of this amount, which was issued by our subsidiaries, will also be structurally senior to the notes), approximately $15 million of unsecured indebtedness issued by our subsidiaries, which will be structurally senior to the notes, and approximately $1,876 million of unsecured indebtedness (excluding net unamortized discount), which will rank equally. Since June 30, 2015, $149 million of secured indebtedness was repaid with the proceeds of borrowings under our unsecured revolving credit facility; accordingly, as of September 18, 2015 we had approximately $421 million of secured indebtedness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460"/>
        <w:spacing w:after="0"/>
        <w:tabs>
          <w:tab w:leader="none" w:pos="9160" w:val="left"/>
        </w:tabs>
        <w:rPr>
          <w:sz w:val="20"/>
          <w:szCs w:val="20"/>
          <w:color w:val="auto"/>
        </w:rPr>
      </w:pPr>
      <w:r>
        <w:rPr>
          <w:rFonts w:ascii="Arial" w:cs="Arial" w:eastAsia="Arial" w:hAnsi="Arial"/>
          <w:sz w:val="18"/>
          <w:szCs w:val="18"/>
          <w:color w:val="auto"/>
        </w:rPr>
        <w:t>The notes will be redeemable at any time at our option, in whole or in part. If the notes are redeemed before</w:t>
      </w:r>
      <w:r>
        <w:rPr>
          <w:sz w:val="20"/>
          <w:szCs w:val="20"/>
          <w:color w:val="auto"/>
        </w:rPr>
        <w:tab/>
      </w:r>
      <w:r>
        <w:rPr>
          <w:rFonts w:ascii="Arial" w:cs="Arial" w:eastAsia="Arial" w:hAnsi="Arial"/>
          <w:sz w:val="16"/>
          <w:szCs w:val="16"/>
          <w:color w:val="auto"/>
        </w:rPr>
        <w:t>(the “Par Call Date”), the</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w:t>
      </w:r>
    </w:p>
    <w:p>
      <w:pPr>
        <w:spacing w:after="0" w:line="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Adjusted Treasury Rate (as defined below) plus basis points (0. %),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(2) J.P. Morgan Securities LLC and Merrill Lynch, Pierce, Fenner &amp; Smith Incorporated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(3) any two other Primary Treasury Dealers selected by us.</w:t>
      </w:r>
    </w:p>
    <w:p>
      <w:pPr>
        <w:spacing w:after="0" w:line="18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6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and will cause each of our subsidiaries to, maintain insurance with financially sound and reputable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225" w:lineRule="exact"/>
        <w:rPr>
          <w:sz w:val="20"/>
          <w:szCs w:val="20"/>
          <w:color w:val="auto"/>
        </w:rPr>
      </w:pPr>
    </w:p>
    <w:p>
      <w:pPr>
        <w:ind w:right="160" w:firstLine="464"/>
        <w:spacing w:after="0" w:line="277"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right="40" w:firstLine="464"/>
        <w:spacing w:after="0" w:line="264"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us and the trustee by the holders of at least 25% in aggregate principal amount of the outstanding debt securities of the series.</w:t>
      </w:r>
    </w:p>
    <w:p>
      <w:pPr>
        <w:spacing w:after="0" w:line="236" w:lineRule="exact"/>
        <w:rPr>
          <w:rFonts w:ascii="Arial" w:cs="Arial" w:eastAsia="Arial" w:hAnsi="Arial"/>
          <w:sz w:val="17"/>
          <w:szCs w:val="17"/>
          <w:color w:val="auto"/>
        </w:rPr>
      </w:pPr>
    </w:p>
    <w:p>
      <w:pPr>
        <w:ind w:right="60" w:firstLine="464"/>
        <w:spacing w:after="0" w:line="276"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6"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225"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921"/>
        <w:spacing w:after="0" w:line="277" w:lineRule="auto"/>
        <w:tabs>
          <w:tab w:leader="none" w:pos="11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9"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28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165" w:lineRule="exact"/>
        <w:rPr>
          <w:sz w:val="20"/>
          <w:szCs w:val="20"/>
          <w:color w:val="auto"/>
        </w:rPr>
      </w:pPr>
    </w:p>
    <w:p>
      <w:pPr>
        <w:ind w:right="580" w:firstLine="456"/>
        <w:spacing w:after="0" w:line="313"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its “issue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the notes are treated as issued with OID under the rules described above, a U.S. Holder generally will be required to include such OID in income over the term of the notes in accordance with a constant-yield-to-maturity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9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Unless a non-recognition provision applies, upon the sale,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0"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900" w:right="6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6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6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withholding tax will be imposed in certain circumstances on payments of (i) interest on the notes and (ii) beginning on or after January 1, 2019, gross proceeds from the sale or other disposition of the notes (which includes redemption and retirement of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w:t>
      </w:r>
    </w:p>
    <w:p>
      <w:pPr>
        <w:spacing w:after="0" w:line="5" w:lineRule="exact"/>
        <w:rPr>
          <w:sz w:val="20"/>
          <w:szCs w:val="20"/>
          <w:color w:val="auto"/>
        </w:rPr>
      </w:pPr>
    </w:p>
    <w:p>
      <w:pPr>
        <w:ind w:right="20" w:firstLine="8"/>
        <w:spacing w:after="0" w:line="271"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intend to offer the notes through the underwriters named below, for whom Wells Fargo Securities, LLC, J.P. Morgan Securities LLC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Wells Fargo</w:t>
            </w:r>
          </w:p>
        </w:tc>
        <w:tc>
          <w:tcPr>
            <w:tcW w:w="6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Securities, LLC</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shd w:val="clear" w:color="auto" w:fill="CCEEFF"/>
          </w:tcPr>
          <w:p>
            <w:pPr>
              <w:spacing w:after="0"/>
              <w:rPr>
                <w:sz w:val="20"/>
                <w:szCs w:val="20"/>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Paid by Us</w:t>
            </w:r>
          </w:p>
        </w:tc>
        <w:tc>
          <w:tcPr>
            <w:tcW w:w="200" w:type="dxa"/>
            <w:vAlign w:val="bottom"/>
          </w:tcPr>
          <w:p>
            <w:pPr>
              <w:spacing w:after="0"/>
              <w:rPr>
                <w:sz w:val="14"/>
                <w:szCs w:val="14"/>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no offer of notes may be made to the public in that Relevant Member State other than:</w:t>
      </w:r>
    </w:p>
    <w:p>
      <w:pPr>
        <w:spacing w:after="0" w:line="7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nominated by the issuer for any such offer;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provided that no such offer of notes shall require us or any underwriter to publish a prospectus pursuant to Article 3 of the Prospectus Directive.</w:t>
      </w:r>
    </w:p>
    <w:p>
      <w:pPr>
        <w:spacing w:after="0" w:line="23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notes or to whom any offer is made will be deemed to have represented, acknowledged and agreed that it is a “qualified investor” within the meaning of the law in that Relevant Member State implementing Article 2(1)(e) of the Prospectus Directive. In the case of any notes being offered to a financial intermediary as that term is used in Article 3(2) of the Prospectus Directive,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which may give rise to an offer of any notes to the public other than their offer or resale in a Relevant Member State to qualified investors as so defined or in circumstances in which the prior consent of the representatives has been obtained to each such proposed offer or resale.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representatives and their affiliates will rely upon the truth and accuracy of the foregoing representations, acknowledgements and agreements.</w:t>
      </w:r>
    </w:p>
    <w:p>
      <w:pPr>
        <w:spacing w:after="0" w:line="2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is not a prospectus for purposes of the Prospectus Directive. 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they authorize, the making of any offer of notes in circumstances in which an obligation arises for us or the underwriters to publish a prospectus for such offer.</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(as amended, including by Directive 2010/73/EU) and includes any relevant implementing measure in the Relevant Member 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(i) who have professional experience in matters relating to investments falling within Article 19 (5) of the Financial Services and Markets Act 2000 (Financial Promotion) Order 2005, as amended (the “Order”) and/or (ii) who are persons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only engaged in with, relevant persons.</w:t>
      </w:r>
    </w:p>
    <w:p>
      <w:pPr>
        <w:spacing w:after="0" w:line="193"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No invitation or inducement to engage in investment activity (within the meaning of Section 21 of the Financial Services and Markets Act 2000 (“FSMA”)) received by the underwriters in connection with the issue or sale of the notes may be communicated or caused to be communicated except in circumstances in which Section 21(1) of the FSMA does not apply to the issuer. All applicable provisions of the FSMA must be complied with respect to anything done or to be done by the underwriters in relation to any notes in, from or otherwise involving the United Kingdom.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audited consolidated financial statements, schedules and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5"/>
          <w:szCs w:val="15"/>
          <w:color w:val="auto"/>
        </w:rPr>
        <w:t>LLP</w:t>
      </w:r>
      <w:r>
        <w:rPr>
          <w:rFonts w:ascii="Arial" w:cs="Arial" w:eastAsia="Arial" w:hAnsi="Arial"/>
          <w:sz w:val="18"/>
          <w:szCs w:val="18"/>
          <w:color w:val="auto"/>
        </w:rPr>
        <w:t>, New York, New York, will act as counsel to the underwriters.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3"/>
              </w:rPr>
              <w:t>Plan of Distribution</w:t>
            </w:r>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Legal Matters</w:t>
            </w:r>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Experts</w:t>
            </w:r>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Where You Can Find More Information</w:t>
            </w:r>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225" w:lineRule="exact"/>
        <w:rPr>
          <w:rFonts w:ascii="Arial" w:cs="Arial" w:eastAsia="Arial" w:hAnsi="Arial"/>
          <w:sz w:val="16"/>
          <w:szCs w:val="16"/>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sz w:val="20"/>
          <w:szCs w:val="20"/>
          <w:color w:val="auto"/>
        </w:rPr>
      </w:pPr>
    </w:p>
    <w:p>
      <w:pPr>
        <w:ind w:right="180" w:firstLine="464"/>
        <w:spacing w:after="0" w:line="277"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672465</wp:posOffset>
            </wp:positionV>
            <wp:extent cx="2255520" cy="909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5"/>
          <w:szCs w:val="25"/>
          <w:b w:val="1"/>
          <w:bCs w:val="1"/>
          <w:color w:val="auto"/>
        </w:rPr>
        <w:t>%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741045</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27"/>
          <w:szCs w:val="27"/>
          <w:b w:val="1"/>
          <w:bCs w:val="1"/>
          <w:color w:val="auto"/>
        </w:rPr>
        <w:t>Wells Fargo Securities</w:t>
      </w:r>
    </w:p>
    <w:p>
      <w:pPr>
        <w:spacing w:after="0" w:line="135"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r>
      <w:r>
        <w:rPr>
          <w:sz w:val="20"/>
          <w:szCs w:val="20"/>
          <w:color w:val="auto"/>
        </w:rPr>
        <w:tab/>
      </w:r>
      <w:r>
        <w:rPr>
          <w:rFonts w:ascii="Arial" w:cs="Arial" w:eastAsia="Arial" w:hAnsi="Arial"/>
          <w:sz w:val="15"/>
          <w:szCs w:val="15"/>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lvl w:ilvl="1">
      <w:lvlJc w:val="left"/>
      <w:lvlText w:val="•"/>
      <w:numFmt w:val="bullet"/>
      <w:start w:val="1"/>
    </w:lvl>
  </w:abstractNum>
  <w:abstractNum w:abstractNumId="2">
    <w:nsid w:val="579478FE"/>
    <w:multiLevelType w:val="hybridMultilevel"/>
    <w:lvl w:ilvl="0">
      <w:lvlJc w:val="left"/>
      <w:lvlText w:val="(%1)"/>
      <w:numFmt w:val="lowerLetter"/>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1)"/>
      <w:numFmt w:val="decimal"/>
      <w:start w:val="2"/>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lvl w:ilvl="1">
      <w:lvlJc w:val="left"/>
      <w:lvlText w:val="(%2)"/>
      <w:numFmt w:val="lowerLetter"/>
      <w:start w:val="1"/>
    </w:lvl>
  </w:abstractNum>
  <w:abstractNum w:abstractNumId="8">
    <w:nsid w:val="12E685FB"/>
    <w:multiLevelType w:val="hybridMultilevel"/>
    <w:lvl w:ilvl="0">
      <w:lvlJc w:val="left"/>
      <w:lvlText w:val="%1."/>
      <w:numFmt w:val="decimal"/>
      <w:start w:val="6"/>
    </w:lvl>
    <w:lvl w:ilvl="1">
      <w:lvlJc w:val="left"/>
      <w:lvlText w:val="(%2)"/>
      <w:numFmt w:val="lowerLetter"/>
      <w:start w:val="1"/>
    </w:lvl>
  </w:abstractNum>
  <w:abstractNum w:abstractNumId="9">
    <w:nsid w:val="70C6A529"/>
    <w:multiLevelType w:val="hybridMultilevel"/>
    <w:lvl w:ilvl="0">
      <w:lvlJc w:val="left"/>
      <w:lvlText w:val="%1."/>
      <w:numFmt w:val="decimal"/>
      <w:start w:val="7"/>
    </w:lvl>
    <w:lvl w:ilvl="1">
      <w:lvlJc w:val="left"/>
      <w:lvlText w:val="(%2)"/>
      <w:numFmt w:val="lowerLetter"/>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lvl w:ilvl="1">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lowerRoman"/>
      <w:start w:val="2"/>
    </w:lvl>
  </w:abstractNum>
  <w:abstractNum w:abstractNumId="18">
    <w:nsid w:val="180115BE"/>
    <w:multiLevelType w:val="hybridMultilevel"/>
    <w:lvl w:ilvl="0">
      <w:lvlJc w:val="left"/>
      <w:lvlText w:val="%1."/>
      <w:numFmt w:val="upperLetter"/>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lvl w:ilvl="1">
      <w:lvlJc w:val="left"/>
      <w:lvlText w:val="•"/>
      <w:numFmt w:val="bullet"/>
      <w:start w:val="1"/>
    </w:lvl>
  </w:abstractNum>
  <w:abstractNum w:abstractNumId="34">
    <w:nsid w:val="25A70BF7"/>
    <w:multiLevelType w:val="hybridMultilevel"/>
    <w:lvl w:ilvl="0">
      <w:lvlJc w:val="left"/>
      <w:lvlText w:val="•"/>
      <w:numFmt w:val="bullet"/>
      <w:start w:val="1"/>
    </w:lvl>
    <w:lvl w:ilvl="1">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decimal"/>
      <w:start w:val="5"/>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2"/>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2"/>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lvl w:ilvl="1">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lvl w:ilvl="1">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lvl w:ilvl="1">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lvl w:ilvl="1">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emdash "/>
      <w:numFmt w:val="bullet"/>
      <w:start w:val="1"/>
    </w:lvl>
  </w:abstractNum>
  <w:abstractNum w:abstractNumId="85">
    <w:nsid w:val="46B7D447"/>
    <w:multiLevelType w:val="hybridMultilevel"/>
    <w:lvl w:ilvl="0">
      <w:lvlJc w:val="left"/>
      <w:lvlText w:val="•"/>
      <w:numFmt w:val="bullet"/>
      <w:start w:val="1"/>
    </w:lvl>
    <w:lvl w:ilvl="1">
      <w:lvlJc w:val="left"/>
      <w:lvlText w:val="•"/>
      <w:numFmt w:val="bullet"/>
      <w:start w:val="1"/>
    </w:lvl>
  </w:abstractNum>
  <w:abstractNum w:abstractNumId="86">
    <w:nsid w:val="4A2AC315"/>
    <w:multiLevelType w:val="hybridMultilevel"/>
    <w:lvl w:ilvl="0">
      <w:lvlJc w:val="left"/>
      <w:lvlText w:val="(%1)"/>
      <w:numFmt w:val="lowerRoman"/>
      <w:start w:val="2"/>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lowerRoman"/>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2"/>
    </w:lvl>
  </w:abstractNum>
  <w:abstractNum w:abstractNumId="93">
    <w:nsid w:val="7F01579B"/>
    <w:multiLevelType w:val="hybridMultilevel"/>
    <w:lvl w:ilvl="0">
      <w:lvlJc w:val="left"/>
      <w:lvlText w:val="(%1)"/>
      <w:numFmt w:val="decimal"/>
      <w:start w:val="4"/>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2019-12-05T10:07:18Z</dcterms:created>
  <dcterms:modified xsi:type="dcterms:W3CDTF">2019-12-05T10:07:18Z</dcterms:modified>
</cp:coreProperties>
</file>