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6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pPr>
      <w:r>
        <w:rPr>
          <w:rFonts w:ascii="Times New Roman;sans-serif" w:hAnsi="Times New Roman;sans-serif"/>
          <w:b/>
          <w:color w:val="000000"/>
          <w:sz w:val="28"/>
        </w:rPr>
        <w:t>WASHINGTON, D.C. 20549</w:t>
      </w:r>
      <w:r>
        <w:rPr>
          <w:color w:val="000000"/>
        </w:rPr>
        <w:t> </w:t>
      </w:r>
    </w:p>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tbl>
      <w:tblPr>
        <w:tblW w:w="9447" w:type="dxa"/>
        <w:jc w:val="center"/>
        <w:tblInd w:w="0" w:type="dxa"/>
        <w:tblLayout w:type="fixed"/>
        <w:tblCellMar>
          <w:top w:w="28" w:type="dxa"/>
          <w:left w:w="28" w:type="dxa"/>
          <w:bottom w:w="28" w:type="dxa"/>
          <w:right w:w="28" w:type="dxa"/>
        </w:tblCellMar>
      </w:tblPr>
      <w:tblGrid>
        <w:gridCol w:w="124"/>
        <w:gridCol w:w="109"/>
        <w:gridCol w:w="109"/>
        <w:gridCol w:w="2661"/>
        <w:gridCol w:w="2661"/>
        <w:gridCol w:w="37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QUARTERLY REPORT PURSUANT TO THE SECTION 13 OR 15(D) OF THE SECURITIES EXCHANGE ACT OF 1934</w:t>
            </w:r>
          </w:p>
        </w:tc>
      </w:tr>
    </w:tbl>
    <w:p>
      <w:pPr>
        <w:pStyle w:val="TextBody"/>
        <w:bidi w:val="0"/>
        <w:spacing w:lineRule="auto" w:line="288" w:before="100" w:after="283"/>
        <w:jc w:val="center"/>
        <w:rPr>
          <w:rFonts w:ascii="Times New Roman;sans-serif" w:hAnsi="Times New Roman;sans-serif"/>
          <w:b/>
          <w:color w:val="000000"/>
          <w:sz w:val="17"/>
        </w:rPr>
      </w:pPr>
      <w:r>
        <w:rPr>
          <w:rFonts w:ascii="Times New Roman;sans-serif" w:hAnsi="Times New Roman;sans-serif"/>
          <w:b/>
          <w:color w:val="000000"/>
          <w:sz w:val="17"/>
        </w:rPr>
        <w:t xml:space="preserve">For the quarterly period ended March 31, 2024 </w:t>
      </w:r>
    </w:p>
    <w:p>
      <w:pPr>
        <w:pStyle w:val="TextBody"/>
        <w:bidi w:val="0"/>
        <w:spacing w:lineRule="auto" w:line="288" w:before="40" w:after="283"/>
        <w:jc w:val="center"/>
        <w:rPr>
          <w:rFonts w:ascii="Times New Roman;sans-serif" w:hAnsi="Times New Roman;sans-serif"/>
          <w:b/>
          <w:color w:val="000000"/>
          <w:sz w:val="17"/>
        </w:rPr>
      </w:pPr>
      <w:r>
        <w:rPr>
          <w:rFonts w:ascii="Times New Roman;sans-serif" w:hAnsi="Times New Roman;sans-serif"/>
          <w:b/>
          <w:color w:val="000000"/>
          <w:sz w:val="17"/>
        </w:rPr>
        <w:t>OR</w:t>
      </w:r>
    </w:p>
    <w:tbl>
      <w:tblPr>
        <w:tblW w:w="9041" w:type="dxa"/>
        <w:jc w:val="left"/>
        <w:tblInd w:w="0" w:type="dxa"/>
        <w:tblLayout w:type="fixed"/>
        <w:tblCellMar>
          <w:top w:w="28" w:type="dxa"/>
          <w:left w:w="28" w:type="dxa"/>
          <w:bottom w:w="28" w:type="dxa"/>
          <w:right w:w="28" w:type="dxa"/>
        </w:tblCellMar>
      </w:tblPr>
      <w:tblGrid>
        <w:gridCol w:w="124"/>
        <w:gridCol w:w="109"/>
        <w:gridCol w:w="109"/>
        <w:gridCol w:w="2545"/>
        <w:gridCol w:w="2545"/>
        <w:gridCol w:w="36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36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17"/>
        </w:rPr>
      </w:pPr>
      <w:r>
        <w:rPr>
          <w:rFonts w:ascii="Times New Roman;sans-serif" w:hAnsi="Times New Roman;sans-serif"/>
          <w:b/>
          <w:color w:val="000000"/>
          <w:sz w:val="17"/>
        </w:rPr>
        <w:t>For the transition period from              to             </w:t>
      </w:r>
    </w:p>
    <w:p>
      <w:pPr>
        <w:pStyle w:val="TextBody"/>
        <w:bidi w:val="0"/>
        <w:spacing w:lineRule="auto" w:line="288" w:before="80" w:after="283"/>
        <w:jc w:val="center"/>
        <w:rPr/>
      </w:pPr>
      <w:r>
        <w:rPr>
          <w:rFonts w:ascii="Times New Roman;sans-serif" w:hAnsi="Times New Roman;sans-serif"/>
          <w:b/>
          <w:color w:val="000000"/>
          <w:sz w:val="17"/>
        </w:rPr>
        <w:t>Commission file number: 1-07533</w:t>
      </w:r>
      <w:r>
        <w:rPr>
          <w:color w:val="000000"/>
        </w:rPr>
        <w:t> </w:t>
      </w:r>
      <w:r>
        <w:rPr>
          <w:rFonts w:ascii="Times New Roman;sans-serif" w:hAnsi="Times New Roman;sans-serif"/>
          <w:b/>
          <w:color w:val="000000"/>
          <w:sz w:val="17"/>
        </w:rPr>
        <w:t>(Federal Realty Investment Trust)</w:t>
      </w:r>
    </w:p>
    <w:p>
      <w:pPr>
        <w:pStyle w:val="TextBody"/>
        <w:bidi w:val="0"/>
        <w:spacing w:lineRule="auto" w:line="288" w:before="20" w:after="283"/>
        <w:jc w:val="center"/>
        <w:rPr/>
      </w:pPr>
      <w:r>
        <w:rPr>
          <w:rFonts w:ascii="Times New Roman;sans-serif" w:hAnsi="Times New Roman;sans-serif"/>
          <w:b/>
          <w:color w:val="000000"/>
          <w:sz w:val="17"/>
        </w:rPr>
        <w:t>Commission file number: 333-262016-01</w:t>
      </w:r>
      <w:r>
        <w:rPr>
          <w:color w:val="000000"/>
        </w:rPr>
        <w:t> </w:t>
      </w:r>
      <w:r>
        <w:rPr>
          <w:rFonts w:ascii="Times New Roman;sans-serif" w:hAnsi="Times New Roman;sans-serif"/>
          <w:b/>
          <w:color w:val="000000"/>
          <w:sz w:val="17"/>
        </w:rPr>
        <w:t>(Federal Realty OP LP)</w:t>
      </w:r>
    </w:p>
    <w:p>
      <w:pPr>
        <w:pStyle w:val="TextBody"/>
        <w:bidi w:val="0"/>
        <w:spacing w:lineRule="auto" w:line="288" w:before="80" w:after="283"/>
        <w:jc w:val="center"/>
        <w:rPr>
          <w:rFonts w:ascii="Times New Roman;sans-serif" w:hAnsi="Times New Roman;sans-serif"/>
          <w:b/>
          <w:color w:val="000000"/>
          <w:sz w:val="34"/>
        </w:rPr>
      </w:pPr>
      <w:r>
        <w:rPr>
          <w:rFonts w:ascii="Times New Roman;sans-serif" w:hAnsi="Times New Roman;sans-serif"/>
          <w:b/>
          <w:color w:val="000000"/>
          <w:sz w:val="34"/>
        </w:rPr>
        <w:t xml:space="preserve">FEDERAL REALTY INVESTMENT TRUST </w:t>
      </w:r>
    </w:p>
    <w:p>
      <w:pPr>
        <w:pStyle w:val="TextBody"/>
        <w:bidi w:val="0"/>
        <w:spacing w:lineRule="auto" w:line="288" w:before="80" w:after="283"/>
        <w:jc w:val="center"/>
        <w:rPr>
          <w:rFonts w:ascii="Times New Roman;sans-serif" w:hAnsi="Times New Roman;sans-serif"/>
          <w:b/>
          <w:color w:val="000000"/>
          <w:sz w:val="34"/>
        </w:rPr>
      </w:pPr>
      <w:r>
        <w:rPr>
          <w:rFonts w:ascii="Times New Roman;sans-serif" w:hAnsi="Times New Roman;sans-serif"/>
          <w:b/>
          <w:color w:val="000000"/>
          <w:sz w:val="34"/>
        </w:rPr>
        <w:t>FEDERAL REALTY OP LP</w:t>
      </w:r>
    </w:p>
    <w:p>
      <w:pPr>
        <w:pStyle w:val="TextBody"/>
        <w:bidi w:val="0"/>
        <w:spacing w:lineRule="auto" w:line="288" w:before="40" w:after="283"/>
        <w:jc w:val="center"/>
        <w:rPr>
          <w:rFonts w:ascii="Times New Roman;sans-serif" w:hAnsi="Times New Roman;sans-serif"/>
          <w:b/>
          <w:color w:val="000000"/>
          <w:sz w:val="17"/>
        </w:rPr>
      </w:pPr>
      <w:r>
        <w:rPr>
          <w:rFonts w:ascii="Times New Roman;sans-serif" w:hAnsi="Times New Roman;sans-serif"/>
          <w:b/>
          <w:color w:val="000000"/>
          <w:sz w:val="17"/>
        </w:rPr>
        <w:t>(Exact Name of Registrant as Specified in its Charter)</w:t>
      </w:r>
    </w:p>
    <w:tbl>
      <w:tblPr>
        <w:tblW w:w="6290" w:type="dxa"/>
        <w:jc w:val="center"/>
        <w:tblInd w:w="0" w:type="dxa"/>
        <w:tblLayout w:type="fixed"/>
        <w:tblCellMar>
          <w:top w:w="28" w:type="dxa"/>
          <w:left w:w="28" w:type="dxa"/>
          <w:bottom w:w="28" w:type="dxa"/>
          <w:right w:w="28" w:type="dxa"/>
        </w:tblCellMar>
      </w:tblPr>
      <w:tblGrid>
        <w:gridCol w:w="418"/>
        <w:gridCol w:w="367"/>
        <w:gridCol w:w="367"/>
        <w:gridCol w:w="367"/>
        <w:gridCol w:w="367"/>
        <w:gridCol w:w="367"/>
        <w:gridCol w:w="367"/>
        <w:gridCol w:w="367"/>
        <w:gridCol w:w="367"/>
        <w:gridCol w:w="109"/>
        <w:gridCol w:w="109"/>
        <w:gridCol w:w="109"/>
        <w:gridCol w:w="760"/>
        <w:gridCol w:w="760"/>
        <w:gridCol w:w="1089"/>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33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Maryland (Federal Realty Investment Trust)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87-3916363</w:t>
            </w:r>
          </w:p>
        </w:tc>
      </w:tr>
      <w:tr>
        <w:trPr/>
        <w:tc>
          <w:tcPr>
            <w:tcW w:w="33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Delaware (Federal Realty OP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52-0782497</w:t>
            </w:r>
          </w:p>
        </w:tc>
      </w:tr>
      <w:tr>
        <w:trPr/>
        <w:tc>
          <w:tcPr>
            <w:tcW w:w="3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(State of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(IRS Employer Identification No.)</w:t>
            </w:r>
          </w:p>
        </w:tc>
      </w:tr>
    </w:tbl>
    <w:p>
      <w:pPr>
        <w:pStyle w:val="TextBody"/>
        <w:bidi w:val="0"/>
        <w:spacing w:lineRule="auto" w:line="288" w:before="100" w:after="283"/>
        <w:jc w:val="center"/>
        <w:rPr>
          <w:rFonts w:ascii="Times New Roman;sans-serif" w:hAnsi="Times New Roman;sans-serif"/>
          <w:b/>
          <w:color w:val="000000"/>
          <w:sz w:val="17"/>
        </w:rPr>
      </w:pPr>
      <w:r>
        <w:rPr>
          <w:rFonts w:ascii="Times New Roman;sans-serif" w:hAnsi="Times New Roman;sans-serif"/>
          <w:b/>
          <w:color w:val="000000"/>
          <w:sz w:val="17"/>
        </w:rPr>
        <w:t xml:space="preserve">909 Rose Avenue, Suite 200, North Bethesda, Maryland 20852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100" w:after="283"/>
        <w:jc w:val="center"/>
        <w:rPr>
          <w:rFonts w:ascii="Times New Roman;sans-serif" w:hAnsi="Times New Roman;sans-serif"/>
          <w:b/>
          <w:color w:val="000000"/>
          <w:sz w:val="17"/>
        </w:rPr>
      </w:pPr>
      <w:r>
        <w:rPr>
          <w:rFonts w:ascii="Times New Roman;sans-serif" w:hAnsi="Times New Roman;sans-serif"/>
          <w:b/>
          <w:color w:val="000000"/>
          <w:sz w:val="17"/>
        </w:rPr>
        <w:t xml:space="preserve">(301) 998-8100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7"/>
          <w:u w:val="single"/>
        </w:rPr>
      </w:pPr>
      <w:r>
        <w:rPr>
          <w:rFonts w:ascii="Times New Roman;sans-serif" w:hAnsi="Times New Roman;sans-serif"/>
          <w:b/>
          <w:color w:val="000000"/>
          <w:sz w:val="17"/>
          <w:u w:val="single"/>
        </w:rPr>
        <w:t>Federal Realty Investment Trust</w:t>
      </w:r>
    </w:p>
    <w:tbl>
      <w:tblPr>
        <w:tblW w:w="10205" w:type="dxa"/>
        <w:jc w:val="center"/>
        <w:tblInd w:w="0" w:type="dxa"/>
        <w:tblLayout w:type="fixed"/>
        <w:tblCellMar>
          <w:top w:w="28" w:type="dxa"/>
          <w:left w:w="28" w:type="dxa"/>
          <w:bottom w:w="28" w:type="dxa"/>
          <w:right w:w="28" w:type="dxa"/>
        </w:tblCellMar>
      </w:tblPr>
      <w:tblGrid>
        <w:gridCol w:w="2022"/>
        <w:gridCol w:w="1766"/>
        <w:gridCol w:w="1778"/>
        <w:gridCol w:w="415"/>
        <w:gridCol w:w="415"/>
        <w:gridCol w:w="416"/>
        <w:gridCol w:w="991"/>
        <w:gridCol w:w="991"/>
        <w:gridCol w:w="1411"/>
      </w:tblGrid>
      <w:tr>
        <w:trPr/>
        <w:tc>
          <w:tcPr>
            <w:tcW w:w="2022"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5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Title of Each Class</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Trading Symbol</w:t>
            </w:r>
          </w:p>
        </w:tc>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Name of Each Exchange On Which Registered</w:t>
            </w:r>
          </w:p>
        </w:tc>
      </w:tr>
      <w:tr>
        <w:trPr/>
        <w:tc>
          <w:tcPr>
            <w:tcW w:w="5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Common Shares of Beneficial Interest</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FRT</w:t>
            </w:r>
          </w:p>
        </w:tc>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New York Stock Exchange</w:t>
            </w:r>
          </w:p>
        </w:tc>
      </w:tr>
      <w:tr>
        <w:trPr/>
        <w:tc>
          <w:tcPr>
            <w:tcW w:w="5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$.01 par value per share, with associated Common Share Purchase Rights</w:t>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 xml:space="preserve">Depositary Shares, each representing 1/1000 of a share of </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FRT-C</w:t>
            </w:r>
          </w:p>
        </w:tc>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New York Stock Exchange</w:t>
            </w:r>
          </w:p>
        </w:tc>
      </w:tr>
      <w:tr>
        <w:trPr/>
        <w:tc>
          <w:tcPr>
            <w:tcW w:w="5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5.00% Series C Cumulative Redeemable Preferred Stock, $.01 par value per share</w:t>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7"/>
          <w:u w:val="single"/>
        </w:rPr>
      </w:pPr>
      <w:r>
        <w:rPr>
          <w:rFonts w:ascii="Times New Roman;sans-serif" w:hAnsi="Times New Roman;sans-serif"/>
          <w:b/>
          <w:color w:val="000000"/>
          <w:sz w:val="17"/>
          <w:u w:val="single"/>
        </w:rPr>
        <w:t>Federal Realty OP LP</w:t>
      </w:r>
    </w:p>
    <w:tbl>
      <w:tblPr>
        <w:tblW w:w="6253" w:type="dxa"/>
        <w:jc w:val="center"/>
        <w:tblInd w:w="0" w:type="dxa"/>
        <w:tblLayout w:type="fixed"/>
        <w:tblCellMar>
          <w:top w:w="28" w:type="dxa"/>
          <w:left w:w="28" w:type="dxa"/>
          <w:bottom w:w="28" w:type="dxa"/>
          <w:right w:w="28" w:type="dxa"/>
        </w:tblCellMar>
      </w:tblPr>
      <w:tblGrid>
        <w:gridCol w:w="530"/>
        <w:gridCol w:w="468"/>
        <w:gridCol w:w="471"/>
        <w:gridCol w:w="424"/>
        <w:gridCol w:w="424"/>
        <w:gridCol w:w="426"/>
        <w:gridCol w:w="1027"/>
        <w:gridCol w:w="1027"/>
        <w:gridCol w:w="1456"/>
      </w:tblGrid>
      <w:tr>
        <w:trPr/>
        <w:tc>
          <w:tcPr>
            <w:tcW w:w="53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Trading Symbol</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Name of Each Exchange On Which Registered</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None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6"/>
        </w:rPr>
        <w:t>Federal Realty Investment Trust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 Federal Realty OP LP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w:t>
      </w:r>
    </w:p>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0"/>
        <w:jc w:val="center"/>
        <w:rPr/>
      </w:pPr>
      <w:r>
        <w:rPr>
          <w:rFonts w:ascii="Times New Roman;sans-serif" w:hAnsi="Times New Roman;sans-serif"/>
          <w:b w:val="false"/>
          <w:color w:val="000000"/>
          <w:sz w:val="16"/>
        </w:rPr>
        <w:t>Federal Realty Investment Trust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 Federal Realty OP LP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w:t>
      </w:r>
    </w:p>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9826" w:type="dxa"/>
        <w:jc w:val="left"/>
        <w:tblInd w:w="0" w:type="dxa"/>
        <w:tblLayout w:type="fixed"/>
        <w:tblCellMar>
          <w:top w:w="28" w:type="dxa"/>
          <w:left w:w="28" w:type="dxa"/>
          <w:bottom w:w="28" w:type="dxa"/>
          <w:right w:w="28" w:type="dxa"/>
        </w:tblCellMar>
      </w:tblPr>
      <w:tblGrid>
        <w:gridCol w:w="630"/>
        <w:gridCol w:w="553"/>
        <w:gridCol w:w="557"/>
        <w:gridCol w:w="191"/>
        <w:gridCol w:w="191"/>
        <w:gridCol w:w="191"/>
        <w:gridCol w:w="673"/>
        <w:gridCol w:w="673"/>
        <w:gridCol w:w="678"/>
        <w:gridCol w:w="191"/>
        <w:gridCol w:w="191"/>
        <w:gridCol w:w="191"/>
        <w:gridCol w:w="109"/>
        <w:gridCol w:w="109"/>
        <w:gridCol w:w="109"/>
        <w:gridCol w:w="574"/>
        <w:gridCol w:w="574"/>
        <w:gridCol w:w="576"/>
        <w:gridCol w:w="131"/>
        <w:gridCol w:w="131"/>
        <w:gridCol w:w="131"/>
        <w:gridCol w:w="673"/>
        <w:gridCol w:w="673"/>
        <w:gridCol w:w="678"/>
        <w:gridCol w:w="131"/>
        <w:gridCol w:w="131"/>
        <w:gridCol w:w="186"/>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9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Federal Realty Investment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Federal Realty OP LP</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448"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center"/>
        <w:rPr/>
      </w:pPr>
      <w:r>
        <w:rPr>
          <w:rFonts w:ascii="Times New Roman;sans-serif" w:hAnsi="Times New Roman;sans-serif"/>
          <w:b w:val="false"/>
          <w:color w:val="000000"/>
          <w:sz w:val="16"/>
        </w:rPr>
        <w:t>Federal Realty Investment Trust </w:t>
      </w:r>
      <w:r>
        <w:rPr>
          <w:color w:val="000000"/>
        </w:rPr>
        <w:t xml:space="preserve">☐  </w:t>
      </w:r>
      <w:r>
        <w:rPr>
          <w:rFonts w:ascii="Times New Roman;sans-serif" w:hAnsi="Times New Roman;sans-serif"/>
          <w:b w:val="false"/>
          <w:color w:val="000000"/>
          <w:sz w:val="16"/>
        </w:rPr>
        <w:t>Federal Realty OP LP </w:t>
      </w:r>
      <w:r>
        <w:rPr>
          <w:color w:val="000000"/>
        </w:rPr>
        <w:t>☐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w:t>
      </w:r>
    </w:p>
    <w:p>
      <w:pPr>
        <w:pStyle w:val="TextBody"/>
        <w:bidi w:val="0"/>
        <w:spacing w:lineRule="auto" w:line="288" w:before="0" w:after="0"/>
        <w:jc w:val="center"/>
        <w:rPr/>
      </w:pPr>
      <w:r>
        <w:rPr>
          <w:rFonts w:ascii="Times New Roman;sans-serif" w:hAnsi="Times New Roman;sans-serif"/>
          <w:b w:val="false"/>
          <w:color w:val="000000"/>
          <w:sz w:val="16"/>
        </w:rPr>
        <w:t xml:space="preserve">Federal Realty Investment Trust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 xml:space="preserve">No Federal Realty OP LP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 xml:space="preserve">No </w:t>
      </w:r>
    </w:p>
    <w:p>
      <w:pPr>
        <w:pStyle w:val="TextBody"/>
        <w:bidi w:val="0"/>
        <w:spacing w:lineRule="auto" w:line="288" w:before="10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number of Federal Realty Investment Trust's common shares outstanding on April 29, 2024 was 82,952,622.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EXPLANATORY NOTE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combines the quarterly reports on Form 10-Q for the quarter ended March 31, 2024, of Federal Realty Investment Trust and Federal Realty OP, LP. Unless stated otherwise or the context otherwise requires, references to "Federal Realty Investment Trust," the "Parent Company" or the "Trust" mean Federal Realty Investment Trust; and references to "Federal Realty OP LP" or the "Operating Partnership" mean Federal Realty OP LP. The term "the Company," "we," "us," and "our" refer to the Parent Company and its business and operations conducted through its directly and indirectly owned subsidiaries, including the Operating Partnership. References to "shares" and "shareholders" refer to the shares and shareholders of the Parent Company and not the limited partnership interests for limited partners of the Operating Partnership.</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Parent Company is a real estate investment trust ("REIT") that owns 100% of the limited liability company interests of, is the sole member of, and exercises exclusive control over Federal Realty GP LLC (the "General Partner"), which is the sole general partner of the Operating Partnership. As of March 31, 2024, the Parent Company owned 100% of the outstanding partnership units (the "OP Units") in the Operating Partnership.</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combining the quarterly reports on Form 10-Q of the Parent Company and the Operating Partnership into this single report provides the following benefits: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Enhances investors' understanding of the Parent Company and the Operating Partnership by enabling investors to view the businesses as a whole in the same manner as management views and operates the business;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Eliminates duplicate disclosure and provides a more streamlined and readable presentation; and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Creates time and cost efficiencies through the preparation of one combined report instead of two separate reports.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operates the Parent Company and the Operating Partnership as one business. Since the Operating Partnership is managed by the Parent Company, and the Parent Company conducts substantially all of its operations through the Operating Partnership, the management of the Parent Company consists of the same individuals as the management of the Operating Partnership.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it is important to understand the few differences between the Parent Company and the Operating Partnership in the context of how the Parent Company and the Operating Partnership operate as a consolidated company. The Parent Company is a REIT, whose only material asset is its direct and indirect interest in the Operating Partnership. As a result, the Parent Company does not conduct business itself other than issuing public equity from time to time. The Parent Company is not expected to incur any material indebtedness. The Operating Partnership holds substantially all of our assets and retains the ownership interests in the Company's joint ventures. Except for net proceeds from public equity issuances by the Parent Company, which are contributed to the Operating Partnership in exchange for OP Units, the Operating Partnership generates all capital required by the Company’s business. Sources of this capital include the Operating Partnership’s operations, its direct or indirect incurrence of indebtedness, and the issuance of partnership units.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 partner capital, and non-controlling interests are the primary areas of difference between the unaudited consolidated financial statements of the Parent Company and those of the Operating Partnership. The Operating Partnership’s capital currently includes OP Units owned by the Parent Company, and may in the future include OP Units owned by third parties. OP Units owned by third parties, if any, are accounted for in capital in the Operating Partnership’s financial statements and in non-controlling interests in the Parent Company’s financial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Parent Company consolidates the Operating Partnership for financial reporting purposes, and the Parent Company does not have assets other than its investment in the Operating Partnership. Therefore, while shareholders’ equity and partners' capital differ as discussed above, the assets and liabilities of the Parent Company and the Operating Partnership are the same on their respective financial statements.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highlight the differences between the Parent Company and the Operating Partnership, there are sections in this report that separately discuss the Parent Company and the Operating Partnership, including separate financial statements (but combined footnotes), separate controls and procedures sections, and separate Exhibit 31 and 32 certifications. In the sections that combine disclosure for the Parent Company and the Operating Partnership, this report refers to actions or holdings as being actions or holdings of the Company.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QUARTER ENDED MARCH 31, 2024 </w:t>
      </w:r>
    </w:p>
    <w:p>
      <w:pPr>
        <w:pStyle w:val="TextBody"/>
        <w:bidi w:val="0"/>
        <w:spacing w:before="60" w:after="283"/>
        <w:jc w:val="lef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60" w:after="283"/>
        <w:jc w:val="left"/>
        <w:rPr/>
      </w:pPr>
      <w:r>
        <w:rPr/>
      </w:r>
    </w:p>
    <w:tbl>
      <w:tblPr>
        <w:tblW w:w="10205" w:type="dxa"/>
        <w:jc w:val="center"/>
        <w:tblInd w:w="0" w:type="dxa"/>
        <w:tblLayout w:type="fixed"/>
        <w:tblCellMar>
          <w:top w:w="28" w:type="dxa"/>
          <w:left w:w="28" w:type="dxa"/>
          <w:bottom w:w="28" w:type="dxa"/>
          <w:right w:w="28" w:type="dxa"/>
        </w:tblCellMar>
      </w:tblPr>
      <w:tblGrid>
        <w:gridCol w:w="576"/>
        <w:gridCol w:w="501"/>
        <w:gridCol w:w="501"/>
        <w:gridCol w:w="2786"/>
        <w:gridCol w:w="2714"/>
        <w:gridCol w:w="2753"/>
        <w:gridCol w:w="109"/>
        <w:gridCol w:w="109"/>
        <w:gridCol w:w="156"/>
      </w:tblGrid>
      <w:tr>
        <w:trPr/>
        <w:tc>
          <w:tcPr>
            <w:tcW w:w="57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90b5f3cf340f98ab93baf46435eba_13">
              <w:r>
                <w:rPr>
                  <w:rStyle w:val="InternetLink"/>
                  <w:rFonts w:ascii="Times New Roman;sans-serif" w:hAnsi="Times New Roman;sans-serif"/>
                  <w:b w:val="false"/>
                  <w:color w:val="0000FF"/>
                  <w:sz w:val="20"/>
                  <w:u w:val="single"/>
                </w:rPr>
                <w:t>3</w:t>
              </w:r>
            </w:hyperlink>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March 31, 2024 (unaudited) and December 31, 2023</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90b5f3cf340f98ab93baf46435eba_19">
              <w:r>
                <w:rPr>
                  <w:rStyle w:val="InternetLink"/>
                  <w:rFonts w:ascii="Times New Roman;sans-serif" w:hAnsi="Times New Roman;sans-serif"/>
                  <w:b w:val="false"/>
                  <w:color w:val="0000FF"/>
                  <w:sz w:val="20"/>
                  <w:u w:val="single"/>
                </w:rPr>
                <w:t>3</w:t>
              </w:r>
            </w:hyperlink>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(unaudited) for the three months ended March 31, 2024 and 2023</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90b5f3cf340f98ab93baf46435eba_25">
              <w:r>
                <w:rPr>
                  <w:rStyle w:val="InternetLink"/>
                  <w:rFonts w:ascii="Times New Roman;sans-serif" w:hAnsi="Times New Roman;sans-serif"/>
                  <w:b w:val="false"/>
                  <w:color w:val="0000FF"/>
                  <w:sz w:val="20"/>
                  <w:u w:val="single"/>
                </w:rPr>
                <w:t>4</w:t>
              </w:r>
            </w:hyperlink>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Shareholders' Equity (unaudited) for the three months ended March 31, 2024 and 2023</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90b5f3cf340f98ab93baf46435eba_28">
              <w:r>
                <w:rPr>
                  <w:rStyle w:val="InternetLink"/>
                  <w:rFonts w:ascii="Times New Roman;sans-serif" w:hAnsi="Times New Roman;sans-serif"/>
                  <w:b w:val="false"/>
                  <w:color w:val="0000FF"/>
                  <w:sz w:val="20"/>
                  <w:u w:val="single"/>
                </w:rPr>
                <w:t>5</w:t>
              </w:r>
            </w:hyperlink>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(unaudited) for the three months ended March 31, 2024 and 2023</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90b5f3cf340f98ab93baf46435eba_31">
              <w:r>
                <w:rPr>
                  <w:rStyle w:val="InternetLink"/>
                  <w:rFonts w:ascii="Times New Roman;sans-serif" w:hAnsi="Times New Roman;sans-serif"/>
                  <w:b w:val="false"/>
                  <w:color w:val="0000FF"/>
                  <w:sz w:val="20"/>
                  <w:u w:val="single"/>
                </w:rPr>
                <w:t>6</w:t>
              </w:r>
            </w:hyperlink>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OP LP</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March 31, 2024 (unaudited) and December 31, 2023</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90b5f3cf340f98ab93baf46435eba_37">
              <w:r>
                <w:rPr>
                  <w:rStyle w:val="InternetLink"/>
                  <w:rFonts w:ascii="Times New Roman;sans-serif" w:hAnsi="Times New Roman;sans-serif"/>
                  <w:b w:val="false"/>
                  <w:color w:val="0000FF"/>
                  <w:sz w:val="20"/>
                  <w:u w:val="single"/>
                </w:rPr>
                <w:t>7</w:t>
              </w:r>
            </w:hyperlink>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(unaudited) for the three months ended March 31, 2024 and 2023</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90b5f3cf340f98ab93baf46435eba_40">
              <w:r>
                <w:rPr>
                  <w:rStyle w:val="InternetLink"/>
                  <w:rFonts w:ascii="Times New Roman;sans-serif" w:hAnsi="Times New Roman;sans-serif"/>
                  <w:b w:val="false"/>
                  <w:color w:val="0000FF"/>
                  <w:sz w:val="20"/>
                  <w:u w:val="single"/>
                </w:rPr>
                <w:t>8</w:t>
              </w:r>
            </w:hyperlink>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Capital (unaudited) for the three months ended March 31, 2024 and 2023</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90b5f3cf340f98ab93baf46435eba_43">
              <w:r>
                <w:rPr>
                  <w:rStyle w:val="InternetLink"/>
                  <w:rFonts w:ascii="Times New Roman;sans-serif" w:hAnsi="Times New Roman;sans-serif"/>
                  <w:b w:val="false"/>
                  <w:color w:val="0000FF"/>
                  <w:sz w:val="20"/>
                  <w:u w:val="single"/>
                </w:rPr>
                <w:t>9</w:t>
              </w:r>
            </w:hyperlink>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(unaudited) for the three months ended March 31, 2024 and 2023</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90b5f3cf340f98ab93baf46435eba_46">
              <w:r>
                <w:rPr>
                  <w:rStyle w:val="InternetLink"/>
                  <w:rFonts w:ascii="Times New Roman;sans-serif" w:hAnsi="Times New Roman;sans-serif"/>
                  <w:b w:val="false"/>
                  <w:color w:val="0000FF"/>
                  <w:sz w:val="20"/>
                  <w:u w:val="single"/>
                </w:rPr>
                <w:t>10</w:t>
              </w:r>
            </w:hyperlink>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90b5f3cf340f98ab93baf46435eba_49">
              <w:r>
                <w:rPr>
                  <w:rStyle w:val="InternetLink"/>
                  <w:rFonts w:ascii="Times New Roman;sans-serif" w:hAnsi="Times New Roman;sans-serif"/>
                  <w:b w:val="false"/>
                  <w:color w:val="0000FF"/>
                  <w:sz w:val="20"/>
                  <w:u w:val="single"/>
                </w:rPr>
                <w:t>11</w:t>
              </w:r>
            </w:hyperlink>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90b5f3cf340f98ab93baf46435eba_82">
              <w:r>
                <w:rPr>
                  <w:rStyle w:val="InternetLink"/>
                  <w:rFonts w:ascii="Times New Roman;sans-serif" w:hAnsi="Times New Roman;sans-serif"/>
                  <w:b w:val="false"/>
                  <w:color w:val="0000FF"/>
                  <w:sz w:val="20"/>
                  <w:u w:val="single"/>
                </w:rPr>
                <w:t>17</w:t>
              </w:r>
            </w:hyperlink>
          </w:p>
        </w:tc>
      </w:tr>
      <w:tr>
        <w:trPr/>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Quantitative and Qualitative Disclosures about Market Risk</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90b5f3cf340f98ab93baf46435eba_94">
              <w:r>
                <w:rPr>
                  <w:rStyle w:val="InternetLink"/>
                  <w:rFonts w:ascii="Times New Roman;sans-serif" w:hAnsi="Times New Roman;sans-serif"/>
                  <w:b w:val="false"/>
                  <w:color w:val="0000FF"/>
                  <w:sz w:val="20"/>
                  <w:u w:val="single"/>
                </w:rPr>
                <w:t>29</w:t>
              </w:r>
            </w:hyperlink>
          </w:p>
        </w:tc>
      </w:tr>
      <w:tr>
        <w:trPr/>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Controls and Procedures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90b5f3cf340f98ab93baf46435eba_97">
              <w:r>
                <w:rPr>
                  <w:rStyle w:val="InternetLink"/>
                  <w:rFonts w:ascii="Times New Roman;sans-serif" w:hAnsi="Times New Roman;sans-serif"/>
                  <w:b w:val="false"/>
                  <w:color w:val="0000FF"/>
                  <w:sz w:val="20"/>
                  <w:u w:val="single"/>
                </w:rPr>
                <w:t>30</w:t>
              </w:r>
            </w:hyperlink>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90b5f3cf340f98ab93baf46435eba_100">
              <w:r>
                <w:rPr>
                  <w:rStyle w:val="InternetLink"/>
                  <w:rFonts w:ascii="Times New Roman;sans-serif" w:hAnsi="Times New Roman;sans-serif"/>
                  <w:b w:val="false"/>
                  <w:color w:val="0000FF"/>
                  <w:sz w:val="20"/>
                  <w:u w:val="single"/>
                </w:rPr>
                <w:t>31</w:t>
              </w:r>
            </w:hyperlink>
          </w:p>
        </w:tc>
      </w:tr>
      <w:tr>
        <w:trPr/>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Proceedings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90b5f3cf340f98ab93baf46435eba_103">
              <w:r>
                <w:rPr>
                  <w:rStyle w:val="InternetLink"/>
                  <w:rFonts w:ascii="Times New Roman;sans-serif" w:hAnsi="Times New Roman;sans-serif"/>
                  <w:b w:val="false"/>
                  <w:color w:val="0000FF"/>
                  <w:sz w:val="20"/>
                  <w:u w:val="single"/>
                </w:rPr>
                <w:t>31</w:t>
              </w:r>
            </w:hyperlink>
          </w:p>
        </w:tc>
      </w:tr>
      <w:tr>
        <w:trPr/>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90b5f3cf340f98ab93baf46435eba_106">
              <w:r>
                <w:rPr>
                  <w:rStyle w:val="InternetLink"/>
                  <w:rFonts w:ascii="Times New Roman;sans-serif" w:hAnsi="Times New Roman;sans-serif"/>
                  <w:b w:val="false"/>
                  <w:color w:val="0000FF"/>
                  <w:sz w:val="20"/>
                  <w:u w:val="single"/>
                </w:rPr>
                <w:t>31</w:t>
              </w:r>
            </w:hyperlink>
          </w:p>
        </w:tc>
      </w:tr>
      <w:tr>
        <w:trPr/>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Unregistered Sales of Equity Securities and Use of Proceeds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90b5f3cf340f98ab93baf46435eba_109">
              <w:r>
                <w:rPr>
                  <w:rStyle w:val="InternetLink"/>
                  <w:rFonts w:ascii="Times New Roman;sans-serif" w:hAnsi="Times New Roman;sans-serif"/>
                  <w:b w:val="false"/>
                  <w:color w:val="0000FF"/>
                  <w:sz w:val="20"/>
                  <w:u w:val="single"/>
                </w:rPr>
                <w:t>31</w:t>
              </w:r>
            </w:hyperlink>
          </w:p>
        </w:tc>
      </w:tr>
      <w:tr>
        <w:trPr/>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Defaults Upon Senior Securities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90b5f3cf340f98ab93baf46435eba_112">
              <w:r>
                <w:rPr>
                  <w:rStyle w:val="InternetLink"/>
                  <w:rFonts w:ascii="Times New Roman;sans-serif" w:hAnsi="Times New Roman;sans-serif"/>
                  <w:b w:val="false"/>
                  <w:color w:val="0000FF"/>
                  <w:sz w:val="20"/>
                  <w:u w:val="single"/>
                </w:rPr>
                <w:t>31</w:t>
              </w:r>
            </w:hyperlink>
          </w:p>
        </w:tc>
      </w:tr>
      <w:tr>
        <w:trPr/>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 Safety Disclosures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90b5f3cf340f98ab93baf46435eba_115">
              <w:r>
                <w:rPr>
                  <w:rStyle w:val="InternetLink"/>
                  <w:rFonts w:ascii="Times New Roman;sans-serif" w:hAnsi="Times New Roman;sans-serif"/>
                  <w:b w:val="false"/>
                  <w:color w:val="0000FF"/>
                  <w:sz w:val="20"/>
                  <w:u w:val="single"/>
                </w:rPr>
                <w:t>31</w:t>
              </w:r>
            </w:hyperlink>
          </w:p>
        </w:tc>
      </w:tr>
      <w:tr>
        <w:trPr/>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90b5f3cf340f98ab93baf46435eba_118">
              <w:r>
                <w:rPr>
                  <w:rStyle w:val="InternetLink"/>
                  <w:rFonts w:ascii="Times New Roman;sans-serif" w:hAnsi="Times New Roman;sans-serif"/>
                  <w:b w:val="false"/>
                  <w:color w:val="0000FF"/>
                  <w:sz w:val="20"/>
                  <w:u w:val="single"/>
                </w:rPr>
                <w:t>31</w:t>
              </w:r>
            </w:hyperlink>
          </w:p>
        </w:tc>
      </w:tr>
      <w:tr>
        <w:trPr/>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90b5f3cf340f98ab93baf46435eba_121">
              <w:r>
                <w:rPr>
                  <w:rStyle w:val="InternetLink"/>
                  <w:rFonts w:ascii="Times New Roman;sans-serif" w:hAnsi="Times New Roman;sans-serif"/>
                  <w:b w:val="false"/>
                  <w:color w:val="0000FF"/>
                  <w:sz w:val="20"/>
                  <w:u w:val="single"/>
                </w:rPr>
                <w:t>31</w:t>
              </w:r>
            </w:hyperlink>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SIGNATURES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90b5f3cf340f98ab93baf46435eba_127">
              <w:r>
                <w:rPr>
                  <w:rStyle w:val="InternetLink"/>
                  <w:rFonts w:ascii="Times New Roman;sans-serif" w:hAnsi="Times New Roman;sans-serif"/>
                  <w:b w:val="false"/>
                  <w:color w:val="0000FF"/>
                  <w:sz w:val="20"/>
                  <w:u w:val="single"/>
                </w:rPr>
                <w:t>41</w:t>
              </w:r>
            </w:hyperlink>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60"/>
        <w:gridCol w:w="1994"/>
        <w:gridCol w:w="1964"/>
        <w:gridCol w:w="225"/>
        <w:gridCol w:w="1158"/>
        <w:gridCol w:w="116"/>
        <w:gridCol w:w="116"/>
        <w:gridCol w:w="116"/>
        <w:gridCol w:w="116"/>
        <w:gridCol w:w="225"/>
        <w:gridCol w:w="1045"/>
        <w:gridCol w:w="170"/>
      </w:tblGrid>
      <w:tr>
        <w:trPr/>
        <w:tc>
          <w:tcPr>
            <w:tcW w:w="2960"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9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r>
      <w:tr>
        <w:trPr/>
        <w:tc>
          <w:tcPr>
            <w:tcW w:w="6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at cost</w:t>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(including $2,024,995 and $2,021,622 of consolidated variable interest entities, respectively)</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10,027,356 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9,932,891 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 (including $13,299 and $8,677 of consolidated variable interest entities, respectively)</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613,296 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10,605,101 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10,546,187 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 (including $430,578 and $416,663 of consolidated variable interest entities, respectively)</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(3,032,163)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(2,963,519)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 estate</w:t>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7,572,938 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7,582,668 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250,825 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 net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201,733 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receivable, net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 net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 of use assets, net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263,377 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8,271,660 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8,436,512 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SHAREHOLDERS’ EQUITY</w:t>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Mortgages payable, net (including $188,629 and $189,286 of consolidated variable interest entities, respectively)</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516,936 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601,945 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3,353,228 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3,480,296 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174,714 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92,634 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 payable</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and deferred credits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225,443 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5,092,704 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5,210,990 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5)</w:t>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183,363 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shares, authorized 15,000,000 shares, $.01 par:</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 Series C Cumulative Redeemable Preferred Shares, (stated at liquidation preference $25,000 per share), 6,000 shares issued and outstanding</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 (stated at liquidation preference $25 per share), 392,878 shares issued and outstanding</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of beneficial interest, $.01 par, 200,000,000 shares authorized, respectively, 82,948,600 and 82,775,286 shares issued and outstanding, respectively</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3,946,740 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3,959,276 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dividends in excess of net income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(1,196,225)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(1,160,474)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 of the Trust</w:t>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2,918,071 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2,963,509 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2,995,992 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3,042,159 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8,271,660 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8,436,512 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710" w:type="dxa"/>
        <w:jc w:val="center"/>
        <w:tblInd w:w="0" w:type="dxa"/>
        <w:tblLayout w:type="fixed"/>
        <w:tblCellMar>
          <w:top w:w="28" w:type="dxa"/>
          <w:left w:w="28" w:type="dxa"/>
          <w:bottom w:w="28" w:type="dxa"/>
          <w:right w:w="28" w:type="dxa"/>
        </w:tblCellMar>
      </w:tblPr>
      <w:tblGrid>
        <w:gridCol w:w="1975"/>
        <w:gridCol w:w="1733"/>
        <w:gridCol w:w="1736"/>
        <w:gridCol w:w="224"/>
        <w:gridCol w:w="879"/>
        <w:gridCol w:w="115"/>
        <w:gridCol w:w="115"/>
        <w:gridCol w:w="115"/>
        <w:gridCol w:w="115"/>
        <w:gridCol w:w="224"/>
        <w:gridCol w:w="879"/>
        <w:gridCol w:w="119"/>
        <w:gridCol w:w="109"/>
        <w:gridCol w:w="109"/>
        <w:gridCol w:w="109"/>
        <w:gridCol w:w="154"/>
      </w:tblGrid>
      <w:tr>
        <w:trPr/>
        <w:tc>
          <w:tcPr>
            <w:tcW w:w="1975"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291,323 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273,059 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191,129 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178,953 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Gain on sale of real estate</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BASIC AND DILUTED:</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available for common shareholders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1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82,605 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81,141 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THE TRUST</w:t>
            </w:r>
          </w:p>
        </w:tc>
        <w:tc>
          <w:tcPr>
            <w:tcW w:w="2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59,583 </w:t>
            </w:r>
          </w:p>
        </w:tc>
        <w:tc>
          <w:tcPr>
            <w:tcW w:w="1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54,124 </w:t>
            </w:r>
          </w:p>
        </w:tc>
        <w:tc>
          <w:tcPr>
            <w:tcW w:w="1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Shareholders’ Equity </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2024 and 2023</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3648" w:type="dxa"/>
        <w:jc w:val="center"/>
        <w:tblInd w:w="0" w:type="dxa"/>
        <w:tblLayout w:type="fixed"/>
        <w:tblCellMar>
          <w:top w:w="28" w:type="dxa"/>
          <w:left w:w="28" w:type="dxa"/>
          <w:bottom w:w="28" w:type="dxa"/>
          <w:right w:w="28" w:type="dxa"/>
        </w:tblCellMar>
      </w:tblPr>
      <w:tblGrid>
        <w:gridCol w:w="520"/>
        <w:gridCol w:w="325"/>
        <w:gridCol w:w="326"/>
        <w:gridCol w:w="368"/>
        <w:gridCol w:w="368"/>
        <w:gridCol w:w="196"/>
        <w:gridCol w:w="109"/>
        <w:gridCol w:w="109"/>
        <w:gridCol w:w="109"/>
        <w:gridCol w:w="196"/>
        <w:gridCol w:w="736"/>
        <w:gridCol w:w="109"/>
        <w:gridCol w:w="109"/>
        <w:gridCol w:w="109"/>
        <w:gridCol w:w="109"/>
        <w:gridCol w:w="480"/>
        <w:gridCol w:w="481"/>
        <w:gridCol w:w="196"/>
        <w:gridCol w:w="109"/>
        <w:gridCol w:w="109"/>
        <w:gridCol w:w="109"/>
        <w:gridCol w:w="196"/>
        <w:gridCol w:w="421"/>
        <w:gridCol w:w="109"/>
        <w:gridCol w:w="109"/>
        <w:gridCol w:w="109"/>
        <w:gridCol w:w="109"/>
        <w:gridCol w:w="196"/>
        <w:gridCol w:w="871"/>
        <w:gridCol w:w="109"/>
        <w:gridCol w:w="109"/>
        <w:gridCol w:w="109"/>
        <w:gridCol w:w="109"/>
        <w:gridCol w:w="196"/>
        <w:gridCol w:w="886"/>
        <w:gridCol w:w="109"/>
        <w:gridCol w:w="109"/>
        <w:gridCol w:w="109"/>
        <w:gridCol w:w="109"/>
        <w:gridCol w:w="276"/>
        <w:gridCol w:w="785"/>
        <w:gridCol w:w="155"/>
        <w:gridCol w:w="109"/>
        <w:gridCol w:w="109"/>
        <w:gridCol w:w="109"/>
        <w:gridCol w:w="247"/>
        <w:gridCol w:w="815"/>
        <w:gridCol w:w="139"/>
        <w:gridCol w:w="109"/>
        <w:gridCol w:w="109"/>
        <w:gridCol w:w="109"/>
        <w:gridCol w:w="196"/>
        <w:gridCol w:w="871"/>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0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Shareholders’ Equity of the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Dividends in</w:t>
              <w:br/>
              <w:t>Excess of Net</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77"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82,775,286 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3,959,276 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3,042,159 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excluding $1,570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$81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common shareholders ($1.09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preferred shareholders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excluding $2,050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issued,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under dividend reinvestment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147,407 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employee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(45,804)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downREIT OP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capped calls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2024</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82,948,600 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3,946,740 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(1,196,225)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77,921 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2,995,992 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869" w:type="dxa"/>
        <w:jc w:val="center"/>
        <w:tblInd w:w="0" w:type="dxa"/>
        <w:tblLayout w:type="fixed"/>
        <w:tblCellMar>
          <w:top w:w="28" w:type="dxa"/>
          <w:left w:w="28" w:type="dxa"/>
          <w:bottom w:w="28" w:type="dxa"/>
          <w:right w:w="28" w:type="dxa"/>
        </w:tblCellMar>
      </w:tblPr>
      <w:tblGrid>
        <w:gridCol w:w="520"/>
        <w:gridCol w:w="325"/>
        <w:gridCol w:w="326"/>
        <w:gridCol w:w="368"/>
        <w:gridCol w:w="368"/>
        <w:gridCol w:w="109"/>
        <w:gridCol w:w="109"/>
        <w:gridCol w:w="109"/>
        <w:gridCol w:w="109"/>
        <w:gridCol w:w="196"/>
        <w:gridCol w:w="736"/>
        <w:gridCol w:w="109"/>
        <w:gridCol w:w="109"/>
        <w:gridCol w:w="109"/>
        <w:gridCol w:w="109"/>
        <w:gridCol w:w="480"/>
        <w:gridCol w:w="481"/>
        <w:gridCol w:w="109"/>
        <w:gridCol w:w="109"/>
        <w:gridCol w:w="109"/>
        <w:gridCol w:w="109"/>
        <w:gridCol w:w="196"/>
        <w:gridCol w:w="421"/>
        <w:gridCol w:w="109"/>
        <w:gridCol w:w="109"/>
        <w:gridCol w:w="109"/>
        <w:gridCol w:w="109"/>
        <w:gridCol w:w="196"/>
        <w:gridCol w:w="871"/>
        <w:gridCol w:w="109"/>
        <w:gridCol w:w="109"/>
        <w:gridCol w:w="109"/>
        <w:gridCol w:w="109"/>
        <w:gridCol w:w="196"/>
        <w:gridCol w:w="886"/>
        <w:gridCol w:w="109"/>
        <w:gridCol w:w="109"/>
        <w:gridCol w:w="109"/>
        <w:gridCol w:w="109"/>
        <w:gridCol w:w="196"/>
        <w:gridCol w:w="556"/>
        <w:gridCol w:w="109"/>
        <w:gridCol w:w="109"/>
        <w:gridCol w:w="109"/>
        <w:gridCol w:w="109"/>
        <w:gridCol w:w="196"/>
        <w:gridCol w:w="646"/>
        <w:gridCol w:w="109"/>
        <w:gridCol w:w="109"/>
        <w:gridCol w:w="109"/>
        <w:gridCol w:w="109"/>
        <w:gridCol w:w="196"/>
        <w:gridCol w:w="871"/>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8088" w:type="dxa"/>
            <w:gridSpan w:val="36"/>
            <w:tcBorders/>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826" w:type="dxa"/>
            <w:gridSpan w:val="12"/>
            <w:tcBorders/>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87" w:type="dxa"/>
            <w:gridSpan w:val="15"/>
            <w:tcBorders/>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0853" w:type="dxa"/>
            <w:gridSpan w:val="48"/>
            <w:tcBorders/>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81,342,959 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3,034,015 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$1,668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 change in fair value of interest rate swaps, excluding $125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common shareholders ($1.08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preferred shareholders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excluding $1,560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issued,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under dividend reinvestment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employee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downREIT OP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81,511,204 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3,828,930 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(1,068,892)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3,004,241 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40" w:after="283"/>
        <w:jc w:val="center"/>
        <w:rPr/>
      </w:pPr>
      <w:r>
        <w:rPr>
          <w:color w:val="000000"/>
        </w:rPr>
        <w:t> </w:t>
      </w:r>
      <w:r>
        <w:rPr>
          <w:rFonts w:ascii="Times New Roman;sans-serif" w:hAnsi="Times New Roman;sans-serif"/>
          <w:b/>
          <w:color w:val="000000"/>
          <w:sz w:val="20"/>
        </w:rPr>
        <w:t>(Unaudited)</w:t>
      </w:r>
    </w:p>
    <w:tbl>
      <w:tblPr>
        <w:tblW w:w="9492" w:type="dxa"/>
        <w:jc w:val="left"/>
        <w:tblInd w:w="0" w:type="dxa"/>
        <w:tblLayout w:type="fixed"/>
        <w:tblCellMar>
          <w:top w:w="28" w:type="dxa"/>
          <w:left w:w="28" w:type="dxa"/>
          <w:bottom w:w="28" w:type="dxa"/>
          <w:right w:w="28" w:type="dxa"/>
        </w:tblCellMar>
      </w:tblPr>
      <w:tblGrid>
        <w:gridCol w:w="2433"/>
        <w:gridCol w:w="2137"/>
        <w:gridCol w:w="2149"/>
        <w:gridCol w:w="211"/>
        <w:gridCol w:w="826"/>
        <w:gridCol w:w="109"/>
        <w:gridCol w:w="109"/>
        <w:gridCol w:w="109"/>
        <w:gridCol w:w="109"/>
        <w:gridCol w:w="211"/>
        <w:gridCol w:w="826"/>
        <w:gridCol w:w="109"/>
        <w:gridCol w:w="154"/>
      </w:tblGrid>
      <w:tr>
        <w:trPr/>
        <w:tc>
          <w:tcPr>
            <w:tcW w:w="243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61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effects of acquisitions and dispositions: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security deposits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development and redevelopment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from partnerships in excess of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borrowings under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senior notes, net of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senior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Costs to extend and issue notes and mortgages payable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mortgages, finance leases and notes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capped calls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shares,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to common and preferred shareholders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employee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and redemptions of redeemable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47"/>
        <w:gridCol w:w="2105"/>
        <w:gridCol w:w="2082"/>
        <w:gridCol w:w="211"/>
        <w:gridCol w:w="1081"/>
        <w:gridCol w:w="109"/>
        <w:gridCol w:w="109"/>
        <w:gridCol w:w="109"/>
        <w:gridCol w:w="109"/>
        <w:gridCol w:w="211"/>
        <w:gridCol w:w="976"/>
        <w:gridCol w:w="156"/>
      </w:tblGrid>
      <w:tr>
        <w:trPr/>
        <w:tc>
          <w:tcPr>
            <w:tcW w:w="2947"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unit data)</w:t>
            </w:r>
          </w:p>
        </w:tc>
      </w:tr>
      <w:tr>
        <w:trPr/>
        <w:tc>
          <w:tcPr>
            <w:tcW w:w="7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at cost</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(including $2,024,995 and $2,021,622 of consolidated variable interest entities, respectively)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10,027,356 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9,932,891 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 (including $13,299 and $8,677 of consolidated variable interest entities,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10,605,101 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10,546,187 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 (including $430,578 and $416,663 of consolidated variable interest entities,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(2,963,519)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 estate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7,582,668 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receivable,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 of use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8,436,512 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CAPITAL</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Mortgages payable, net (including $188,629 and $189,286 of consolidated variable interest entities,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3,480,296 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and deferred credits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5,210,990 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5)</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 capital</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1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1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units, 398,878 units issued and outstanding</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82,948,600 and 82,775,286 units issued and outstanding,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2,804,669 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partner capital</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2,963,509 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in consolidated partnerships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3,042,159 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8,436,512 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211"/>
        <w:gridCol w:w="1932"/>
        <w:gridCol w:w="1934"/>
        <w:gridCol w:w="109"/>
        <w:gridCol w:w="109"/>
        <w:gridCol w:w="164"/>
        <w:gridCol w:w="164"/>
        <w:gridCol w:w="164"/>
        <w:gridCol w:w="164"/>
        <w:gridCol w:w="318"/>
        <w:gridCol w:w="1249"/>
        <w:gridCol w:w="164"/>
        <w:gridCol w:w="109"/>
        <w:gridCol w:w="109"/>
        <w:gridCol w:w="109"/>
        <w:gridCol w:w="211"/>
        <w:gridCol w:w="826"/>
        <w:gridCol w:w="159"/>
      </w:tblGrid>
      <w:tr>
        <w:trPr/>
        <w:tc>
          <w:tcPr>
            <w:tcW w:w="2211"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23" w:type="dxa"/>
            <w:gridSpan w:val="6"/>
            <w:tcBorders/>
          </w:tcPr>
          <w:p>
            <w:pPr>
              <w:pStyle w:val="TableContents"/>
              <w:bidi w:val="0"/>
              <w:spacing w:before="0" w:after="283"/>
              <w:jc w:val="left"/>
              <w:rPr>
                <w:sz w:val="4"/>
                <w:szCs w:val="4"/>
              </w:rPr>
            </w:pPr>
            <w:r>
              <w:rPr>
                <w:sz w:val="4"/>
                <w:szCs w:val="4"/>
              </w:rPr>
            </w:r>
          </w:p>
        </w:tc>
      </w:tr>
      <w:tr>
        <w:trPr/>
        <w:tc>
          <w:tcPr>
            <w:tcW w:w="60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0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7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unit data)</w:t>
            </w:r>
          </w:p>
        </w:tc>
      </w:tr>
      <w:tr>
        <w:trPr/>
        <w:tc>
          <w:tcPr>
            <w:tcW w:w="6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272,798 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291,323 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273,059 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191,129 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178,953 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Gain on sale of real estate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PARTNERSHIP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on preferred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UNIT,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available for common unit 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82,605 </w:t>
            </w:r>
          </w:p>
        </w:tc>
        <w:tc>
          <w:tcPr>
            <w:tcW w:w="1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81,141 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THE PARTNERSHIP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59,583 </w:t>
            </w:r>
          </w:p>
        </w:tc>
        <w:tc>
          <w:tcPr>
            <w:tcW w:w="16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54,124 </w:t>
            </w:r>
          </w:p>
        </w:tc>
        <w:tc>
          <w:tcPr>
            <w:tcW w:w="1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Capital</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2024 and 2023</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382" w:type="dxa"/>
        <w:jc w:val="left"/>
        <w:tblInd w:w="0" w:type="dxa"/>
        <w:tblLayout w:type="fixed"/>
        <w:tblCellMar>
          <w:top w:w="28" w:type="dxa"/>
          <w:left w:w="28" w:type="dxa"/>
          <w:bottom w:w="28" w:type="dxa"/>
          <w:right w:w="28" w:type="dxa"/>
        </w:tblCellMar>
      </w:tblPr>
      <w:tblGrid>
        <w:gridCol w:w="520"/>
        <w:gridCol w:w="325"/>
        <w:gridCol w:w="326"/>
        <w:gridCol w:w="109"/>
        <w:gridCol w:w="109"/>
        <w:gridCol w:w="109"/>
        <w:gridCol w:w="196"/>
        <w:gridCol w:w="736"/>
        <w:gridCol w:w="109"/>
        <w:gridCol w:w="109"/>
        <w:gridCol w:w="109"/>
        <w:gridCol w:w="109"/>
        <w:gridCol w:w="196"/>
        <w:gridCol w:w="871"/>
        <w:gridCol w:w="109"/>
        <w:gridCol w:w="109"/>
        <w:gridCol w:w="109"/>
        <w:gridCol w:w="109"/>
        <w:gridCol w:w="109"/>
        <w:gridCol w:w="109"/>
        <w:gridCol w:w="276"/>
        <w:gridCol w:w="785"/>
        <w:gridCol w:w="155"/>
        <w:gridCol w:w="109"/>
        <w:gridCol w:w="109"/>
        <w:gridCol w:w="109"/>
        <w:gridCol w:w="196"/>
        <w:gridCol w:w="871"/>
        <w:gridCol w:w="109"/>
        <w:gridCol w:w="109"/>
        <w:gridCol w:w="109"/>
        <w:gridCol w:w="109"/>
        <w:gridCol w:w="247"/>
        <w:gridCol w:w="815"/>
        <w:gridCol w:w="139"/>
        <w:gridCol w:w="109"/>
        <w:gridCol w:w="109"/>
        <w:gridCol w:w="109"/>
        <w:gridCol w:w="196"/>
        <w:gridCol w:w="871"/>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Partner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 in Consolidated Partnerships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Capital</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8"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2,804,669 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3,042,159 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excluding $1,570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$81 attributable to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common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preferred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in consolidated partnerships, excluding $2,050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as a result of common stock issued by Parent Company,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under dividend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withheld for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downREIT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capped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2,756,384 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2,918,071 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77,921 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2,995,992 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70"/>
        <w:gridCol w:w="463"/>
        <w:gridCol w:w="464"/>
        <w:gridCol w:w="109"/>
        <w:gridCol w:w="109"/>
        <w:gridCol w:w="109"/>
        <w:gridCol w:w="196"/>
        <w:gridCol w:w="736"/>
        <w:gridCol w:w="109"/>
        <w:gridCol w:w="109"/>
        <w:gridCol w:w="109"/>
        <w:gridCol w:w="109"/>
        <w:gridCol w:w="196"/>
        <w:gridCol w:w="871"/>
        <w:gridCol w:w="109"/>
        <w:gridCol w:w="109"/>
        <w:gridCol w:w="109"/>
        <w:gridCol w:w="109"/>
        <w:gridCol w:w="109"/>
        <w:gridCol w:w="109"/>
        <w:gridCol w:w="196"/>
        <w:gridCol w:w="556"/>
        <w:gridCol w:w="109"/>
        <w:gridCol w:w="109"/>
        <w:gridCol w:w="109"/>
        <w:gridCol w:w="109"/>
        <w:gridCol w:w="196"/>
        <w:gridCol w:w="871"/>
        <w:gridCol w:w="109"/>
        <w:gridCol w:w="109"/>
        <w:gridCol w:w="109"/>
        <w:gridCol w:w="109"/>
        <w:gridCol w:w="196"/>
        <w:gridCol w:w="646"/>
        <w:gridCol w:w="109"/>
        <w:gridCol w:w="109"/>
        <w:gridCol w:w="109"/>
        <w:gridCol w:w="109"/>
        <w:gridCol w:w="196"/>
        <w:gridCol w:w="871"/>
        <w:gridCol w:w="156"/>
      </w:tblGrid>
      <w:tr>
        <w:trPr/>
        <w:tc>
          <w:tcPr>
            <w:tcW w:w="67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2" w:type="dxa"/>
            <w:gridSpan w:val="21"/>
            <w:tcBorders/>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1" w:type="dxa"/>
            <w:gridSpan w:val="35"/>
            <w:tcBorders/>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2,793,467 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2,954,012 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3,034,015 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$1,668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 change in fair value of interest rate swaps, excluding $125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common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preferred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in consolidated partnerships, excluding $1,560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as a result of common stock issued by Parent Company,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under dividend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withheld for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downREIT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2,765,892 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2,925,226 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3,004,241 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pPr>
      <w:r>
        <w:rPr>
          <w:rFonts w:ascii="Times New Roman;sans-serif" w:hAnsi="Times New Roman;sans-serif"/>
          <w:b/>
          <w:color w:val="000000"/>
          <w:sz w:val="20"/>
        </w:rPr>
        <w:t>Consolidated Statements of Cash Flows</w:t>
      </w:r>
      <w:r>
        <w:rPr>
          <w:color w:val="000000"/>
        </w:rPr>
        <w:t>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492" w:type="dxa"/>
        <w:jc w:val="center"/>
        <w:tblInd w:w="0" w:type="dxa"/>
        <w:tblLayout w:type="fixed"/>
        <w:tblCellMar>
          <w:top w:w="28" w:type="dxa"/>
          <w:left w:w="28" w:type="dxa"/>
          <w:bottom w:w="28" w:type="dxa"/>
          <w:right w:w="28" w:type="dxa"/>
        </w:tblCellMar>
      </w:tblPr>
      <w:tblGrid>
        <w:gridCol w:w="2433"/>
        <w:gridCol w:w="2137"/>
        <w:gridCol w:w="2149"/>
        <w:gridCol w:w="211"/>
        <w:gridCol w:w="826"/>
        <w:gridCol w:w="109"/>
        <w:gridCol w:w="109"/>
        <w:gridCol w:w="109"/>
        <w:gridCol w:w="109"/>
        <w:gridCol w:w="211"/>
        <w:gridCol w:w="826"/>
        <w:gridCol w:w="109"/>
        <w:gridCol w:w="154"/>
      </w:tblGrid>
      <w:tr>
        <w:trPr/>
        <w:tc>
          <w:tcPr>
            <w:tcW w:w="243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61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effects of acquisitions and dispositions: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security deposits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development and redevelopment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from partnerships in excess of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borrowings under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senior notes, net of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senior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Costs to extend and issue notes and mortgages payable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mortgages, finance leases and notes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capped calls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units,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common and preferred unit holders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employee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and redemptions of redeemable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March 31, 2024 </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1—BUSINESS AND ORGANIZATION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Investment Trust (the "Parent Company" and the “Trust”) is an equity real estate investment trust (“REIT”). Federal Realty OP LP (the "Operating Partnership") is the entity through which the Parent Company conducts substantially all of its operations and owns all of its assets. The Parent Company owns 100% of the limited liability company interests of, is sole member of and exercises exclusive control over Federal Realty GP LLC ("the General Partner"), which in turn, is the sole general partner of the Operating Partnership. The Parent Company specializes in the ownership, management, and redevelopment of retail and mixed-use properties through the Operating Partnership, and has no other substantial assets or liabilities other than through its investment in the Operating Partnership. Our properties are located primarily in communities where we believe retail demand exceeds supply, in strategically selected metropolitan markets in the Mid-Atlantic and Northeast regions of the United States, California, and South Florida. As of March 31, 2024, we owned or had a majority interest in community and neighborhood shopping centers and mixed-use properties which are operated as 102 predominantly retail real estate projects.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 manner intended to enable the Trust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General Economic Conditions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Heightened levels of inflation and higher interest rates present risks for our business and our tenants. We continue to monitor and address risks related to the general state of the economy. The extent of the future effects on our business, results of operations, cash flows, and growth strategies is highly uncertain and will ultimately depend on future developments, none of which can be predicted.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2—SUMMARY OF SIGNIFICANT ACCOUNTING POLICIES</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interim consolidated financial statements of the Parent Company and Operating Partnership have been prepared pursuant to the rules and regulations of the Securities and Exchange Commission. Certain information and note disclosures normally included in annual financial statements prepared in accordance with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our latest Annual Report on Form 10-K. In the opinion of management, all adjustments (consisting of normal, recurring adjustments) necessary for a fair presentation for the periods presented have been included. The results of operations for the three months ended March 31, 2024 are not necessarily indicative of the results that may be expected for the full year.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Principles of Consolidation</w:t>
      </w:r>
    </w:p>
    <w:p>
      <w:pPr>
        <w:pStyle w:val="TextBody"/>
        <w:bidi w:val="0"/>
        <w:spacing w:lineRule="auto" w:line="288" w:before="100" w:after="283"/>
        <w:jc w:val="left"/>
        <w:rPr/>
      </w:pPr>
      <w:r>
        <w:rPr>
          <w:rFonts w:ascii="Times New Roman;sans-serif" w:hAnsi="Times New Roman;sans-serif"/>
          <w:b w:val="false"/>
          <w:color w:val="000000"/>
          <w:sz w:val="20"/>
        </w:rPr>
        <w:t xml:space="preserve">As discussed in the </w:t>
      </w:r>
      <w:hyperlink w:anchor="ia8590b5f3cf340f98ab93baf46435eba_7">
        <w:r>
          <w:rPr>
            <w:rStyle w:val="InternetLink"/>
            <w:rFonts w:ascii="Times New Roman;sans-serif" w:hAnsi="Times New Roman;sans-serif"/>
            <w:b w:val="false"/>
            <w:color w:val="0000FF"/>
            <w:sz w:val="20"/>
            <w:u w:val="single"/>
          </w:rPr>
          <w:t>Explanatory Note</w:t>
        </w:r>
      </w:hyperlink>
      <w:r>
        <w:rPr>
          <w:rFonts w:ascii="Times New Roman;sans-serif" w:hAnsi="Times New Roman;sans-serif"/>
          <w:b w:val="false"/>
          <w:color w:val="000000"/>
          <w:sz w:val="20"/>
        </w:rPr>
        <w:t>, we have combined the quarterly reports on Form 10-Q of the Parent Company and the Operating Partnership into this single report. As a result, we present two sets of consolidated financial statements. Both sets of consolidated financial statements include the accounts of the entity, its corporate subsidiaries, and all entities in which it has a controlling interest or has been determined to be the primary beneficiary of a variable interest entity. The Parent Company's consolidated financial statements include the accounts of the Operating Partnership and its subsidiaries as the Parent Company, through its ownership and control over the General Partner, exercises exclusive control over the Operating Partnership.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accounting principles generally accepted in the United States of America, referred to as “GAAP,” requires management to make estimates and assumptions that in certain circumstances affect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Exchangeable Senior Notes</w:t>
      </w:r>
    </w:p>
    <w:p>
      <w:pPr>
        <w:pStyle w:val="TextBody"/>
        <w:bidi w:val="0"/>
        <w:spacing w:lineRule="auto" w:line="288" w:before="100" w:after="283"/>
        <w:jc w:val="left"/>
        <w:rPr/>
      </w:pPr>
      <w:r>
        <w:rPr>
          <w:rFonts w:ascii="Times New Roman;sans-serif" w:hAnsi="Times New Roman;sans-serif"/>
          <w:b w:val="false"/>
          <w:color w:val="000000"/>
          <w:sz w:val="20"/>
        </w:rPr>
        <w:t xml:space="preserve">On January 11, 2024, our Operating Partnership issued $485.0 million aggregate principal amount of 3.25% Exchangeable Senior Notes due 2029 (the “Notes”) in a private placement (see Note 3 for additional information). We account for our Notes in accordance with ASC 470-20, </w:t>
      </w:r>
      <w:r>
        <w:rPr>
          <w:rFonts w:ascii="Times New Roman;sans-serif" w:hAnsi="Times New Roman;sans-serif"/>
          <w:b w:val="false"/>
          <w:i/>
          <w:color w:val="000000"/>
          <w:sz w:val="20"/>
        </w:rPr>
        <w:t>Debt with Conversion and Other Options</w:t>
      </w:r>
      <w:r>
        <w:rPr>
          <w:color w:val="000000"/>
        </w:rPr>
        <w:t xml:space="preserve"> </w:t>
      </w:r>
      <w:r>
        <w:rPr>
          <w:rFonts w:ascii="Times New Roman;sans-serif" w:hAnsi="Times New Roman;sans-serif"/>
          <w:b w:val="false"/>
          <w:color w:val="000000"/>
          <w:sz w:val="20"/>
        </w:rPr>
        <w:t xml:space="preserve">(after the adoption of ASU 2020-06, </w:t>
      </w:r>
      <w:r>
        <w:rPr>
          <w:rFonts w:ascii="Times New Roman;sans-serif" w:hAnsi="Times New Roman;sans-serif"/>
          <w:b w:val="false"/>
          <w:i/>
          <w:color w:val="000000"/>
          <w:sz w:val="20"/>
        </w:rPr>
        <w:t>Debt - Debt and Other Options</w:t>
      </w:r>
      <w:r>
        <w:rPr>
          <w:color w:val="000000"/>
        </w:rPr>
        <w:t xml:space="preserve"> </w:t>
      </w:r>
      <w:r>
        <w:rPr>
          <w:rFonts w:ascii="Times New Roman;sans-serif" w:hAnsi="Times New Roman;sans-serif"/>
          <w:b w:val="false"/>
          <w:color w:val="000000"/>
          <w:sz w:val="20"/>
        </w:rPr>
        <w:t xml:space="preserve">(Subtopic 470-20) and </w:t>
      </w:r>
      <w:r>
        <w:rPr>
          <w:rFonts w:ascii="Times New Roman;sans-serif" w:hAnsi="Times New Roman;sans-serif"/>
          <w:b w:val="false"/>
          <w:i/>
          <w:color w:val="000000"/>
          <w:sz w:val="20"/>
        </w:rPr>
        <w:t>Derivatives and Hedging - Contracts in Entity's Own Equity</w:t>
      </w:r>
      <w:r>
        <w:rPr>
          <w:color w:val="000000"/>
        </w:rPr>
        <w:t xml:space="preserve"> </w:t>
      </w:r>
      <w:r>
        <w:rPr>
          <w:rFonts w:ascii="Times New Roman;sans-serif" w:hAnsi="Times New Roman;sans-serif"/>
          <w:b w:val="false"/>
          <w:color w:val="000000"/>
          <w:sz w:val="20"/>
        </w:rPr>
        <w:t xml:space="preserve">(Subtopic 815-40): </w:t>
      </w:r>
      <w:r>
        <w:rPr>
          <w:rFonts w:ascii="Times New Roman;sans-serif" w:hAnsi="Times New Roman;sans-serif"/>
          <w:b w:val="false"/>
          <w:i/>
          <w:color w:val="000000"/>
          <w:sz w:val="20"/>
        </w:rPr>
        <w:t>Accounting for Contracts in an Entity's Own Equity</w:t>
      </w:r>
      <w:r>
        <w:rPr>
          <w:color w:val="000000"/>
        </w:rPr>
        <w:t xml:space="preserve"> </w:t>
      </w:r>
      <w:r>
        <w:rPr>
          <w:rFonts w:ascii="Times New Roman;sans-serif" w:hAnsi="Times New Roman;sans-serif"/>
          <w:b w:val="false"/>
          <w:color w:val="000000"/>
          <w:sz w:val="20"/>
        </w:rPr>
        <w:t>("ASU 2020-06)). The embedded exchange feature is eligible for an exception from derivative accounting because it is indexed to our own stock and meets the equity classification under ASC 815-40; therefore, the exchange feature is not bifurcated. At each reporting period, we calculate the effect of the Notes on our dilutive earnings per common share and per common unit using the if-converted method. In connection with the Notes, we entered into privately negotiated capped call transactions with certain of the initial purchasers of the notes or their affiliates or other financial institutions. Similar to the exchange feature embedded in the Notes, the capped call transactions meet all the conditions for equity classification, and therefore, the related premiums paid are recorded in shareholders' equity for the Trust and capital for the Operating Partnership.</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tbl>
      <w:tblPr>
        <w:tblW w:w="10205" w:type="dxa"/>
        <w:jc w:val="left"/>
        <w:tblInd w:w="0" w:type="dxa"/>
        <w:tblLayout w:type="fixed"/>
        <w:tblCellMar>
          <w:top w:w="28" w:type="dxa"/>
          <w:left w:w="28" w:type="dxa"/>
          <w:bottom w:w="28" w:type="dxa"/>
          <w:right w:w="28" w:type="dxa"/>
        </w:tblCellMar>
      </w:tblPr>
      <w:tblGrid>
        <w:gridCol w:w="997"/>
        <w:gridCol w:w="529"/>
        <w:gridCol w:w="531"/>
        <w:gridCol w:w="109"/>
        <w:gridCol w:w="109"/>
        <w:gridCol w:w="109"/>
        <w:gridCol w:w="1558"/>
        <w:gridCol w:w="1558"/>
        <w:gridCol w:w="1570"/>
        <w:gridCol w:w="109"/>
        <w:gridCol w:w="109"/>
        <w:gridCol w:w="109"/>
        <w:gridCol w:w="1080"/>
        <w:gridCol w:w="712"/>
        <w:gridCol w:w="1016"/>
      </w:tblGrid>
      <w:tr>
        <w:trPr/>
        <w:tc>
          <w:tcPr>
            <w:tcW w:w="99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on the financial statements or significant matters</w:t>
            </w:r>
          </w:p>
        </w:tc>
      </w:tr>
      <w:tr>
        <w:trPr/>
        <w:tc>
          <w:tcPr>
            <w:tcW w:w="2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9"/>
                <w:u w:val="single"/>
              </w:rPr>
            </w:pPr>
            <w:r>
              <w:rPr>
                <w:rFonts w:ascii="Times New Roman;sans-serif" w:hAnsi="Times New Roman;sans-serif"/>
                <w:b/>
                <w:i/>
                <w:color w:val="000000"/>
                <w:sz w:val="19"/>
                <w:u w:val="single"/>
              </w:rPr>
              <w:t>Adopted during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ASU 2023-01, March 2023, </w:t>
            </w:r>
            <w:r>
              <w:rPr>
                <w:rFonts w:ascii="Times New Roman;sans-serif" w:hAnsi="Times New Roman;sans-serif"/>
                <w:b w:val="false"/>
                <w:i/>
                <w:color w:val="000000"/>
                <w:sz w:val="19"/>
              </w:rPr>
              <w:t>Leases (Topic 842) Common Control Arrangements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19"/>
              </w:rPr>
              <w:t>This ASU requires all lessees in a lease with a lessor under common control to (1) amortize leasehold improvements over their useful life to the common control group, as long as the lessee controls the use of the underlying asset through a lease and (2) account for the leasehold improvements as a transfer of assets between entities under common control through an adjustment to equity when the lessee no longer controls the use of the underlying asset.</w:t>
              <w:br/>
            </w:r>
            <w:r>
              <w:rPr>
                <w:rFonts w:ascii="Times New Roman;sans-serif" w:hAnsi="Times New Roman;sans-serif"/>
                <w:b w:val="false"/>
                <w:sz w:val="19"/>
              </w:rPr>
              <w:br/>
            </w:r>
            <w:r>
              <w:rPr>
                <w:rFonts w:ascii="Times New Roman;sans-serif" w:hAnsi="Times New Roman;sans-serif"/>
                <w:b w:val="false"/>
                <w:color w:val="000000"/>
                <w:sz w:val="19"/>
              </w:rPr>
              <w:t xml:space="preserve">The guidance may be applied prospectively to new and existing leasehold improvements, with the remaining balance of existing leasehold improvements amortized over their remaining useful life to the common control group or retrospectively, through a cumulative-effect adjustment to opening retained earnings. </w:t>
              <w:br/>
            </w:r>
            <w:r>
              <w:rPr>
                <w:rFonts w:ascii="Times New Roman;sans-serif" w:hAnsi="Times New Roman;sans-serif"/>
                <w:b w:val="false"/>
                <w:sz w:val="19"/>
              </w:rPr>
              <w:br/>
            </w:r>
            <w:r>
              <w:rPr>
                <w:rFonts w:ascii="Times New Roman;sans-serif" w:hAnsi="Times New Roman;sans-serif"/>
                <w:b w:val="false"/>
                <w:color w:val="000000"/>
                <w:sz w:val="19"/>
              </w:rPr>
              <w:t>The guidance is effective in fiscal years beginning after December 15, 2023, and interim periods within those fiscal years. Early adoption is permitted.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adopted this ASU as of January 1, 2024. The implementation of this ASU did not have an impact on our consolidated financial statements.</w:t>
            </w:r>
          </w:p>
        </w:tc>
      </w:tr>
      <w:tr>
        <w:trPr/>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9"/>
                <w:u w:val="single"/>
              </w:rPr>
            </w:pPr>
            <w:r>
              <w:rPr>
                <w:rFonts w:ascii="Times New Roman;sans-serif" w:hAnsi="Times New Roman;sans-serif"/>
                <w:b/>
                <w:i/>
                <w:color w:val="000000"/>
                <w:sz w:val="19"/>
                <w:u w:val="single"/>
              </w:rPr>
              <w:t>Issued in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ASU 2023-07, November 2023, </w:t>
            </w:r>
            <w:r>
              <w:rPr>
                <w:rFonts w:ascii="Times New Roman;sans-serif" w:hAnsi="Times New Roman;sans-serif"/>
                <w:b w:val="false"/>
                <w:i/>
                <w:color w:val="000000"/>
                <w:sz w:val="19"/>
              </w:rPr>
              <w:t>Segment Reporting (Topic 280), Improvements to Reportable Segment Disclosures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19"/>
              </w:rPr>
              <w:t>This ASU requires public entities to provide disclosures of significant segment expense and other significant segment items, as well as provide in interim period all disclosures about a reportable segment's profit or loss and assets that are currently required annually. Additionally, public entities with a single reportable segment have to provide all of the disclosures required by ASC 280, including the significant segment expense disclosures.</w:t>
              <w:br/>
            </w:r>
            <w:r>
              <w:rPr>
                <w:rFonts w:ascii="Times New Roman;sans-serif" w:hAnsi="Times New Roman;sans-serif"/>
                <w:b w:val="false"/>
                <w:sz w:val="19"/>
              </w:rPr>
              <w:br/>
            </w:r>
            <w:r>
              <w:rPr>
                <w:rFonts w:ascii="Times New Roman;sans-serif" w:hAnsi="Times New Roman;sans-serif"/>
                <w:b w:val="false"/>
                <w:color w:val="000000"/>
                <w:sz w:val="19"/>
              </w:rPr>
              <w:t>The guidance is applied retrospectively to all periods presented in financial statements, unless it is impracticable. The guidance applies to all public entities and is effective for fiscal years beginning after December 15, 2023, and for interim periods beginning after December 15, 2024. Early adoption is permitted.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While we continue to evaluate the impact of this ASU on our Form 10-K for year ended December 31, 2024, we anticipate providing the disclosures required by ASC 280 for our single reportable segment.</w:t>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8" w:type="dxa"/>
            <w:gridSpan w:val="3"/>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before="180" w:after="283"/>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Flows—Supplemental Disclosures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supplemental disclosures related to the Consolidated Statements of Cash Flows:</w:t>
      </w:r>
    </w:p>
    <w:tbl>
      <w:tblPr>
        <w:tblW w:w="8327" w:type="dxa"/>
        <w:jc w:val="left"/>
        <w:tblInd w:w="0" w:type="dxa"/>
        <w:tblLayout w:type="fixed"/>
        <w:tblCellMar>
          <w:top w:w="28" w:type="dxa"/>
          <w:left w:w="28" w:type="dxa"/>
          <w:bottom w:w="28" w:type="dxa"/>
          <w:right w:w="28" w:type="dxa"/>
        </w:tblCellMar>
      </w:tblPr>
      <w:tblGrid>
        <w:gridCol w:w="2048"/>
        <w:gridCol w:w="1801"/>
        <w:gridCol w:w="1806"/>
        <w:gridCol w:w="211"/>
        <w:gridCol w:w="721"/>
        <w:gridCol w:w="109"/>
        <w:gridCol w:w="109"/>
        <w:gridCol w:w="109"/>
        <w:gridCol w:w="109"/>
        <w:gridCol w:w="211"/>
        <w:gridCol w:w="721"/>
        <w:gridCol w:w="109"/>
        <w:gridCol w:w="109"/>
        <w:gridCol w:w="154"/>
      </w:tblGrid>
      <w:tr>
        <w:trPr/>
        <w:tc>
          <w:tcPr>
            <w:tcW w:w="2048"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costs incurred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capitalized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net of amounts capitalized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refunded for income taxes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TRANSACTIONS: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dividend reinvestment plan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DownREIT operating partnership units redeemed for common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767" w:type="dxa"/>
        <w:jc w:val="center"/>
        <w:tblInd w:w="0" w:type="dxa"/>
        <w:tblLayout w:type="fixed"/>
        <w:tblCellMar>
          <w:top w:w="28" w:type="dxa"/>
          <w:left w:w="28" w:type="dxa"/>
          <w:bottom w:w="28" w:type="dxa"/>
          <w:right w:w="28" w:type="dxa"/>
        </w:tblCellMar>
      </w:tblPr>
      <w:tblGrid>
        <w:gridCol w:w="2495"/>
        <w:gridCol w:w="2191"/>
        <w:gridCol w:w="2199"/>
        <w:gridCol w:w="211"/>
        <w:gridCol w:w="826"/>
        <w:gridCol w:w="109"/>
        <w:gridCol w:w="109"/>
        <w:gridCol w:w="109"/>
        <w:gridCol w:w="109"/>
        <w:gridCol w:w="211"/>
        <w:gridCol w:w="826"/>
        <w:gridCol w:w="109"/>
        <w:gridCol w:w="109"/>
        <w:gridCol w:w="154"/>
      </w:tblGrid>
      <w:tr>
        <w:trPr/>
        <w:tc>
          <w:tcPr>
            <w:tcW w:w="2495"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CASH, CASH EQUIVALENTS, AND RESTRICTED CASH:</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(1)Restricted cash balances are included in "prepaid expenses and other assets" on our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3—DEBT</w:t>
      </w:r>
    </w:p>
    <w:p>
      <w:pPr>
        <w:pStyle w:val="TextBody"/>
        <w:bidi w:val="0"/>
        <w:spacing w:lineRule="auto" w:line="288" w:before="100" w:after="283"/>
        <w:jc w:val="left"/>
        <w:rPr/>
      </w:pPr>
      <w:r>
        <w:rPr>
          <w:rFonts w:ascii="Times New Roman;sans-serif" w:hAnsi="Times New Roman;sans-serif"/>
          <w:b w:val="false"/>
          <w:color w:val="000000"/>
          <w:sz w:val="20"/>
        </w:rPr>
        <w:t>On January 11, 2024, our Operating Partnership issued $485.0 million aggregate principal amount of 3.25% Exchangeable Senior Notes due 2029 (the “Notes”) in a private placement. The notes bear interest at an annual rate of 3.25%, payable semiannually in arrears on January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and July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of each year, beginning July 15, 2024. The notes mature on January 15, 2029, unless earlier exchanged, purchased or redeemed. Net proceeds after the initial purchaser’s discount and offering costs were approximately $471.6 million. Interest expense related to these Notes for the three months ended March 31, 2024 was $4.1 million, including debt issuance cost amortization.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close of business on July 15, 2028, the Notes will be exchangeable at the option of holders only upon certain circumstances and during certain periods. On or after July 15, 2028, until the close of business on the second scheduled trading day immediately preceding the maturity date of the Notes, holders may exchange their Notes at any time. The Operating Partnership will settle exchanges of the Notes by delivering cash up to the principal amount of the Notes exchanged, and if applicable, cash, common shares of the Trust, or a combination thereof at our option, in respect of the remainder, if any, of the exchange obligation in excess of the principal amount. If we elect to settle any portion of the exchange obligation in excess of the principal amount with shares of the Trust, an equivalent number of common units will be issued by the Operating Partnership to the Trust. The exchange rate initially equals 8.1436 common shares per $1,000 principal amount of the Notes (which is equivalent to an exchange price of approximately $122.80 per common share and reflects an exchange premium of approximately 20% based on the closing price of $102.33 on January 8, 2024). The initial exchange rate is subject to adjustment upon the occurrence of certain events, including in the event of a payment of a quarterly common dividend in excess of $1.09 per share, but will not be adjusted for any accrued and unpaid interest.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Operating Partnership may redeem the Notes, at its option, in whole or in part, on or after January 20, 2027 if the last reported sales price of the common shares has been at least 130% of the exchange price then in effect for at least 20 trading days (whether or not consecutive) during any 30 day consecutive trading period (including the last trading day of such period) ending on, and including, the trading day immediately preceding the date on which the Operating Partnership provides notice of redemption. The redemption price will be equal to 100% of the principal amount of the Notes to be redeemed, plus accrued and unpaid interest, if any, to, but excluding, the redemption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Notes, we entered into privately negotiated capped call transactions with certain of the initial purchasers of the notes or their affiliates or other financial institutions. The capped call transactions cover, subject to customary adjustments, the number of our common shares that initially underlie the Notes. The capped call transactions are expected generally to reduce the potential dilution to our common shares upon exchange of any Notes and/or offset any cash payments we are required to make in excess of the principal amount of the Notes, with such reduction and/or offset subject to a cap. The cap price of the capped call transaction initially is approximately $143.26 per share, which represents a premium of approximately 40% over the last reported sale price of our common shares of $102.33 on the New York Stock Exchange on January 8, 2024, and is subject to certain adjustments under the terms of the capped call transactions. A portion of the proceeds from the Notes were used to pay the capped call premium of $19.4 million, which is recorded in shareholders' equity for the Trust and capital for the Operating Partnership.</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16, 2024, we repaid our $600.0 million 3.95% senior unsecured notes at maturity.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6, 2024, we exercised our first option and extended the maturity date of our $600.0 million unsecured term loan to April 16, 2025, with an additional one year extension at our option still available to further extend the loan to April 16, 2026.</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maximum amount of borrowings outstanding under our $1.25 billion revolving credit facility was $12.5 million. The weighted average amount of borrowings outstanding was $1.9 million, and the weighted average interest rate, before amortization of debt fees, was 6.2% for the three months ended March 31, 2024. At March 31, 2024, our revolving credit facility had $12.5 million outstanding.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revolving credit facility, term loan, and certain notes require us to comply with various financial covenants, including the maintenance of minimum shareholders' equity and debt coverage ratios and a maximum ratio of debt to net worth. As of March 31, 2024, we were in compliance with all default related debt covenants.</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4—FAIR VALUE OF FINANCIAL INSTRUMENTS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pStyle w:val="TextBody"/>
        <w:bidi w:val="0"/>
        <w:spacing w:before="0" w:after="0"/>
        <w:jc w:val="left"/>
        <w:rPr/>
      </w:pPr>
      <w:r>
        <w:rPr/>
      </w:r>
    </w:p>
    <w:tbl>
      <w:tblPr>
        <w:tblW w:w="9059" w:type="dxa"/>
        <w:jc w:val="left"/>
        <w:tblInd w:w="0" w:type="dxa"/>
        <w:tblLayout w:type="fixed"/>
        <w:tblCellMar>
          <w:top w:w="28" w:type="dxa"/>
          <w:left w:w="28" w:type="dxa"/>
          <w:bottom w:w="28" w:type="dxa"/>
          <w:right w:w="28" w:type="dxa"/>
        </w:tblCellMar>
      </w:tblPr>
      <w:tblGrid>
        <w:gridCol w:w="1032"/>
        <w:gridCol w:w="906"/>
        <w:gridCol w:w="91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849"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849" w:type="dxa"/>
            <w:gridSpan w:val="3"/>
            <w:vMerge w:val="continue"/>
            <w:tcBorders/>
            <w:tcMar>
              <w:top w:w="0" w:type="dxa"/>
              <w:left w:w="0" w:type="dxa"/>
              <w:bottom w:w="0" w:type="dxa"/>
              <w:right w:w="0" w:type="dxa"/>
            </w:tcMar>
            <w:vAlign w:val="center"/>
          </w:tcPr>
          <w:p>
            <w:pPr>
              <w:pStyle w:val="Normal"/>
              <w:bidi w:val="0"/>
              <w:jc w:val="left"/>
              <w:rPr/>
            </w:pPr>
            <w:r>
              <w:rPr/>
            </w:r>
          </w:p>
        </w:tc>
        <w:tc>
          <w:tcPr>
            <w:tcW w:w="621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Mortgages and notes payable,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have five interest rate swap agreements with total notional amounts of $253.2 million that are measured at fair value on a recurring basis. We have two interest rate swap agreements associated with our Hoboken portfolio that fix the interest rate on $53.2 million of mortgage payables at 3.67% through December 15, 2029. We also have three interest rate swap agreements associated with our Bethesda Row property that fix the interest rate on a $200.0 million mortgage payable at a weighted average interest rate of 5.03% through December 28,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March 31, 2024 was an asset of $7.4 million and is included in "prepaid expenses and other assets" on our consolidated balance sheets. For the three months ended March 31, 2024, the value of our interest rate swaps increased $2.7 million (including $1.1 million reclassified from other comprehensive income as a decrease to interest expense). A summary of our financial assets that are measured at fair value on a recurring basis, by level within the fair value hierarchy is as follows:</w:t>
      </w:r>
    </w:p>
    <w:tbl>
      <w:tblPr>
        <w:tblW w:w="10205" w:type="dxa"/>
        <w:jc w:val="left"/>
        <w:tblInd w:w="0" w:type="dxa"/>
        <w:tblLayout w:type="fixed"/>
        <w:tblCellMar>
          <w:top w:w="28" w:type="dxa"/>
          <w:left w:w="28" w:type="dxa"/>
          <w:bottom w:w="28" w:type="dxa"/>
          <w:right w:w="28" w:type="dxa"/>
        </w:tblCellMar>
      </w:tblPr>
      <w:tblGrid>
        <w:gridCol w:w="442"/>
        <w:gridCol w:w="388"/>
        <w:gridCol w:w="391"/>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6"/>
      </w:tblGrid>
      <w:tr>
        <w:trPr/>
        <w:tc>
          <w:tcPr>
            <w:tcW w:w="44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One of our equity method investees has two interest rate swaps which qualify for cash flow hedge accounting. For the three months ended March 31, 2024, our share of the change in fair value of the related swaps included in "accumulated other comprehensive income" was an increase of $0.2 million. </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5—COMMITMENTS AND CONTINGENCIES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sometimes involved in lawsuits, warranty claims, and environmental matters arising in the ordinary course of business. Management makes assumptions and estimates concerning the likelihood and amount of any potential loss relating to these matters.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certain partnership agreements, the partners have the right to exchange their operating partnership units for cash or common shares, at our option. A total of 631,271 downREIT operating partnership units are outstanding which have a total fair value of approximately $64.5 million, which is calculated by multiplying the outstanding number of downREIT partnership units by our closing stock price on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6—SHAREHOLDERS’ EQUITY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dividends declared and paid per share:</w:t>
      </w:r>
    </w:p>
    <w:p>
      <w:pPr>
        <w:pStyle w:val="TextBody"/>
        <w:bidi w:val="0"/>
        <w:spacing w:before="0" w:after="0"/>
        <w:jc w:val="left"/>
        <w:rPr/>
      </w:pPr>
      <w:r>
        <w:rPr/>
      </w:r>
    </w:p>
    <w:tbl>
      <w:tblPr>
        <w:tblW w:w="10080" w:type="dxa"/>
        <w:jc w:val="left"/>
        <w:tblInd w:w="0" w:type="dxa"/>
        <w:tblLayout w:type="fixed"/>
        <w:tblCellMar>
          <w:top w:w="28" w:type="dxa"/>
          <w:left w:w="28" w:type="dxa"/>
          <w:bottom w:w="28" w:type="dxa"/>
          <w:right w:w="28" w:type="dxa"/>
        </w:tblCellMar>
      </w:tblPr>
      <w:tblGrid>
        <w:gridCol w:w="1764"/>
        <w:gridCol w:w="1550"/>
        <w:gridCol w:w="156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54"/>
      </w:tblGrid>
      <w:tr>
        <w:trPr/>
        <w:tc>
          <w:tcPr>
            <w:tcW w:w="176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481" w:type="dxa"/>
            <w:gridSpan w:val="4"/>
            <w:tcBorders/>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Declared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Declared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 Series C Cumulative Redeemable Preferred shares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(1)Amount represents dividends per depository share, each representing 1/1000th of a share.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8, 2024, we amended our existing at-the-market ("ATM") equity program under which we may from time to time offer and sell common shares. This amendment reset the aggregate offering price of the program to $500.0 million. Our ATM equity program also allows shares to be sold through forward sales contracts. We intend to use the net proceeds to fund potential acquisition opportunities, fund our development and redevelopment pipeline, repay indebtedness and/or for general corporate purposes.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we issued 62,895 common shares (which were sold during 2023 under our previous ATM equity program), at a weighted average price per share of $105.04 for net cash proceeds of $6.4 million including paying $0.1 million in commissions and $0.1 million in additional offering expenses related to the sales of these common shares. There were no sales during the three months ended March 31, 2024 under the amended ATM equity program, and therefore we have the capacity to issue up to $500.0 million in common shares under this program as of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NOTE 7—SHARE-BASED COMPENSATION PLANS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share-based compensation expense included in net income is as follows:</w:t>
      </w:r>
    </w:p>
    <w:tbl>
      <w:tblPr>
        <w:tblW w:w="8081" w:type="dxa"/>
        <w:jc w:val="center"/>
        <w:tblInd w:w="0" w:type="dxa"/>
        <w:tblLayout w:type="fixed"/>
        <w:tblCellMar>
          <w:top w:w="28" w:type="dxa"/>
          <w:left w:w="28" w:type="dxa"/>
          <w:bottom w:w="28" w:type="dxa"/>
          <w:right w:w="28" w:type="dxa"/>
        </w:tblCellMar>
      </w:tblPr>
      <w:tblGrid>
        <w:gridCol w:w="1797"/>
        <w:gridCol w:w="1581"/>
        <w:gridCol w:w="1587"/>
        <w:gridCol w:w="211"/>
        <w:gridCol w:w="616"/>
        <w:gridCol w:w="109"/>
        <w:gridCol w:w="109"/>
        <w:gridCol w:w="109"/>
        <w:gridCol w:w="109"/>
        <w:gridCol w:w="211"/>
        <w:gridCol w:w="616"/>
        <w:gridCol w:w="109"/>
        <w:gridCol w:w="109"/>
        <w:gridCol w:w="109"/>
        <w:gridCol w:w="109"/>
        <w:gridCol w:w="109"/>
        <w:gridCol w:w="109"/>
        <w:gridCol w:w="109"/>
        <w:gridCol w:w="109"/>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Grants of common shares, restricted stock units, and options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share-based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8—EARNINGS PER SHARE AND UNIT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calculated earnings per share (“EPS”) and earnings per unit ("EPU") under the two-class method. The two-class method is an earnings allocation methodology whereby EPS and EPU for each class of common stock and partnership units, respectively, and participating securities is calculated according to dividends or distributions declared and participation rights in undistributed earnings. For both the three months ended March 31, 2024 and 2023, we had 0.3 million weighted average unvested shares and units outstanding, which are considered participating securities. Therefore, we have allocated our earnings for basic and diluted EPS and EPU between common shares and units and unvested shares and units; the portion of earnings allocated to the unvested shares and units is reflected as “earnings allocated to unvested shares” or "earnings allocated to unvested units" in the reconciliations below.</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potentially issuable shares were excluded from the diluted EPS and EPU calculations because their impact is anti-dilutive: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exercise of 3,019 and 1,829 stock options for the three months ended March 31, 2024 and 2023, respectively,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conversions of downREIT operating partnership units for both the three months ended March 31, 2024 and 2023,</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conversions of 5.417% Series 1 Cumulative Convertible Preferred Shares and units for both the three months ended March 31, 2024 and 2023,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exchange of common shares and units related to the 3.25% Exchangeable Senior Notes due 2029 for the three months ended March 31, 2024.</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10,441 unvested restricted stock units are excluded from the diluted EPS and EPU calculations as the market based performance criteria in the awards has not yet been achieved.</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Federal Realty Investment Trust Earnings per Share</w:t>
      </w:r>
    </w:p>
    <w:tbl>
      <w:tblPr>
        <w:tblW w:w="8933" w:type="dxa"/>
        <w:jc w:val="left"/>
        <w:tblInd w:w="0" w:type="dxa"/>
        <w:tblLayout w:type="fixed"/>
        <w:tblCellMar>
          <w:top w:w="28" w:type="dxa"/>
          <w:left w:w="28" w:type="dxa"/>
          <w:bottom w:w="28" w:type="dxa"/>
          <w:right w:w="28" w:type="dxa"/>
        </w:tblCellMar>
      </w:tblPr>
      <w:tblGrid>
        <w:gridCol w:w="2064"/>
        <w:gridCol w:w="1814"/>
        <w:gridCol w:w="1822"/>
        <w:gridCol w:w="109"/>
        <w:gridCol w:w="109"/>
        <w:gridCol w:w="118"/>
        <w:gridCol w:w="118"/>
        <w:gridCol w:w="118"/>
        <w:gridCol w:w="118"/>
        <w:gridCol w:w="229"/>
        <w:gridCol w:w="783"/>
        <w:gridCol w:w="118"/>
        <w:gridCol w:w="109"/>
        <w:gridCol w:w="109"/>
        <w:gridCol w:w="109"/>
        <w:gridCol w:w="211"/>
        <w:gridCol w:w="721"/>
        <w:gridCol w:w="154"/>
      </w:tblGrid>
      <w:tr>
        <w:trPr/>
        <w:tc>
          <w:tcPr>
            <w:tcW w:w="2064"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413" w:type="dxa"/>
            <w:gridSpan w:val="6"/>
            <w:tcBorders/>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9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share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from operations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allocated to unvested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54,395 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Federal Realty OP LP Earnings per Unit</w:t>
      </w:r>
    </w:p>
    <w:tbl>
      <w:tblPr>
        <w:tblW w:w="8933" w:type="dxa"/>
        <w:jc w:val="left"/>
        <w:tblInd w:w="0" w:type="dxa"/>
        <w:tblLayout w:type="fixed"/>
        <w:tblCellMar>
          <w:top w:w="28" w:type="dxa"/>
          <w:left w:w="28" w:type="dxa"/>
          <w:bottom w:w="28" w:type="dxa"/>
          <w:right w:w="28" w:type="dxa"/>
        </w:tblCellMar>
      </w:tblPr>
      <w:tblGrid>
        <w:gridCol w:w="2064"/>
        <w:gridCol w:w="1814"/>
        <w:gridCol w:w="1822"/>
        <w:gridCol w:w="109"/>
        <w:gridCol w:w="109"/>
        <w:gridCol w:w="118"/>
        <w:gridCol w:w="118"/>
        <w:gridCol w:w="118"/>
        <w:gridCol w:w="118"/>
        <w:gridCol w:w="229"/>
        <w:gridCol w:w="783"/>
        <w:gridCol w:w="118"/>
        <w:gridCol w:w="109"/>
        <w:gridCol w:w="109"/>
        <w:gridCol w:w="109"/>
        <w:gridCol w:w="211"/>
        <w:gridCol w:w="721"/>
        <w:gridCol w:w="154"/>
      </w:tblGrid>
      <w:tr>
        <w:trPr/>
        <w:tc>
          <w:tcPr>
            <w:tcW w:w="2064"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413" w:type="dxa"/>
            <w:gridSpan w:val="6"/>
            <w:tcBorders/>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9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unit data)</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unit distributions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from operations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allocated to unvested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54,395 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units outstanding,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UNIT,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9—SUBSEQUENT EVENT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1, 2024, we acquired the approximately 10% noncontrolling interest in the partnership that owns our CocoWalk property for approximately $12 million, bringing our ownership to 100%.</w:t>
      </w:r>
    </w:p>
    <w:p>
      <w:pPr>
        <w:pStyle w:val="TextBody"/>
        <w:bidi w:val="0"/>
        <w:spacing w:before="100" w:after="283"/>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00" w:after="283"/>
        <w:jc w:val="left"/>
        <w:rPr/>
      </w:pPr>
      <w:r>
        <w:rPr>
          <w:rFonts w:ascii="Times New Roman;sans-serif" w:hAnsi="Times New Roman;sans-serif"/>
          <w:b w:val="false"/>
          <w:color w:val="000000"/>
          <w:sz w:val="20"/>
        </w:rPr>
        <w:t xml:space="preserve">The following discussion should be read in conjunction with the consolidated interim financial statements and notes thereto appearing in Item 1 of this report and the more detailed information contained in our Annual Report on </w:t>
      </w:r>
      <w:hyperlink r:id="rId2">
        <w:r>
          <w:rPr>
            <w:rStyle w:val="InternetLink"/>
            <w:rFonts w:ascii="Times New Roman;sans-serif" w:hAnsi="Times New Roman;sans-serif"/>
            <w:b w:val="false"/>
            <w:color w:val="0000FF"/>
            <w:sz w:val="20"/>
            <w:u w:val="single"/>
          </w:rPr>
          <w:t>Form 10-K</w:t>
        </w:r>
      </w:hyperlink>
      <w:r>
        <w:rPr>
          <w:color w:val="000000"/>
        </w:rPr>
        <w:t xml:space="preserve"> </w:t>
      </w:r>
      <w:r>
        <w:rPr>
          <w:rFonts w:ascii="Times New Roman;sans-serif" w:hAnsi="Times New Roman;sans-serif"/>
          <w:b w:val="false"/>
          <w:color w:val="000000"/>
          <w:sz w:val="20"/>
        </w:rPr>
        <w:t>for the year ended December 31, 2023 filed with the Securities and Exchange Commission (the “SEC”) on February 12, 2024.</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statements included in this Quarterly Report on Form 10-Q are forward-looking statements. Those statements include statements regarding the intent, belief or current expectations of the Company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some of the risks and uncertainties, although not all risks and uncertainties, that could cause our actual results to differ materially from those presented in our forward-looking statements: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that our tenants will not pay rent, may vacate early or may file for bankruptcy or that we may be unable to renew leases or re-let space at favorable rents as leases expire or to fill existing vacancy;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bidi w:val="0"/>
        <w:spacing w:lineRule="auto" w:line="288" w:before="0" w:after="0"/>
        <w:ind w:left="0" w:right="0" w:hanging="360"/>
        <w:jc w:val="left"/>
        <w:rPr/>
      </w:pPr>
      <w:r>
        <w:rPr>
          <w:color w:val="212529"/>
        </w:rPr>
        <w:t>•</w:t>
      </w:r>
      <w:r>
        <w:rPr>
          <w:rFonts w:ascii="Times New Roman;sans-serif" w:hAnsi="Times New Roman;sans-serif"/>
          <w:b w:val="false"/>
          <w:color w:val="000000"/>
          <w:sz w:val="20"/>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that our growth will be limited if we cannot obtain additional capital, or if the costs of capital we obtain are significantly higher than historical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associated with general economic conditions, including inflation and local economic conditions in our geographic markets;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related to the Trust's status as a real estate investment trust, commonly referred to as a REIT, for federal income tax purposes, such as the existence of complex tax regulations relating to the Trust's status as a REIT, the effect of future changes in REIT requirements as a result of new legislation, and the adverse consequences of the failure to qualify as a REIT;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Given these uncertainties, readers are cautioned not to place undue reliance on any forward-looking statements that we make, including those in this Quarterly Report on Form 10-Q. You should carefully review the risks and the risk factors included in our Annual Report on Form 10-K for the year ended December 31, 2023 and under Part II, Item 1A in this Quarterly Report on Form 10-Q, before making any investments in us.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Investment Trust (the "Parent Company" or the “Trust”) is an equity real estate investment trust (“REIT”). Federal Realty OP LP (the "Operating Partnership") is the entity through which the Trust conducts substantially all of its operations and owns substantially all of its assets. The Trust owns 100% of the limited liability company interests of, and is sole member and exercises exclusive control over Federal Realty GP LLC ("the General Partner"), which in turn, is the sole general partner of the Operating Partnership. Unless stated otherwise or the context otherwise requires, "we," "our," and "us" means the Trust and its business and operations conducted through its directly and indirectly owned subsidiaries, including the Operating Partnership. We specialize in the ownership, management, and redevelopment of high quality retail and mixed-use properties. As of March 31, 2024, we owned or had a majority interest in community and neighborhood shopping centers and mixed-use properties which are operated as 102 predominantly retail real estate projects comprising approximately 26.2 million commercial square feet. In total, the real estate projects were 94.3% leased and 92.0% occupied at March 31, 2024.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General Economic Conditions</w:t>
      </w:r>
    </w:p>
    <w:p>
      <w:pPr>
        <w:pStyle w:val="TextBody"/>
        <w:bidi w:val="0"/>
        <w:spacing w:lineRule="auto" w:line="288" w:before="100" w:after="283"/>
        <w:jc w:val="left"/>
        <w:rPr/>
      </w:pPr>
      <w:r>
        <w:rPr>
          <w:rFonts w:ascii="Times New Roman;sans-serif" w:hAnsi="Times New Roman;sans-serif"/>
          <w:b w:val="false"/>
          <w:color w:val="212529"/>
          <w:sz w:val="20"/>
        </w:rPr>
        <w:t xml:space="preserve">The heightened levels of inflation, higher interest rates, and </w:t>
      </w:r>
      <w:r>
        <w:rPr>
          <w:rFonts w:ascii="Times New Roman;sans-serif" w:hAnsi="Times New Roman;sans-serif"/>
          <w:b w:val="false"/>
          <w:color w:val="000000"/>
          <w:sz w:val="20"/>
        </w:rPr>
        <w:t>potentially worsening economic conditions present risks for our business and tenants.</w:t>
      </w:r>
      <w:r>
        <w:rPr>
          <w:color w:val="212529"/>
        </w:rPr>
        <w:t xml:space="preserve"> </w:t>
      </w:r>
      <w:r>
        <w:rPr>
          <w:rFonts w:ascii="Times New Roman;sans-serif" w:hAnsi="Times New Roman;sans-serif"/>
          <w:b w:val="false"/>
          <w:color w:val="212529"/>
          <w:sz w:val="20"/>
        </w:rPr>
        <w:t xml:space="preserve">We continue to monitor and address risks related to the general state of the economy. </w:t>
      </w:r>
      <w:r>
        <w:rPr>
          <w:rFonts w:ascii="Times New Roman;sans-serif" w:hAnsi="Times New Roman;sans-serif"/>
          <w:b w:val="false"/>
          <w:color w:val="000000"/>
          <w:sz w:val="20"/>
        </w:rPr>
        <w:t xml:space="preserve">We believe that the actions we have taken to improve our financial position and maximize our liquidity, as described further in the “Management’s Discussion and Analysis of Financial Condition and Results of Operations” in our 2023 Annual Report on </w:t>
      </w:r>
      <w:hyperlink r:id="rId3">
        <w:r>
          <w:rPr>
            <w:rStyle w:val="InternetLink"/>
            <w:rFonts w:ascii="Times New Roman;sans-serif" w:hAnsi="Times New Roman;sans-serif"/>
            <w:b w:val="false"/>
            <w:color w:val="0000FF"/>
            <w:sz w:val="20"/>
            <w:u w:val="single"/>
          </w:rPr>
          <w:t>Form 10-K</w:t>
        </w:r>
      </w:hyperlink>
      <w:r>
        <w:rPr>
          <w:rFonts w:ascii="Times New Roman;sans-serif" w:hAnsi="Times New Roman;sans-serif"/>
          <w:b w:val="false"/>
          <w:color w:val="000000"/>
          <w:sz w:val="20"/>
        </w:rPr>
        <w:t xml:space="preserve">, will continue to mitigate the impact to our cash flow caused by tenants not timely paying contractual rent.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further discussion of the impact of current economic conditions on our business throughout Item 2.</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100" w:after="283"/>
        <w:jc w:val="left"/>
        <w:rPr/>
      </w:pPr>
      <w:r>
        <w:rPr>
          <w:rFonts w:ascii="Times New Roman;sans-serif" w:hAnsi="Times New Roman;sans-serif"/>
          <w:b w:val="false"/>
          <w:color w:val="000000"/>
          <w:sz w:val="20"/>
        </w:rPr>
        <w:t xml:space="preserve">There have been no significant changes to the critical accounting policies disclosed in “Management’s Discussion and Analysis of Financial Condition and Results of Operations” in our 2023 Annual Report on </w:t>
      </w:r>
      <w:hyperlink r:id="rId4">
        <w:r>
          <w:rPr>
            <w:rStyle w:val="InternetLink"/>
            <w:rFonts w:ascii="Times New Roman;sans-serif" w:hAnsi="Times New Roman;sans-serif"/>
            <w:b w:val="false"/>
            <w:color w:val="0000FF"/>
            <w:sz w:val="20"/>
            <w:u w:val="single"/>
          </w:rPr>
          <w:t>Form 10-K</w:t>
        </w:r>
      </w:hyperlink>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Debt and Equity Transactions</w:t>
      </w:r>
    </w:p>
    <w:p>
      <w:pPr>
        <w:pStyle w:val="TextBody"/>
        <w:bidi w:val="0"/>
        <w:spacing w:lineRule="auto" w:line="288" w:before="100" w:after="283"/>
        <w:jc w:val="left"/>
        <w:rPr/>
      </w:pPr>
      <w:r>
        <w:rPr>
          <w:rFonts w:ascii="Times New Roman;sans-serif" w:hAnsi="Times New Roman;sans-serif"/>
          <w:b w:val="false"/>
          <w:color w:val="000000"/>
          <w:sz w:val="20"/>
        </w:rPr>
        <w:t>On January 11, 2024, our Operating Partnership issued $485.0 million aggregate principal amount of 3.25% Exchangeable Senior Notes due 2029 (the “Notes”) in a private placement. The notes bear interest at an annual rate of 3.25%, payable semiannually in arrears on January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and July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of each year, beginning July 15, 2024. The notes mature on January 15, 2029, unless earlier exchanged, purchased or redeemed. Net proceeds after the initial purchaser’s discount and offering costs were approximately $471.6 million. Interest expense related to these Notes for the three months ended March 31, 2024 was $4.1 million, including debt issuance cost amortization.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close of business on July 15, 2028, the Notes will be exchangeable at the option of holders only upon certain circumstances and during certain periods. On or after July 15, 2028, until the close of business on the second scheduled trading day immediately preceding the maturity date of the Notes, holders may exchange their Notes at any time. The Operating Partnership will settle exchanges of the Notes by delivering cash up to the principal amount of the Notes exchanged, and if applicable, cash, common shares of the Trust, or a combination thereof at our option, in respect of the remainder, if any, of the exchange obligation in excess of the principal amount. If we elect to settle any portion of the exchange obligation in excess of the principal amount with shares of the Trust, an equivalent number of common units will be issued by the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Partnership to the Trust. The exchange rate initially equals 8.1436 common shares per $1,000 principal amount of the Notes (which is equivalent to an exchange price of approximately $122.80 per common share and reflects an exchange premium of approximately 20% based on the closing price of $102.33 on January 8, 2024). The initial exchange rate is subject to adjustment upon the occurrence of certain events, including in the event of a payment of a quarterly common dividend in excess of $1.09 per share, but will not be adjusted for any accrued and unpaid interest.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Operating Partnership may redeem the Notes, at its option, in whole or in part, on or after January 20, 2027 if the last reported sales price of the common shares has been at least 130% of the exchange price then in effect for at least 20 trading days (whether or not consecutive) during any 30 day consecutive trading period (including the last trading day of such period) ending on, and including, the trading day immediately preceding the date on which the Operating Partnership provides notice of redemption. The redemption price will be equal to 100% of the principal amount of the Notes to be redeemed, plus accrued and unpaid interest, if any, to, but excluding, the redemption date.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Notes, we entered into privately negotiated capped call transactions with certain of the initial purchasers of the notes or their affiliates or other financial institutions. The capped call transactions cover, subject to customary adjustments, the number of our common shares that initially underlie the Notes. The capped call transactions are expected generally to reduce the potential dilution to our common shares upon exchange of any Notes and/or offset any cash payments we are required to make in excess of the principal amount of the Notes, with such reduction and/or offset subject to a cap. The cap price of the capped call transaction initially is approximately $143.26 per share, which represents a premium of approximately 40% over the last reported sale price of our common shares of $102.33 on the New York Stock Exchange on January 8, 2024, and is subject to certain adjustments under the terms of the capped call transactions. A portion of the proceeds from the Notes were used to pay the capped call premium of $19.4 million, which is recorded in shareholders' equity for the Trust and capital for the Operating Partnership.</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16, 2024, we repaid our $600.0 million 3.95% senior unsecured notes at maturity.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6, 2024, we exercised our first option and extended the maturity date of our $600.0 million unsecured term loan to April 16, 2025, with an additional one year extension at our option still available to further extend the loan to April 16, 2026.</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8, 2024, we amended our existing at-the-market ("ATM") equity program under which we may from time to time offer and sell common shares. This amendment reset the aggregate offering price of the program to $500.0 million. Our ATM equity program also allows shares to be sold through forward sales contracts. We intend to use the net proceeds to fund potential acquisition opportunities, fund our development and redevelopment pipeline, repay indebtedness and/or for general corporate purposes.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we issued 62,895 common shares (which were sold during 2023 under our previous ATM equity program), at a weighted average price per share of $105.04 for net cash proceeds of $6.4 million including paying $0.1 million in commissions and $0.1 million in additional offering expenses related to the sales of these common shares. There were no sales during the three months ended March 31, 2024 under the amended ATM equity program, and therefore we have the capacity to issue up to $500.0 million in common shares under this program as of March 31, 2024.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Other Transactions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1, 2024, we acquired the approximately 10% noncontrolling interest in the partnership that owns our CocoWalk property for approximately $12 million, bringing our ownership to 100%.</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the consolidated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Capitalized Costs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$36 million and $2 million, respectively, for the three months ended March 31, 2024, and $53 million and $2 million for the three months ended March 31, 2023. We capitalized external and internal costs related to other property improvements of $27 million and $1 million, respectively, for the three months ended March 31, 2024, and $23 million and $1 million, respectively, for the three months ended March 31, 2023. We capitalized external and internal costs related to leasing activities of $5 million and $1 million, respectively, for the three months ended March 31, 2024, and $4 million and $1 million, respectively, for the three months ended March 31, 2023. The amount of capitalized internal costs for salaries and related benefits for development and redevelopment activities, other property improvements, and leasing activities were $2 million, $1 million, and $1 million, for both the three months ended March 31, 2024 and 2023. Total capitalized costs were $72 million and $80 million for the three months ended March 31,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long-term growth strategy is focused on growth in earnings, funds from operations, and cash flows primarily through a combination of the following:</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growth in our comparable property portfolio,</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growth in our portfolio from property redevelopments and expansions, and</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expansion of our portfolio through property acquisitions.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general economic impacts of elevated levels of inflation and higher interest rates are impacting us in the short-term, our long-term focus has not changed. See our Annual Report on Form 10-K filed on February 12, 2024, for additional discussion of our long-term strategies.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12529"/>
          <w:sz w:val="20"/>
        </w:rPr>
        <w:t xml:space="preserve">Our comparable property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generally increase rental rates. We continue to experience strong demand for our commercial space as evidenced by the 2.1 </w:t>
      </w:r>
      <w:r>
        <w:rPr>
          <w:rFonts w:ascii="Times New Roman;sans-serif" w:hAnsi="Times New Roman;sans-serif"/>
          <w:b w:val="false"/>
          <w:color w:val="000000"/>
          <w:sz w:val="20"/>
        </w:rPr>
        <w:t>million</w:t>
      </w:r>
      <w:r>
        <w:rPr>
          <w:color w:val="212529"/>
        </w:rPr>
        <w:t xml:space="preserve"> </w:t>
      </w:r>
      <w:r>
        <w:rPr>
          <w:rFonts w:ascii="Times New Roman;sans-serif" w:hAnsi="Times New Roman;sans-serif"/>
          <w:b w:val="false"/>
          <w:color w:val="212529"/>
          <w:sz w:val="20"/>
        </w:rPr>
        <w:t>square feet of comparable retail space leasing we've completed in the last twelve months, and the 2.3% spread between our leased rate of 94.3% and our occupied rate of 92.0%. However, the effects of high levels of inflation and interest rates continue to negatively impact our business with the largest impacts being higher interest costs, increased material costs, and higher operating costs. We continue to see impacts of increased costs for certain construction and other materials that support our development and redevelopment activities. Worsening supply chain disruptions could also result in extended timeframes and/or increased costs for completion of our projects and tenant build-outs, which could delay the commencement of rent payments under new leases. Similarly, if our tenants experience significant disruptions in supply chains supporting their own products, staffing issues due to labor shortages, or are otherwise impacted by worsening economic conditions, their ability to pay rent may be adversely affected. We continue to monitor these macroeconomic developments and are working with our tenants and our vendors to limit the overall impact to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12529"/>
          <w:sz w:val="20"/>
        </w:rPr>
      </w:pPr>
      <w:r>
        <w:rPr>
          <w:rFonts w:ascii="Times New Roman;sans-serif" w:hAnsi="Times New Roman;sans-serif"/>
          <w:b w:val="false"/>
          <w:color w:val="212529"/>
          <w:sz w:val="20"/>
        </w:rPr>
        <w:t>We believe the locations and nature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have several development projects in process being delivered as follows: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Phase IV at Pike &amp; Rose is a 276,000 square foot office building (which includes 10,000 square feet of ground floor retail space). Approximately 201,000 square feet of the office space is leased, and all of the retail space is leased. The building is expected to cost between $185 million and $200 million, and began delivering in late September 2023. As of March 31, 2024, approximately 161,000 square feet of office space is open.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Construction on Santana West includes an eight story 369,000 square foot office building, which is expected to cost between $315 million and $330 million. Approximately 170,000 square feet of space is leased as of March 31, 2024.</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Throughout the portfolio, we currently have redevelopment projects underway with a projected total cost of approximately $324 million that we expect to stabilize over the next several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above includes our best estimates based on information currently known, however, the completion of construction, final costs, and the timing of leasing and openings may be further impacted by the current environment including the duration and severity of the economic impacts of broader, as well as local, economic conditions, inflation, higher interest rates, and higher operating costs.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of future phases of Assembly Row, Pike &amp; Rose, Santana Row, and other properties will be pursued opportunistically based on, among other things, market conditions, tenant demand, and our evaluation of whether those phases will generate an appropriate financial return.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shares, preferred shares, or units in the Operating Partnership, as well as through assumed mortgages and property sales.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the leasable commercial square feet in our properties was 94.3% leased and 92.0%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Lease Rollovers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first quarter of 2024, we signed retail leases for a total of 587,000 square feet of retail space including 567,000 square feet of comparable space leases (leases for which there was a prior tenant) at an average rental increase of 9% on a cash basis. New leases for comparable spaces were signed for 222,000 square feet, with an average rental increase of 20% on a cash basis. Renewals for comparable spaces were signed for 344,000 square feet at a 3% average rental increase on a cash basis. Tenant improvements and incentives for comparable spaces were $28.05 per square foot, of which $64.36 per square foot was for new leases and $4.61 per square foot was for renewals for the three months ended March 31, 2024.</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rental increases associated with comparable spaces generally include all leases signed for retail space in arms-length transactions reflecting market leverage between landlords and tenants during the period, excluding leases at properties sold or under contract to be sold. The comparison between the rent for expiring leases and new leases is determined by including contractual rent on the expiring lease, including percentage rent, and the comparable annual rent and in some instances, projections of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Incentives include amounts paid to tenants as an inducement to sign a lease that do not represent building improvements. Costs related to tenant improvements require judgement by management in determining what are costs specific to the tenant and not deferred maintenance on the space.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we have executed comparable space leases for 1.4 to 2.0 million square feet of retail space each year and expect the volume in 2024 will be in line with these historical averages. Although we expect overall positive 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 A decline in current economic conditions could adversely impact our volume of leasing activity and the amount of rent we are able to charge to new or renewing tenants.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leases signed in 2024 generally become effective over the following two years though some may not become effective until 2027 and beyond. Further, there is risk that some new tenants will not ultimately take possession of their space and that tenants for both new and renewal leases may not pay all of their contractual rent due to operating, financing or other matters. However, our historical increases in rental rates do provide information about the tenant/landlord relationship and the potential increase we may achieve in rental income over time.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Comparable Properties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months ended March 31, 2024, all or a portion of 97 properties, were considered comparable properties and seven properties were considered non-comparable properties. For the three months ended March 31, 2024, one property and two portions of properties were moved from non-comparable properties to comparable properties and two properties and one portion of a property were moved from acquisitions to comparable properties; all compared to the designations as of December 31, 2023.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on property operating income within the calendar year. Acquisitions are moved to comparable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properties once we have owned the property for the entirety of comparable periods and the property is not under development or being repositioned for significant redevelopment and investment. </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RESULTS OF OPERATIONS - THREE MONTHS ENDED MARCH 31, 2024 AND 2023 </w:t>
      </w:r>
    </w:p>
    <w:tbl>
      <w:tblPr>
        <w:tblW w:w="9564" w:type="dxa"/>
        <w:jc w:val="left"/>
        <w:tblInd w:w="0" w:type="dxa"/>
        <w:tblLayout w:type="fixed"/>
        <w:tblCellMar>
          <w:top w:w="28" w:type="dxa"/>
          <w:left w:w="28" w:type="dxa"/>
          <w:bottom w:w="28" w:type="dxa"/>
          <w:right w:w="28" w:type="dxa"/>
        </w:tblCellMar>
      </w:tblPr>
      <w:tblGrid>
        <w:gridCol w:w="1537"/>
        <w:gridCol w:w="1347"/>
        <w:gridCol w:w="136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43"/>
        <w:gridCol w:w="347"/>
        <w:gridCol w:w="316"/>
      </w:tblGrid>
      <w:tr>
        <w:trPr/>
        <w:tc>
          <w:tcPr>
            <w:tcW w:w="153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amounts in thousands)</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 (1)</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three months ended March 31, 2024 and 2023 is as follows:</w:t>
      </w:r>
    </w:p>
    <w:tbl>
      <w:tblPr>
        <w:tblW w:w="5259" w:type="dxa"/>
        <w:jc w:val="left"/>
        <w:tblInd w:w="0" w:type="dxa"/>
        <w:tblLayout w:type="fixed"/>
        <w:tblCellMar>
          <w:top w:w="28" w:type="dxa"/>
          <w:left w:w="28" w:type="dxa"/>
          <w:bottom w:w="28" w:type="dxa"/>
          <w:right w:w="28" w:type="dxa"/>
        </w:tblCellMar>
      </w:tblPr>
      <w:tblGrid>
        <w:gridCol w:w="939"/>
        <w:gridCol w:w="826"/>
        <w:gridCol w:w="830"/>
        <w:gridCol w:w="211"/>
        <w:gridCol w:w="826"/>
        <w:gridCol w:w="109"/>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 on sale of real estate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Property Revenues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revenue increased $18.3 million, or 6.7%, to $291.3 million in the three months ended March 31, 2024 compared to $273.1 million in the three months ended March 31, 2023. The percentage occupied at our shopping centers was 92.0% and 92.6% at March 31, 2024 and 2023, respectively. Changes in the components of property revenue are discussed below.</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Rental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 consists primarily of minimum rent, cost reimbursements from tenants and percentage rent, and is net of collectibility related adjustments. Rental income increased $18.2 million, or 6.7%, to $291.0 million in the three months ended March 31, 2024 compared to $272.8 million in the three months ended March 31, 2023 due primarily to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$11.0 million from comparable properties primarily related to higher rental rates of approximately $6.8 million and a $5.1 million increase in recoveries from tenants on higher expenses, partially offset by a $1.5 million increase in collectibility related adjustments and a $0.7 million decrease in lease termination fee income,</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$3.9 million from non-comparable properties primarily driven by occupancy increases at Pike &amp; Rose Phase IV, Darien Commons, and Huntington Shopping Center,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$3.0 million from Escondido Promenade, which was reconsolidated in the second quarter of 2023 after we gained control of the property (see our Annual Report on Form 10-K for the year ended December 31, 2023 for additional information).</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Property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expenses increased $7.9 million, or 9.1%, to $95.7 million in the three months ended March 31, 2024 compared to $87.8 million in the three months ended March 31, 2023. Changes in the components of property expenses are discussed below.</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Rental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 increased $6.5 million, or 11.7%, to $61.7 million in the three months ended March 31, 2024 compared to $55.2 million in the three months ended March 31, 2023. This increase is primarily due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$4.7 million from comparable properties due primarily to higher snow removal costs, higher repairs and maintenance costs and other operating costs driven by inflationary impacts, and higher insurance costs,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$0.9 million from non-comparable properties due primarily to openings at Pike &amp; Rose Phase IV, Darien Commons, and Huntington Shopping Center,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$0.5 million from Escondido Promenade, which was reconsolidated in the second quarter of 2023 after we gained control of the property.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changes in rental income and rental expenses as discussed above, rental expenses as a percentage of rental income increased to 21.2% in the three months ended March 31, 2024 from 20.2% in the three months ended March 31, 2023. </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Real Estate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 expense increased $1.5 million, or 4.6%, to $34.1 million in the three months ended March 31, 2024 compared to $32.6 million in the three months ended March 31, 2023. This increase is primarily due to an increase of $0.9 million from comparable properties primarily due to higher assessments and an increase of $0.4 million from non-comparable properties due primarily to openings at Darien Commons, Pike &amp; Rose Phase IV, and Huntington Shopping Center.</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Property Operating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 increased $10.3 million, or 5.6%, to $195.6 million in the three months ended March 31, 2024 compared to $185.3 million in the three months ended March 31, 2023. This increase is primarily driven by higher rental rates, 2023 openings at our non-comparable properties, and the reconsolidation of Escondido Promenade during the second quarter of 2023, partially offset by an increase in collectibility related adjustments.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Other Operating</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increased $4.8 million, or 6.1%, to $83.4 million in the three months ended March 31, 2024 from $78.6 million in the three months ended March 31, 2023. This increase is due primarily to the reconsolidation of Escondido Promenade during the second quarter of 2023, our investment in comparable properties, the opening of Pike &amp; Rose Phase IV, and placing redevelopment properties into service.</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Gain on sale of real estate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$1.7 million gain on sale of real estate for the three months ended March 31, 2023 is due to the sale of one retail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increased $4.4 million, or 4.6%, to $100.2 million in the three months ended March 31, 2024 compared to $95.8 million in the three months ended March 31, 2023. This increase is primarily driven by higher rental rates, 2023 openings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our non-comparable properties, and the reconsolidation of Escondido Promenade during the second quarter of 2023, partially offset by an increase in collectibility related adjustments and the prior year gain on sale of real estate.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Other</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$4.5 million, or 11.4%, to $43.7 million in the three months ended March 31, 2024 compared to $39.2 million in the three months ended March 31, 2023. This increase is due primarily to the following:</w:t>
      </w:r>
    </w:p>
    <w:p>
      <w:pPr>
        <w:pStyle w:val="TextBody"/>
        <w:bidi w:val="0"/>
        <w:spacing w:lineRule="auto" w:line="288" w:before="100" w:after="283"/>
        <w:ind w:left="0" w:right="0" w:hanging="270"/>
        <w:jc w:val="left"/>
        <w:rPr/>
      </w:pPr>
      <w:r>
        <w:rPr>
          <w:color w:val="000000"/>
        </w:rPr>
        <w:t>•</w:t>
      </w:r>
      <w:r>
        <w:rPr>
          <w:rFonts w:ascii="Times New Roman;sans-serif" w:hAnsi="Times New Roman;sans-serif"/>
          <w:b w:val="false"/>
          <w:color w:val="000000"/>
          <w:sz w:val="20"/>
        </w:rPr>
        <w:t xml:space="preserve">an increase of $3.6 million due to a higher overall weighted average borrowing rate, </w:t>
      </w:r>
    </w:p>
    <w:p>
      <w:pPr>
        <w:pStyle w:val="TextBody"/>
        <w:bidi w:val="0"/>
        <w:spacing w:lineRule="auto" w:line="288" w:before="100" w:after="283"/>
        <w:ind w:left="0" w:right="0" w:hanging="270"/>
        <w:jc w:val="left"/>
        <w:rPr/>
      </w:pPr>
      <w:r>
        <w:rPr>
          <w:color w:val="000000"/>
        </w:rPr>
        <w:t>•</w:t>
      </w:r>
      <w:r>
        <w:rPr>
          <w:rFonts w:ascii="Times New Roman;sans-serif" w:hAnsi="Times New Roman;sans-serif"/>
          <w:b w:val="false"/>
          <w:color w:val="000000"/>
          <w:sz w:val="20"/>
        </w:rPr>
        <w:t>an increase of $0.8 million due to higher weighted average borrowings, and</w:t>
      </w:r>
    </w:p>
    <w:p>
      <w:pPr>
        <w:pStyle w:val="TextBody"/>
        <w:bidi w:val="0"/>
        <w:spacing w:lineRule="auto" w:line="288" w:before="100" w:after="283"/>
        <w:ind w:left="0" w:right="0" w:hanging="270"/>
        <w:jc w:val="left"/>
        <w:rPr/>
      </w:pPr>
      <w:r>
        <w:rPr>
          <w:color w:val="000000"/>
        </w:rPr>
        <w:t>•</w:t>
      </w:r>
      <w:r>
        <w:rPr>
          <w:rFonts w:ascii="Times New Roman;sans-serif" w:hAnsi="Times New Roman;sans-serif"/>
          <w:b w:val="false"/>
          <w:color w:val="000000"/>
          <w:sz w:val="20"/>
        </w:rPr>
        <w:t>a decrease of $0.1 million in capitalized interest.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interest costs were $49.0 million and $44.6 million in the three months ended March 31, 2024 and 2023, respectively. Capitalized interest was $5.3 million and $5.4 million for the three months ended March 31, 2024 and 2023, respectively.</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the nature of our business and strategy, we typically generate significant amounts of cash from operations which is largely paid to our common and preferred shareholders in the form of dividends because as a REIT, the Trust is generally required to make annual distributions to shareholders of at least 90% of our taxable income (cash dividends paid in the three months ended March 31, 2024 were approximately $92.3 million). Remaining cash flow from operations after regular debt service requirements (including debt service relating to additional or replacement debt, as well as scheduled debt maturities) and dividend payments is used to fund recurring and non-recurring capital projects (such as tenant improvements and redevelopments). We maintain an unsecured $1.25 billion revolving credit facility to fund short term cash flow needs and also look to the public and private debt and equity markets, joint venture relationships, and property dispositions to fund capital expenditures on a long-term basis.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11, 2024, we issued $485.0 million of 3.25% exchangeable senior notes, for which the proceeds were used to repay our $600.0 million of 3.95% senior unsecured notes on January 16, 2024. Our $600.0 million unsecured term loan has a maturity in April 2025, however, there is a one-year extension at our option that would extend the maturity to April 2026, if exercised. We have no other significant debt maturing in the next twelve months.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had cash and cash equivalents of $95.9 million and $12.5 million outstanding on our $1.25 billion revolving credit facility. For the three months ended March 31, 2024, the weighted average amount of borrowings outstanding on our revolving credit facility was $1.9 million, and the weighted average interest rate, before amortization of debt fees, was 6.2%. We also have the capacity to issue up to $500.0 million in common shares under our ATM equity program.</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overall capital requirements for the remainder of 2024 will be impacted by the overall economic environment including impacts of inflation and higher interest rates, as well as acquisition opportunities and the level and general timing of our redevelopment and development activities. We currently have development and redevelopment projects in various stages of constructions with remaining costs of $229 million. We expect to incur the majority of these costs in the next two years. We expect overall capital costs to be at levels slightly reduced from 2023 as we complete current redevelopment projects, prepare vacant space for new tenants, and complete the current phase and start on the next phase of our larger mixed use development projects.</w:t>
      </w:r>
    </w:p>
    <w:p>
      <w:pPr>
        <w:pStyle w:val="TextBody"/>
        <w:bidi w:val="0"/>
        <w:spacing w:lineRule="auto" w:line="288" w:before="100" w:after="283"/>
        <w:jc w:val="left"/>
        <w:rPr/>
      </w:pPr>
      <w:r>
        <w:rPr>
          <w:rFonts w:ascii="Times New Roman;sans-serif" w:hAnsi="Times New Roman;sans-serif"/>
          <w:b w:val="false"/>
          <w:color w:val="000000"/>
          <w:sz w:val="20"/>
        </w:rPr>
        <w:t xml:space="preserve">We believe cash flow from operations, the cash </w:t>
      </w:r>
      <w:r>
        <w:rPr>
          <w:rFonts w:ascii="Times New Roman;sans-serif" w:hAnsi="Times New Roman;sans-serif"/>
          <w:b w:val="false"/>
          <w:color w:val="212529"/>
          <w:sz w:val="20"/>
        </w:rPr>
        <w:t xml:space="preserve">on our balance sheet, and our </w:t>
      </w:r>
      <w:r>
        <w:rPr>
          <w:rFonts w:ascii="Times New Roman;sans-serif" w:hAnsi="Times New Roman;sans-serif"/>
          <w:b w:val="false"/>
          <w:color w:val="000000"/>
          <w:sz w:val="20"/>
        </w:rPr>
        <w:t>$1.25 billion</w:t>
      </w:r>
      <w:r>
        <w:rPr>
          <w:color w:val="212529"/>
        </w:rPr>
        <w:t xml:space="preserve"> </w:t>
      </w:r>
      <w:r>
        <w:rPr>
          <w:rFonts w:ascii="Times New Roman;sans-serif" w:hAnsi="Times New Roman;sans-serif"/>
          <w:b w:val="false"/>
          <w:color w:val="212529"/>
          <w:sz w:val="20"/>
        </w:rPr>
        <w:t xml:space="preserve">revolving credit facility will allow us to continue to operate our business in the short-term. </w:t>
      </w:r>
      <w:r>
        <w:rPr>
          <w:rFonts w:ascii="Times New Roman;sans-serif" w:hAnsi="Times New Roman;sans-serif"/>
          <w:b w:val="false"/>
          <w:color w:val="000000"/>
          <w:sz w:val="20"/>
        </w:rPr>
        <w:t>Given our ability to access the capital markets, we also expect debt or equity to be available to us, although newly issued debt would likely be at higher interest rates than we currently have outstanding. We also have the ability to delay the timing of certain development and redevelopment projects as well as limit future acquisitions, reduce our operating expenditures, or re-evaluate our dividend policy. We expect these sources of liquidity and opportunities for operating flexibility to allow us to meet our financial obligations over the long term. We intend to operate with and to maintain our long term commitment to a conservative capital structure that will allow us to maintain strong debt service coverage and fixed-charge coverage ratios as part of our commitment to investment-grade debt ratings.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Summary of Cash Flows</w:t>
      </w:r>
    </w:p>
    <w:tbl>
      <w:tblPr>
        <w:tblW w:w="9266" w:type="dxa"/>
        <w:jc w:val="left"/>
        <w:tblInd w:w="0" w:type="dxa"/>
        <w:tblLayout w:type="fixed"/>
        <w:tblCellMar>
          <w:top w:w="28" w:type="dxa"/>
          <w:left w:w="28" w:type="dxa"/>
          <w:bottom w:w="28" w:type="dxa"/>
          <w:right w:w="28" w:type="dxa"/>
        </w:tblCellMar>
      </w:tblPr>
      <w:tblGrid>
        <w:gridCol w:w="1905"/>
        <w:gridCol w:w="1677"/>
        <w:gridCol w:w="1682"/>
        <w:gridCol w:w="211"/>
        <w:gridCol w:w="826"/>
        <w:gridCol w:w="109"/>
        <w:gridCol w:w="109"/>
        <w:gridCol w:w="109"/>
        <w:gridCol w:w="109"/>
        <w:gridCol w:w="211"/>
        <w:gridCol w:w="826"/>
        <w:gridCol w:w="109"/>
        <w:gridCol w:w="109"/>
        <w:gridCol w:w="109"/>
        <w:gridCol w:w="109"/>
        <w:gridCol w:w="211"/>
        <w:gridCol w:w="691"/>
        <w:gridCol w:w="154"/>
      </w:tblGrid>
      <w:tr>
        <w:trPr/>
        <w:tc>
          <w:tcPr>
            <w:tcW w:w="1905"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(166,113)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decreased $1.8 million to $141.2 million during the three months ended March 31, 2024 from $143.0 million during the three months ended March 31, 2023. The decrease was primarily due to the timing of cash receipts related to prepaid rent, partially offset by the timing of payments relating to accounts payable and accrued expenses, and higher net income after adjusting for non-cash items and gain on sale of real estate.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decreased $33.9 million to $66.9 million during the three months ended March 31, 2024 from $100.8 million during the three months ended March 31, 2023. The decrease was primarily attributable to:</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$35.3 million decrease in acquisition of real estate due to the January 2023 Huntington Square acquisition, and</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$12.8 million decrease in capital expenditures,</w:t>
      </w:r>
    </w:p>
    <w:p>
      <w:pPr>
        <w:pStyle w:val="TextBody"/>
        <w:bidi w:val="0"/>
        <w:spacing w:lineRule="auto" w:line="256"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$12.6 million of net proceeds from the sale of one retail property during the three months ended March 31, 2023.</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increased $198.1 million to $229.4 million during the three months ended March 31, 2024 from $31.3 million during the three months ended March 31, 2023. The increase was primarily attributable to:</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$600.0 million from the January 2024 repayment of our $600.0 million 3.95% senior unsecured notes at maturity,</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$47.5 million decrease in net borrowings on our revolving credit facility to $12.5 million of net borrowings during the three months ended March 31, 2024, as compared to $60.0 million of net borrowings during the three months ended March 31, 2023,</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$19.4 million premium paid for the capped call transactions entered into in connection with the issuance of $485.0 million 3.25% exchangeable senior notes in January 2024, and</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$2.5 million increase in dividends paid to common and preferred shareholders due to an increase in the number of outstanding shares, as well as an increase to the common share dividend rate,</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$471.6 million in net proceeds from the issuance of $485.0 million 3.25% exchangeable senior notes in January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Debt Financing Arrangements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total debt outstanding as of March 31, 2024:</w:t>
      </w:r>
    </w:p>
    <w:tbl>
      <w:tblPr>
        <w:tblW w:w="10205" w:type="dxa"/>
        <w:jc w:val="left"/>
        <w:tblInd w:w="0" w:type="dxa"/>
        <w:tblLayout w:type="fixed"/>
        <w:tblCellMar>
          <w:top w:w="28" w:type="dxa"/>
          <w:left w:w="28" w:type="dxa"/>
          <w:bottom w:w="28" w:type="dxa"/>
          <w:right w:w="28" w:type="dxa"/>
        </w:tblCellMar>
      </w:tblPr>
      <w:tblGrid>
        <w:gridCol w:w="901"/>
        <w:gridCol w:w="785"/>
        <w:gridCol w:w="789"/>
        <w:gridCol w:w="262"/>
        <w:gridCol w:w="262"/>
        <w:gridCol w:w="266"/>
        <w:gridCol w:w="109"/>
        <w:gridCol w:w="109"/>
        <w:gridCol w:w="109"/>
        <w:gridCol w:w="433"/>
        <w:gridCol w:w="1927"/>
        <w:gridCol w:w="240"/>
        <w:gridCol w:w="109"/>
        <w:gridCol w:w="109"/>
        <w:gridCol w:w="109"/>
        <w:gridCol w:w="438"/>
        <w:gridCol w:w="387"/>
        <w:gridCol w:w="910"/>
        <w:gridCol w:w="109"/>
        <w:gridCol w:w="109"/>
        <w:gridCol w:w="109"/>
        <w:gridCol w:w="472"/>
        <w:gridCol w:w="472"/>
        <w:gridCol w:w="680"/>
      </w:tblGrid>
      <w:tr>
        <w:trPr/>
        <w:tc>
          <w:tcPr>
            <w:tcW w:w="90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Debt</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w:t>
              <w:br/>
              <w:t>Debt</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Balance 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Interest Rate as of</w:t>
              <w:b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Date</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Mortgages payable</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Secured fixed rate</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Azalea</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November 1, 2025</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Bethesda Row (1)</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28, 2025</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Bell Gardens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2026</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Plaza El Segundo</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5, 2027</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Grove at Shrewsbury (East)</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September 1, 2027</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Brook 35</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July 1, 2029</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Hoboken (24 Buildings) (2)</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56,450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53,243 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15, 2029</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 Hoboken (14 Buildings) (3)</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29,621 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 through 2029</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Chelsea</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5.36 </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15, 2031</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518,325 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mortgages payable, net</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516,257 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Notes payable</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(4)(6)</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16, 2025</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(4)(6)</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+ 0.775%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5, 2027</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 through 2059</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614,832 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notes payable, net</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613,912 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Senior notes and debentures (6)</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Unsecured fixed rate</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1.25% notes</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15, 2026</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7.48% debentures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7.48 </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15, 2026</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notes</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July 15, 2027</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6.82% medium term notes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6.82 </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2027</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5.375% notes</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5.375 </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1, 2028</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exchangeable notes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485,000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485,000 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15, 2029</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3.20% notes</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15, 2029</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3.50% notes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 2030</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4.50% notes</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1, 2044</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3.625% notes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3.625 </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2046</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3,379,200 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(25,972)</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senior notes and debentures, net</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3,353,228 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debt, net</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4,483,397 </w:t>
            </w:r>
          </w:p>
        </w:tc>
        <w:tc>
          <w:tcPr>
            <w:tcW w:w="2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interest rate on this mortgage loan is fixed at a weighted average interest rate of 5.03% through the initial maturity date through three interest rate swap agreements. We have two one-year extensions, at our option to extend the maturity date of this mortgage loan to December 28, 2027.</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interest rate on this mortgage loan is fixed at 3.67% through two interest rate swap agreements. </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(3)The interest rates on these mortgages range from 3.91% to 5.00%.</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(4)Our revolving credit facility SOFR loans bear interest at Daily Simple SOFR or Term SOFR, and our term loan bears interest at Term SOFR as defined in the respective credit agreements, plus 0.10%, plus a spread, based on our current credit rating.</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maximum amount drawn under our $1.25 billion revolving credit facility during the three months ended March 31, 2024 was $12.5 million and the weighted average interest rate on borrowings under our revolving credit facility, before amortization of debt fees, was 6.2%.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(6)The Operating Partnership is the named obligor under our revolving credit facility, term loan, and senior notes and debenture. Effective April 1, 2024, a wholly owned subsidiary of the Operating Partnership guarantees the term loan.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revolving credit facility, unsecured term loan, and other debt agreements include financial and other covenants that may limit our operating activities in the future. As of March 31, 2024, we were in compliance with all financial and other covenants related to our revolving credit facility, term loan, and senior notes. Additionally, we were in compliance with all of the financial and other covenants that could trigger a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scheduled principal repayments as of March 31, 2024:</w:t>
      </w:r>
    </w:p>
    <w:p>
      <w:pPr>
        <w:pStyle w:val="TextBody"/>
        <w:bidi w:val="0"/>
        <w:spacing w:lineRule="auto" w:line="288" w:before="0" w:after="0"/>
        <w:jc w:val="left"/>
        <w:rPr>
          <w:color w:val="000000"/>
        </w:rPr>
      </w:pPr>
      <w:r>
        <w:rPr>
          <w:color w:val="000000"/>
        </w:rPr>
        <w:t> </w:t>
      </w:r>
    </w:p>
    <w:tbl>
      <w:tblPr>
        <w:tblW w:w="5974" w:type="dxa"/>
        <w:jc w:val="left"/>
        <w:tblInd w:w="0" w:type="dxa"/>
        <w:tblLayout w:type="fixed"/>
        <w:tblCellMar>
          <w:top w:w="28" w:type="dxa"/>
          <w:left w:w="28" w:type="dxa"/>
          <w:bottom w:w="28" w:type="dxa"/>
          <w:right w:w="28" w:type="dxa"/>
        </w:tblCellMar>
      </w:tblPr>
      <w:tblGrid>
        <w:gridCol w:w="342"/>
        <w:gridCol w:w="300"/>
        <w:gridCol w:w="304"/>
        <w:gridCol w:w="211"/>
        <w:gridCol w:w="976"/>
        <w:gridCol w:w="109"/>
        <w:gridCol w:w="110"/>
        <w:gridCol w:w="110"/>
        <w:gridCol w:w="110"/>
        <w:gridCol w:w="211"/>
        <w:gridCol w:w="826"/>
        <w:gridCol w:w="109"/>
        <w:gridCol w:w="110"/>
        <w:gridCol w:w="110"/>
        <w:gridCol w:w="110"/>
        <w:gridCol w:w="109"/>
        <w:gridCol w:w="146"/>
        <w:gridCol w:w="211"/>
        <w:gridCol w:w="976"/>
        <w:gridCol w:w="109"/>
        <w:gridCol w:w="110"/>
        <w:gridCol w:w="110"/>
        <w:gridCol w:w="15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Unsecured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1"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4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1" w:type="dxa"/>
            <w:gridSpan w:val="6"/>
            <w:tcBorders/>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3,994,032 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lineRule="auto" w:line="288" w:before="0" w:after="0"/>
        <w:jc w:val="left"/>
        <w:rPr/>
      </w:pPr>
      <w:r>
        <w:rPr>
          <w:rFonts w:ascii="Times New Roman;sans-serif" w:hAnsi="Times New Roman;sans-serif"/>
          <w:b w:val="false"/>
          <w:color w:val="000000"/>
          <w:sz w:val="20"/>
        </w:rPr>
        <w:t>__________________</w:t>
      </w:r>
      <w:r>
        <w:rPr>
          <w:color w:val="000000"/>
          <w:shd w:fill="FFFFFF" w:val="clear"/>
        </w:rPr>
        <w:t>    </w:t>
      </w:r>
    </w:p>
    <w:p>
      <w:pPr>
        <w:pStyle w:val="TextBody"/>
        <w:bidi w:val="0"/>
        <w:spacing w:lineRule="auto" w:line="288" w:before="60" w:after="283"/>
        <w:ind w:left="0" w:right="0" w:hanging="63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shd w:fill="FFFFFF" w:val="clear"/>
        </w:rPr>
        <w:t>Our</w:t>
      </w:r>
      <w:r>
        <w:rPr>
          <w:color w:val="000000"/>
        </w:rPr>
        <w:t xml:space="preserve"> </w:t>
      </w:r>
      <w:r>
        <w:rPr>
          <w:rFonts w:ascii="Times New Roman;sans-serif" w:hAnsi="Times New Roman;sans-serif"/>
          <w:b w:val="false"/>
          <w:color w:val="000000"/>
          <w:sz w:val="20"/>
        </w:rPr>
        <w:t>$600.0 million term loan matures on April 16, 2025, plus one one-year extension at our option to April 16, 2026.</w:t>
      </w:r>
    </w:p>
    <w:p>
      <w:pPr>
        <w:pStyle w:val="TextBody"/>
        <w:bidi w:val="0"/>
        <w:spacing w:lineRule="auto" w:line="288" w:before="6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(2)Our $200.0 million mortgage loan secured by Bethesda Row matures on December 28, 2025, plus two one-year extensions at our option to December 28, 2027.</w:t>
      </w:r>
    </w:p>
    <w:p>
      <w:pPr>
        <w:pStyle w:val="TextBody"/>
        <w:bidi w:val="0"/>
        <w:spacing w:lineRule="auto" w:line="288" w:before="60" w:after="283"/>
        <w:ind w:left="0" w:right="0" w:hanging="630"/>
        <w:jc w:val="left"/>
        <w:rPr/>
      </w:pPr>
      <w:r>
        <w:rPr>
          <w:rFonts w:ascii="Times New Roman;sans-serif" w:hAnsi="Times New Roman;sans-serif"/>
          <w:b w:val="false"/>
          <w:color w:val="000000"/>
          <w:sz w:val="20"/>
        </w:rPr>
        <w:t>(3)</w:t>
      </w:r>
      <w:r>
        <w:rPr>
          <w:rFonts w:ascii="Times New Roman;sans-serif" w:hAnsi="Times New Roman;sans-serif"/>
          <w:b w:val="false"/>
          <w:color w:val="000000"/>
          <w:sz w:val="20"/>
          <w:shd w:fill="FFFFFF" w:val="clear"/>
        </w:rPr>
        <w:t xml:space="preserve">Our $1.25 billion revolving credit facility matures on April 5, 2027, plus two six-month extensions at our option to April 5, 2028. As of </w:t>
      </w:r>
      <w:r>
        <w:rPr>
          <w:rFonts w:ascii="Times New Roman;sans-serif" w:hAnsi="Times New Roman;sans-serif"/>
          <w:b w:val="false"/>
          <w:color w:val="000000"/>
          <w:sz w:val="20"/>
        </w:rPr>
        <w:t xml:space="preserve">March 31, 2024, there was $12.5 million outstanding under this credit facility. </w:t>
      </w:r>
    </w:p>
    <w:p>
      <w:pPr>
        <w:pStyle w:val="TextBody"/>
        <w:bidi w:val="0"/>
        <w:spacing w:lineRule="auto" w:line="288" w:before="6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(4)The total debt maturities differ from the total reported on the consolidated balance sheets due to the unamortized net debt issuance costs and premium/discount on mortgage loans, notes payable, and senior notes as of March 31, 2024.</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Hedging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SOFR rate. In addition, we evaluate the default risk of the counterparty by monitoring the credit-worthiness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we have two interest rate swap agreements that effectively fix the rate on a mortgage payable associated with our Hoboken portfolio at 3.67% and we have three interest rate swap agreements that effectively fix the interest rate on a mortgage payable associated with Bethesda Row at 5.03% through the initial maturity date. Our Assembly Row hotel joint venture is also a party to two interest rate swap agreements that effectively fix 100% of its outstanding $39.0 million of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through May 2025 at 6.39%, and 50% of its outstanding debt from June 2025 through May 2028 at 6.03%. All swaps were designated and qualify as cash flow hedges. Hedge ineffectiveness has not impacted earnings as of March 31, 2024.</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REIT Qualification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maintain the Trust's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Funds From Operations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does not represent cash flows from operating activities in accordance with GAAP (which, unlike FFO, generally reflects all cash effects of transactions and other events in the determination of net income);</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should not be considered an alternative to net income as an indication of our performance; and</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is not necessarily indicative of cash flow as a measure of liquidity or ability to fund cash needs, including the payment of dividends.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reconciliation of net income to FFO available for common shareholders is as follows:</w:t>
      </w:r>
    </w:p>
    <w:p>
      <w:pPr>
        <w:pStyle w:val="TextBody"/>
        <w:bidi w:val="0"/>
        <w:spacing w:before="0" w:after="0"/>
        <w:jc w:val="left"/>
        <w:rPr/>
      </w:pPr>
      <w:r>
        <w:rPr/>
      </w:r>
    </w:p>
    <w:tbl>
      <w:tblPr>
        <w:tblW w:w="9865" w:type="dxa"/>
        <w:jc w:val="left"/>
        <w:tblInd w:w="0" w:type="dxa"/>
        <w:tblLayout w:type="fixed"/>
        <w:tblCellMar>
          <w:top w:w="28" w:type="dxa"/>
          <w:left w:w="28" w:type="dxa"/>
          <w:bottom w:w="28" w:type="dxa"/>
          <w:right w:w="28" w:type="dxa"/>
        </w:tblCellMar>
      </w:tblPr>
      <w:tblGrid>
        <w:gridCol w:w="2361"/>
        <w:gridCol w:w="2073"/>
        <w:gridCol w:w="2091"/>
        <w:gridCol w:w="109"/>
        <w:gridCol w:w="109"/>
        <w:gridCol w:w="128"/>
        <w:gridCol w:w="128"/>
        <w:gridCol w:w="248"/>
        <w:gridCol w:w="972"/>
        <w:gridCol w:w="128"/>
        <w:gridCol w:w="109"/>
        <w:gridCol w:w="109"/>
        <w:gridCol w:w="109"/>
        <w:gridCol w:w="211"/>
        <w:gridCol w:w="826"/>
        <w:gridCol w:w="154"/>
      </w:tblGrid>
      <w:tr>
        <w:trPr/>
        <w:tc>
          <w:tcPr>
            <w:tcW w:w="2361"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518" w:type="dxa"/>
            <w:gridSpan w:val="6"/>
            <w:tcBorders/>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real estate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initial direct costs of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138,411 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downREIT operating partnership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unvested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available for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136,725 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diluted (1)(2)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83,334 </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81,877 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available for common shareholders, per diluted share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(1)For both the three months ended March 31, 2024 and 2023, dividends on our Series 1 preferred stock were not deducted in the calculation of FFO available to common shareholders, as the related shares were dilutive and included in "weighted average number of common shares, diluted." </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weighted average common shares used to compute FFO per diluted common share includes downREIT operating partnership units that were excluded from the computation of diluted EPS. Conversion of these operating partnership units is dilutive in the computation of FFO per diluted share for all periods presented but is anti-dilutive for the computation of dilutive EPS for both the three months ended March 31, 2024 and 2023.</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Fixed Interest Rate Debt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outstanding debt obligations (maturing at various times through 2059) have fixed interest rates which limit the risk of fluctuating interest rates. However, interest rate fluctuations may affect the fair value of our fixed rate debt instruments. At March 31, 2024, we had $3.9 billion of fixed-rate debt outstanding, including $253.2 million of mortgage payables for which the rate is effectively fixed by five interest rate swap agreements. If market interest rates used to calculate the fair value on our fixed-rate debt instruments at March 31, 2024 had been 1.0% higher, the fair value of those debt instruments on that date would have decreased by approximately $168.1 million. If market interest rates used to calculate the fair value on our fixed-rate debt instruments at March 31, 2024 had been 1.0% lower, the fair value of those debt instruments on that date would have increased by approximately $186.2 million.</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Variable Interest Rate Debt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we believe that our primary interest rate risk is due to fluctuations in interest rates on our outstanding variable rate debt. At March 31, 2024, we had $612.5 million of variable rate debt outstanding (the $600.0 million principal balance on our unsecured term loan and $12.5 million outstanding on our revolving credit facility). Based upon this amount of variable rate debt and the specific terms, if market interest rates increased 1.0%, our annual interest expense would increase approximately $6.1 million with a corresponding decrease in our net income and cash flows for the year. Conversely, if market interest rates decreased 1.0%, our annual interest expense would decrease by approximately $6.1 million with a corresponding increase in our net income and cash flows for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Controls and Procedures (Federal Realty Investment Trust)</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Periodic Evaluation and Conclusion of Disclosure Controls and Procedures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evaluation has been performed, under the supervision and with the participation of our management, including our Chief Executive Officer and Chief Financial Officer, of the effectiveness of the design and operation of the Trust's disclosure controls and procedures as of March 31, 2024. Based on this evaluation, our management, including our Chief Executive Officer and Chief Financial Officer, concluded that the Trust's disclosure controls and procedures were effective as of March 31, 2024 to provide reasonable assurance that information required to be disclosed in the Trust's reports filed or submitted under the Securities Exchange Act of 1934 is (i) recorded, processed, summarized and reported within the time periods specified in the rules and forms of the SEC and (ii) accumulated and communicated to the Trust’s management including its principal executive and principal financial officer as appropriate to allow timely decisions regarding required disclosure.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the Trust's internal control over financial reporting during the quarterly period covered by this report that materially affected, or is reasonably likely to materially affect, the Trust's internal control over financial reporting.</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Controls and Procedures (Federal Realty OP LP)</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Periodic Evaluation and Conclusion of Disclosure Controls and Procedures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evaluation has been performed, under the supervision and with the participation of our management, including our Chief Executive Officer and Chief Financial Officer, of the effectiveness of the design and operation of the Operating Partnership's disclosure controls and procedures as of March 31, 2024. Based on this evaluation, our management, including our Chief Executive Officer and Chief Financial Officer, concluded that the Operating Partnership's disclosure controls and procedures were effective as of March 31, 2024 to provide reasonable assurance that information required to be disclosed in our reports filed or submitted under the Securities Exchange Act of 1934 is (i) recorded, processed, summarized and reported within the time periods specified in the rules and forms of the SEC and (ii) accumulated and communicated to the Operating Partnership’s management including its principal executive and principal financial officer as appropriate to allow timely decisions regarding required disclosure.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the Operating Partnership's internal control over financial reporting during the quarterly period covered by this report that materially affected, or is reasonably likely to materially affect, the Operating Partnership's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developments in any of our legal proceedings since the disclosure contained in our Annual Report to Form 10-K for the fiscal year ended December 31, 2023 filed with the SEC on February 12,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disclosed in our Annual Report to our Form 10-K for the year ended December 31, 2023 filed with the SEC on February 12,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2.UNREGISTERED SALES OF EQUITY SECURITIES AND USE OF PROCEEDS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various partnership agreements of certain of our affiliated limited partnerships, the interest of limited partners in those limited partnerships may be redeemed, subject to certain conditions, for cash or common shares, at our option. During the three months ended March 31, 2024, we redeemed 4,160 downREIT operating partnership units for common shares.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could be deemed to have repurchased shares as a result of shares withheld for tax purposes upon a stock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related vesting event.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3.DEFAULTS UPON SENIOR SECURITIES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5.OTHER INFORMATION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6.EXHIBITS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list of exhibits to this Quarterly Report on Form 10-Q is set forth on the Exhibit Index immediately preceding such exhibits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3"/>
        <w:gridCol w:w="222"/>
        <w:gridCol w:w="224"/>
        <w:gridCol w:w="121"/>
        <w:gridCol w:w="121"/>
        <w:gridCol w:w="121"/>
        <w:gridCol w:w="2934"/>
        <w:gridCol w:w="2848"/>
        <w:gridCol w:w="2875"/>
        <w:gridCol w:w="109"/>
        <w:gridCol w:w="109"/>
        <w:gridCol w:w="109"/>
        <w:gridCol w:w="159"/>
      </w:tblGrid>
      <w:tr>
        <w:trPr/>
        <w:tc>
          <w:tcPr>
            <w:tcW w:w="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Third Amendment to Second Amended and Restated Credit Agreement, dated as of March 14, 2024, by and among the Partnership, as borrower, each of the lenders party thereto and Wells Fargo Bank, National Association, as administrative agent (</w:t>
            </w:r>
            <w:hyperlink w:anchor="frt-03312024xex101.htm">
              <w:r>
                <w:rPr>
                  <w:rStyle w:val="InternetLink"/>
                  <w:rFonts w:ascii="Times New Roman;sans-serif" w:hAnsi="Times New Roman;sans-serif"/>
                  <w:b w:val="false"/>
                  <w:color w:val="0000FF"/>
                  <w:sz w:val="20"/>
                  <w:u w:val="single"/>
                </w:rPr>
                <w:t>filed herewith</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3312024xex311.htm">
              <w:r>
                <w:rPr>
                  <w:rStyle w:val="InternetLink"/>
                  <w:rFonts w:ascii="Times New Roman;sans-serif" w:hAnsi="Times New Roman;sans-serif"/>
                  <w:b w:val="false"/>
                  <w:color w:val="0000FF"/>
                  <w:sz w:val="20"/>
                  <w:u w:val="single"/>
                </w:rPr>
                <w:t>31.1</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 Certification of Chief Executive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3312024xex312.htm">
              <w:r>
                <w:rPr>
                  <w:rStyle w:val="InternetLink"/>
                  <w:rFonts w:ascii="Times New Roman;sans-serif" w:hAnsi="Times New Roman;sans-serif"/>
                  <w:b w:val="false"/>
                  <w:color w:val="0000FF"/>
                  <w:sz w:val="20"/>
                  <w:u w:val="single"/>
                </w:rPr>
                <w:t>31.2</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 Certification of Chief Financial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3312024xex313.htm">
              <w:r>
                <w:rPr>
                  <w:rStyle w:val="InternetLink"/>
                  <w:rFonts w:ascii="Times New Roman;sans-serif" w:hAnsi="Times New Roman;sans-serif"/>
                  <w:b w:val="false"/>
                  <w:color w:val="0000FF"/>
                  <w:sz w:val="20"/>
                  <w:u w:val="single"/>
                </w:rPr>
                <w:t>31.3</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 Certification of Chief Executive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3312024xex314.htm">
              <w:r>
                <w:rPr>
                  <w:rStyle w:val="InternetLink"/>
                  <w:rFonts w:ascii="Times New Roman;sans-serif" w:hAnsi="Times New Roman;sans-serif"/>
                  <w:b w:val="false"/>
                  <w:color w:val="0000FF"/>
                  <w:sz w:val="20"/>
                  <w:u w:val="single"/>
                </w:rPr>
                <w:t>31.4</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 Certification of Chief Financial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3312024xex321.htm">
              <w:r>
                <w:rPr>
                  <w:rStyle w:val="InternetLink"/>
                  <w:rFonts w:ascii="Times New Roman;sans-serif" w:hAnsi="Times New Roman;sans-serif"/>
                  <w:b w:val="false"/>
                  <w:color w:val="0000FF"/>
                  <w:sz w:val="20"/>
                  <w:u w:val="single"/>
                </w:rPr>
                <w:t>32.1</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Executive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3312024xex322.htm">
              <w:r>
                <w:rPr>
                  <w:rStyle w:val="InternetLink"/>
                  <w:rFonts w:ascii="Times New Roman;sans-serif" w:hAnsi="Times New Roman;sans-serif"/>
                  <w:b w:val="false"/>
                  <w:color w:val="0000FF"/>
                  <w:sz w:val="20"/>
                  <w:u w:val="single"/>
                </w:rPr>
                <w:t>32.2</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Financial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3312024xex323.htm">
              <w:r>
                <w:rPr>
                  <w:rStyle w:val="InternetLink"/>
                  <w:rFonts w:ascii="Times New Roman;sans-serif" w:hAnsi="Times New Roman;sans-serif"/>
                  <w:b w:val="false"/>
                  <w:color w:val="0000FF"/>
                  <w:sz w:val="20"/>
                  <w:u w:val="single"/>
                </w:rPr>
                <w:t>32.3</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Executive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3312024xex324.htm">
              <w:r>
                <w:rPr>
                  <w:rStyle w:val="InternetLink"/>
                  <w:rFonts w:ascii="Times New Roman;sans-serif" w:hAnsi="Times New Roman;sans-serif"/>
                  <w:b w:val="false"/>
                  <w:color w:val="0000FF"/>
                  <w:sz w:val="20"/>
                  <w:u w:val="single"/>
                </w:rPr>
                <w:t>32.4</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Financial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Federal Realty Investment Trust and Federal Realty OP LP’s Quarterly Report on Form 10-Q for the quarter ended March 31, 2024,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authorized.</w:t>
      </w:r>
    </w:p>
    <w:p>
      <w:pPr>
        <w:pStyle w:val="TextBody"/>
        <w:bidi w:val="0"/>
        <w:spacing w:before="0" w:after="0"/>
        <w:jc w:val="left"/>
        <w:rPr/>
      </w:pPr>
      <w:r>
        <w:rPr/>
      </w:r>
    </w:p>
    <w:tbl>
      <w:tblPr>
        <w:tblW w:w="5457" w:type="dxa"/>
        <w:jc w:val="left"/>
        <w:tblInd w:w="0" w:type="dxa"/>
        <w:tblLayout w:type="fixed"/>
        <w:tblCellMar>
          <w:top w:w="28" w:type="dxa"/>
          <w:left w:w="28" w:type="dxa"/>
          <w:bottom w:w="28" w:type="dxa"/>
          <w:right w:w="28" w:type="dxa"/>
        </w:tblCellMar>
      </w:tblPr>
      <w:tblGrid>
        <w:gridCol w:w="417"/>
        <w:gridCol w:w="368"/>
        <w:gridCol w:w="370"/>
        <w:gridCol w:w="109"/>
        <w:gridCol w:w="109"/>
        <w:gridCol w:w="109"/>
        <w:gridCol w:w="1163"/>
        <w:gridCol w:w="1163"/>
        <w:gridCol w:w="1649"/>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OP LP</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457" w:type="dxa"/>
        <w:jc w:val="center"/>
        <w:tblInd w:w="0" w:type="dxa"/>
        <w:tblLayout w:type="fixed"/>
        <w:tblCellMar>
          <w:top w:w="28" w:type="dxa"/>
          <w:left w:w="28" w:type="dxa"/>
          <w:bottom w:w="28" w:type="dxa"/>
          <w:right w:w="28" w:type="dxa"/>
        </w:tblCellMar>
      </w:tblPr>
      <w:tblGrid>
        <w:gridCol w:w="417"/>
        <w:gridCol w:w="368"/>
        <w:gridCol w:w="370"/>
        <w:gridCol w:w="109"/>
        <w:gridCol w:w="109"/>
        <w:gridCol w:w="109"/>
        <w:gridCol w:w="1163"/>
        <w:gridCol w:w="1163"/>
        <w:gridCol w:w="1649"/>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OP LP</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Executive Vice President</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 and Treasurer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THIRD AMENDMENT TO SECOND AMENDED AND RESTATED </w: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CREDIT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This Third Amendment and Consent to Second Amended AND RESTATED CREDIT AGREEMENT (this “</w:t>
      </w:r>
      <w:r>
        <w:rPr>
          <w:rFonts w:ascii="Times New Roman;sans-serif" w:hAnsi="Times New Roman;sans-serif"/>
          <w:b w:val="false"/>
          <w:color w:val="000000"/>
          <w:sz w:val="22"/>
          <w:u w:val="single"/>
        </w:rPr>
        <w:t>Amendment</w:t>
      </w:r>
      <w:r>
        <w:rPr>
          <w:color w:val="000000"/>
        </w:rPr>
        <w:t>”</w:t>
      </w:r>
      <w:r>
        <w:rPr>
          <w:rFonts w:ascii="Times New Roman;sans-serif" w:hAnsi="Times New Roman;sans-serif"/>
          <w:b w:val="false"/>
          <w:color w:val="000000"/>
          <w:sz w:val="22"/>
        </w:rPr>
        <w:t>) dated as of March 14, 2024 (the “</w:t>
      </w:r>
      <w:r>
        <w:rPr>
          <w:rFonts w:ascii="Times New Roman;sans-serif" w:hAnsi="Times New Roman;sans-serif"/>
          <w:b w:val="false"/>
          <w:color w:val="000000"/>
          <w:sz w:val="22"/>
          <w:u w:val="single"/>
        </w:rPr>
        <w:t>Third Amendment Date</w:t>
      </w:r>
      <w:r>
        <w:rPr>
          <w:color w:val="000000"/>
        </w:rPr>
        <w:t>”</w:t>
      </w:r>
      <w:r>
        <w:rPr>
          <w:rFonts w:ascii="Times New Roman;sans-serif" w:hAnsi="Times New Roman;sans-serif"/>
          <w:b w:val="false"/>
          <w:color w:val="000000"/>
          <w:sz w:val="22"/>
        </w:rPr>
        <w:t>), by and among FEDERAL REALTY OP LP, a limited partnership formed under the laws of the State of Delaware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each of the Lenders party hereto and WELLS FARGO BANK, NATIONAL ASSOCIATION, as Administrative Agent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WHEREAS, the Borrower, the Lenders, the Administrative Agent and certain other parties have entered into that certain Second Amended and Restated Credit Agreement dated as of October 5, 2022 (as amended and in effect immediately prior to the effectiveness of this Amendment,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xml:space="preserve">); and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Borrower has requested that the Requisite Lenders and the Administrative Agent amend certain provisions of the Credit Agreement on the terms and conditions contained herein.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for good and valuable consideration, the receipt and sufficiency of which are hereby acknowledged by the parties hereto, the parties hereto agree as follows: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1. </w:t>
      </w:r>
      <w:r>
        <w:rPr>
          <w:rFonts w:ascii="Times New Roman;sans-serif" w:hAnsi="Times New Roman;sans-serif"/>
          <w:b w:val="false"/>
          <w:color w:val="000000"/>
          <w:sz w:val="22"/>
          <w:u w:val="single"/>
        </w:rPr>
        <w:t>Specific Amendments to the Credit Agreement</w:t>
      </w:r>
      <w:r>
        <w:rPr>
          <w:rFonts w:ascii="Times New Roman;sans-serif" w:hAnsi="Times New Roman;sans-serif"/>
          <w:b w:val="false"/>
          <w:color w:val="000000"/>
          <w:sz w:val="22"/>
        </w:rPr>
        <w:t>. As of the Third Amendment Date, the parties hereto agree that the Credit Agreement shall be amended as follows: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Credit Agreement is amended by adding the following new definition of “Same-Day Borrowing” to Section 1.1. thereof in appropriate alphabetical order:</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color w:val="000000"/>
          <w:sz w:val="22"/>
        </w:rPr>
        <w:t>Same-Day Borrowing</w:t>
      </w:r>
      <w:r>
        <w:rPr>
          <w:color w:val="000000"/>
        </w:rPr>
        <w:t xml:space="preserve">” </w:t>
      </w:r>
      <w:r>
        <w:rPr>
          <w:rFonts w:ascii="Times New Roman;sans-serif" w:hAnsi="Times New Roman;sans-serif"/>
          <w:b w:val="false"/>
          <w:color w:val="000000"/>
          <w:sz w:val="22"/>
        </w:rPr>
        <w:t>means a borrowing of a Revolving Loan for which the date of the Notice of Revolving Borrowing and the date of the funding of such borrowing occur on the same day; provided that Same-Day Borrowings must be either Base Rate Loans or Daily Simple SOFR Loans.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Credit Agreement is amended by deleting the definitions of “Base Rate Loan” and “Daily Simple SOFR Loan” in Section 1.1. thereof in its entirety and substituting in lieu thereof the following:</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color w:val="000000"/>
          <w:sz w:val="22"/>
        </w:rPr>
        <w:t>Base Rate Loan</w:t>
      </w:r>
      <w:r>
        <w:rPr>
          <w:color w:val="000000"/>
        </w:rPr>
        <w:t xml:space="preserve">” </w:t>
      </w:r>
      <w:r>
        <w:rPr>
          <w:rFonts w:ascii="Times New Roman;sans-serif" w:hAnsi="Times New Roman;sans-serif"/>
          <w:b w:val="false"/>
          <w:color w:val="000000"/>
          <w:sz w:val="22"/>
        </w:rPr>
        <w:t>means any Loan bearing interest at a rate based on the Base Rate, and, for the avoidance of doubt, except as otherwise expressly provided, shall include Same-Day Borrowings bearing interest at the Base Rate.</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color w:val="000000"/>
          <w:sz w:val="22"/>
        </w:rPr>
        <w:t>Daily Simple SOFR Loan</w:t>
      </w:r>
      <w:r>
        <w:rPr>
          <w:color w:val="000000"/>
        </w:rPr>
        <w:t xml:space="preserve">” </w:t>
      </w:r>
      <w:r>
        <w:rPr>
          <w:rFonts w:ascii="Times New Roman;sans-serif" w:hAnsi="Times New Roman;sans-serif"/>
          <w:b w:val="false"/>
          <w:color w:val="000000"/>
          <w:sz w:val="22"/>
        </w:rPr>
        <w:t>means any Loan bearing interest at a rate based on Adjusted Daily Simple SOFR, and, for the avoidance of doubt, except as otherwise expressly provided, shall include Same-Day Borrowings bearing interest at the Adjusted Daily Simple SOFR.</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Credit Agreement is amended by adding the following to the end of the definition of “Unencumbered Asset Value”:</w:t>
      </w:r>
    </w:p>
    <w:p>
      <w:pPr>
        <w:pStyle w:val="TextBody"/>
        <w:bidi w:val="0"/>
        <w:spacing w:before="0" w:after="0"/>
        <w:jc w:val="left"/>
        <w:rPr/>
      </w:pPr>
      <w:r>
        <w:rPr/>
      </w:r>
    </w:p>
    <w:p>
      <w:pPr>
        <w:pStyle w:val="TextBody"/>
        <w:bidi w:val="0"/>
        <w:spacing w:lineRule="auto" w:line="26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the foregoing, so long as FRIT San Jose Town and Country Village, LLC (“FRIT San Jose”) Guarantees any other Indebtedness and does not Guarantee the Obligations, neither the Net Operating Income from any Wholly Owned Property, Controlled Property or Non-Controlled Property owned by FRIT San Jose or any of its Subsidiaries nor the value of any other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asset owned by FRIT San Jose or any of its Subsidiaries shall be included in the calculation of Unencumbered Asset Value.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The Credit Agreement is amended by deleting Sections 2.1(b) and 2.1(c) thereof in their entireties and substituting in lieu thereof the following: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(b) </w:t>
      </w:r>
      <w:r>
        <w:rPr>
          <w:rFonts w:ascii="Times New Roman;sans-serif" w:hAnsi="Times New Roman;sans-serif"/>
          <w:b w:val="false"/>
          <w:color w:val="000000"/>
          <w:sz w:val="22"/>
          <w:u w:val="single"/>
        </w:rPr>
        <w:t>Requests for Revolving Loans</w:t>
      </w:r>
      <w:r>
        <w:rPr>
          <w:rFonts w:ascii="Times New Roman;sans-serif" w:hAnsi="Times New Roman;sans-serif"/>
          <w:b w:val="false"/>
          <w:color w:val="000000"/>
          <w:sz w:val="22"/>
        </w:rPr>
        <w:t>. Not later than (w) 11:00 a.m. Pacific time at least one (1) Business Day prior to a borrowing of Revolving Loans that are to be Base Rate Loans (other than any Same-Day Borrowing), (x) 11:00 a.m. Pacific time at least one (1) U.S. Government Securities Business Day prior to a borrowing of Revolving Loans that are to be Daily Simple SOFR Loans, (y) 11:00 a.m. Pacific time at least three (3) U.S. Government Securities Business Days prior to a borrowing of Revolving Loans that are to be Term SOFR Loans and (z) 7:00 a.m. Pacific time on the date of a borrowing of Revolving Loans that are to be Same-Day Borrowings, the Borrower shall deliver to the Administrative Agent a Notice of Borrowing or telephone notice thereof. Each Notice of Borrowing shall specify the aggregate principal amount of the Revolving Loans to be borrowed, the date such Revolving Loans are to be borrowed (which must be a U.S. Government Securities Business Day), the use of the proceeds of such Revolving Loans, the Type of the requested Revolving Loans, whether such Revolving Loans are to be Same-Day Borrowings, and if such Revolving Loans are to be Term SOFR Loans, the initial Interest Period for such Revolving Loans. Any telephone notice shall include all information to be specified in a written Notice of Borrowing and shall be promptly confirmed in writing by the Borrower pursuant to a Notice of Borrowing sent to the Administrative Agent by electronic mail on the same day of the giving of such telephonic notice. Each Notice of Borrowing or any telephone notice of a borrowing shall be irrevocable once given and binding on the Borrower. Prior to delivering a Notice of Borrowing, the Borrower may (without specifying whether a Revolving Loan will be a Base Rate Loan, a Daily Simple SOFR Loan or a Term SOFR Loan) request that the Administrative Agent provide the Borrower with the most recent Base Rate, Adjusted Daily Simple SOFR or Adjusted Term SOFR available to the Administrative Agent. The Administrative Agent shall provide such quoted rate to the Borrower on the date of such request or as soon as possible thereafter.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(c) </w:t>
      </w:r>
      <w:r>
        <w:rPr>
          <w:rFonts w:ascii="Times New Roman;sans-serif" w:hAnsi="Times New Roman;sans-serif"/>
          <w:b w:val="false"/>
          <w:color w:val="000000"/>
          <w:sz w:val="22"/>
          <w:u w:val="single"/>
        </w:rPr>
        <w:t>Funding of Revolving Loans</w:t>
      </w:r>
      <w:r>
        <w:rPr>
          <w:rFonts w:ascii="Times New Roman;sans-serif" w:hAnsi="Times New Roman;sans-serif"/>
          <w:b w:val="false"/>
          <w:color w:val="000000"/>
          <w:sz w:val="22"/>
        </w:rPr>
        <w:t>. Promptly after receipt of a Notice of Borrowing under the immediately preceding subsection (b), the Administrative Agent shall notify each Lender of the proposed borrowing. Each Lender shall deposit an amount equal to the Revolving Loan to be made by such Lender to the Borrower with the Administrative Agent at the Principal Office, in immediately available funds not later than (i) in the case of a Same-Day Borrowing, 9:00 a.m. Pacific time on the date of such proposed Revolving Loans and (ii) in the case of a non-Same-Day Borrowing, 8:00 a.m. Pacific time on the date of such proposed Revolving Loans. Subject to fulfillment of the conditions set forth in Section 5.2., the Administrative Agent shall make available to the Borrower in the account specified in the Disbursement Instruction Agreement, not later than (i) in the case of a Same-Day Borrowing, 9:30 a.m. Pacific time on the date of the requested borrowing of Revolving Loans and (ii) in the case of a non-Same-Day Borrowing, 9:00 a.m. Pacific time on the date of the requested borrowing of Revolving Loans, the proceeds of such amounts received by the Administrative Agent.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The Credit Agreement is amended by deleting Section 5.2. in its entirety and substituting in lieu thereof the following: </w: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 xml:space="preserve">Section 5.2. Conditions Precedent to All Loans and Letters of Credit.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obligations of (i) Lenders to make any Loans and (ii) the Issuing Bank to issue Letters of Credit are each subject to the further conditions precedent that: (a) no Default or Event of Default shall exist as of the date of the making of such Loan or date of issuance of such Letter of Credit or would exist immediately after giving effect thereto, and no violation of the limits described in Section 2.15. would occur after giving effect thereto; (b) the representations and warranties (other than, solely in the case of the obligation of the Lenders to make any Loans, the representations and warranties set forth in Sections 6.1.(i)(i) and 6.1.(l)(i)) made or deemed made by the Borrower and each other Loan Party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the date of the making of such Loan or date of issuance of such Letter of Credit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 and (c) in the case of the borrowing of Revolving Loans, the Administrative Agent shall have received a timely Notice of Borrowing, or in the case of a Swingline Loan, the Swingline Lender shall have received a timely Notice of Swingline Borrowing. Each Credit Event shall constitute a certification by the Borrower to the effect set forth in the preceding sentence (both as of the date of the giving of notice relating to such Credit Event and, unless the Borrower otherwise notifies the Administrative Agent prior to the date of such Credit Event, as of the date of the occurrence of such Credit Event). In addition, the Borrower shall be deemed to have represented to the Administrative Agent and the Lenders at the time any Loan is made or any Letter of Credit is issued that all conditions to the making of such Loan or issuing of such Letter of Credit contained in this Article V. have been satisfied. Unless set forth in writing to the contrary, the making of its initial Loan by a Lender shall constitute a certification by such Lender to the Administrative Agent and the other Lenders that the conditions precedent for initial Loans set forth in Section 5.1. that have not previously been waived by the Lenders in accordance with the terms of this Agreement have been satisfied.</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The Credit Agreement is amended by deleting Section 6.1.(l) in its entirety and substituting in lieu thereof the following: </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(l)     </w:t>
      </w:r>
      <w:r>
        <w:rPr>
          <w:rFonts w:ascii="Times New Roman;sans-serif" w:hAnsi="Times New Roman;sans-serif"/>
          <w:b w:val="false"/>
          <w:color w:val="000000"/>
          <w:sz w:val="22"/>
          <w:u w:val="single"/>
        </w:rPr>
        <w:t>No Material Adverse Change; Solvency</w:t>
      </w:r>
      <w:r>
        <w:rPr>
          <w:rFonts w:ascii="Times New Roman;sans-serif" w:hAnsi="Times New Roman;sans-serif"/>
          <w:b w:val="false"/>
          <w:color w:val="000000"/>
          <w:sz w:val="22"/>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Since December 31, 2021, there has been no event, change, circumstance or occurrence that could reasonably be expected to have a Material Adverse Effect.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Each of the Borrower, the other Loan Parties and the other Subsidiaries is Solvent.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ind w:left="0" w:right="0" w:firstLine="720"/>
        <w:jc w:val="both"/>
        <w:rPr/>
      </w:pPr>
      <w:r>
        <w:rPr>
          <w:rFonts w:ascii="Times New Roman;sans-serif" w:hAnsi="Times New Roman;sans-serif"/>
          <w:b w:val="false"/>
          <w:color w:val="000000"/>
          <w:sz w:val="22"/>
        </w:rPr>
        <w:t xml:space="preserve">Section 2. </w:t>
      </w:r>
      <w:r>
        <w:rPr>
          <w:rFonts w:ascii="Times New Roman;sans-serif" w:hAnsi="Times New Roman;sans-serif"/>
          <w:b w:val="false"/>
          <w:color w:val="000000"/>
          <w:sz w:val="22"/>
          <w:u w:val="single"/>
        </w:rPr>
        <w:t>Consent</w:t>
      </w:r>
      <w:r>
        <w:rPr>
          <w:rFonts w:ascii="Times New Roman;sans-serif" w:hAnsi="Times New Roman;sans-serif"/>
          <w:b w:val="false"/>
          <w:color w:val="000000"/>
          <w:sz w:val="22"/>
        </w:rPr>
        <w:t xml:space="preserve">. Notwithstanding Section 7.14 of the Credit Agreement, the Lenders hereby consent to allow FRIT San Jose to become a guarantor with respect to the obligations under that certain Term Loan Agreement dated as of May 6, 2020 (the “PNC Term Loan Agreement”), by and among the Borrower, the lenders thereunder, PNC Bank, National Association, as administrative agent and the other parties thereto as in effect on the date hereof, without the need to provide a Guaranty with respect to the Obligations until the maturity of the obligations under the PNC Term Loan Agreement as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set forth in the PNC Term Loan Agreement on the date hereof (including after giving effect to any extensions permitted by the PNC Term Loan Agreement as in effect on the date hereof). The consent provided herein will expire without any further action by any Person on the sooner of the maturity date of the obligations under the PNC Term Loan Agreement (after giving effect to any extensions permitted thereunder as in effect on the date hereof) and the repayment in full of the obligations under the PNC Term Loan Agreement.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3. </w:t>
      </w:r>
      <w:r>
        <w:rPr>
          <w:rFonts w:ascii="Times New Roman;sans-serif" w:hAnsi="Times New Roman;sans-serif"/>
          <w:b w:val="false"/>
          <w:color w:val="000000"/>
          <w:sz w:val="22"/>
          <w:u w:val="single"/>
        </w:rPr>
        <w:t>Conditions Precedent</w:t>
      </w:r>
      <w:r>
        <w:rPr>
          <w:rFonts w:ascii="Times New Roman;sans-serif" w:hAnsi="Times New Roman;sans-serif"/>
          <w:b w:val="false"/>
          <w:color w:val="000000"/>
          <w:sz w:val="22"/>
        </w:rPr>
        <w:t>. The effectiveness of this Amendment is subject to receipt by the Administrative Agent of each of the following in form and substance satisfactory to the Administrative Agent: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a counterpart of this Amendment duly executed by the Borrower, the Administrative Agent and the Requisite Lenders;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evidence that all fees, expenses and reimbursement amounts due and payable by the Borrower to the Administrative Agent hereunder or under the Credit Agreement, including without limitation, (i) the costs and expenses set forth in Section 7 hereto, and (ii) the reasonable fees and expenses of counsel to the Administrative Agent have been paid; and</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such other documents, agreements and instruments as the Administrative Agent or any Lender through the Administrative Agent, may reasonably request prior to the Third Amendment Date.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4. </w:t>
      </w:r>
      <w:r>
        <w:rPr>
          <w:rFonts w:ascii="Times New Roman;sans-serif" w:hAnsi="Times New Roman;sans-serif"/>
          <w:b w:val="false"/>
          <w:color w:val="000000"/>
          <w:sz w:val="22"/>
          <w:u w:val="single"/>
        </w:rPr>
        <w:t>Representations</w:t>
      </w:r>
      <w:r>
        <w:rPr>
          <w:rFonts w:ascii="Times New Roman;sans-serif" w:hAnsi="Times New Roman;sans-serif"/>
          <w:b w:val="false"/>
          <w:color w:val="000000"/>
          <w:sz w:val="22"/>
        </w:rPr>
        <w:t>. The Borrower represents and warrants to the Administrative Agent and the Lenders that: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(a) </w:t>
      </w:r>
      <w:r>
        <w:rPr>
          <w:rFonts w:ascii="Times New Roman;sans-serif" w:hAnsi="Times New Roman;sans-serif"/>
          <w:b w:val="false"/>
          <w:color w:val="000000"/>
          <w:sz w:val="22"/>
          <w:u w:val="single"/>
        </w:rPr>
        <w:t>Authorization of Loan Documents and Borrowings</w:t>
      </w:r>
      <w:r>
        <w:rPr>
          <w:rFonts w:ascii="Times New Roman;sans-serif" w:hAnsi="Times New Roman;sans-serif"/>
          <w:b w:val="false"/>
          <w:color w:val="000000"/>
          <w:sz w:val="22"/>
        </w:rPr>
        <w:t xml:space="preserve">. The Borrower has the right and power, and has taken all necessary action to authorize it, to execute and deliver this Amendment and to perform its obligations hereunder and under the Credit Agreement, as amended by this Amendment, in accordance with their respective terms and to consummate the transactions contemplated hereby and thereby. This Amendment has been duly executed and delivered by the duly authorized officers of the Borrower, and each of this Amendment and the Credit Agreement, as amended by this Amendment, is a legal, valid and binding obligation of the Borrower, enforceable against the Borrower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(b) </w:t>
      </w:r>
      <w:r>
        <w:rPr>
          <w:rFonts w:ascii="Times New Roman;sans-serif" w:hAnsi="Times New Roman;sans-serif"/>
          <w:b w:val="false"/>
          <w:color w:val="000000"/>
          <w:sz w:val="22"/>
          <w:u w:val="single"/>
        </w:rPr>
        <w:t>Binding Effect</w:t>
      </w:r>
      <w:r>
        <w:rPr>
          <w:rFonts w:ascii="Times New Roman;sans-serif" w:hAnsi="Times New Roman;sans-serif"/>
          <w:b w:val="false"/>
          <w:color w:val="000000"/>
          <w:sz w:val="22"/>
        </w:rPr>
        <w:t>. This Amendment and the Credit Agreement as amended by this Amendment constitute valid and binding agreements of the Borrower, enforceable against the Borrower in accordance with their terms.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(c) </w:t>
      </w:r>
      <w:r>
        <w:rPr>
          <w:rFonts w:ascii="Times New Roman;sans-serif" w:hAnsi="Times New Roman;sans-serif"/>
          <w:b w:val="false"/>
          <w:color w:val="000000"/>
          <w:sz w:val="22"/>
          <w:u w:val="single"/>
        </w:rPr>
        <w:t>No Default</w:t>
      </w:r>
      <w:r>
        <w:rPr>
          <w:rFonts w:ascii="Times New Roman;sans-serif" w:hAnsi="Times New Roman;sans-serif"/>
          <w:b w:val="false"/>
          <w:color w:val="000000"/>
          <w:sz w:val="22"/>
        </w:rPr>
        <w:t>. No Default or Event of Default has occurred and is continuing as of the date hereof nor will exist immediately after giving effect to this Amendment.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(d) </w:t>
      </w:r>
      <w:r>
        <w:rPr>
          <w:rFonts w:ascii="Times New Roman;sans-serif" w:hAnsi="Times New Roman;sans-serif"/>
          <w:b w:val="false"/>
          <w:color w:val="000000"/>
          <w:sz w:val="22"/>
          <w:u w:val="single"/>
        </w:rPr>
        <w:t>No Material Adverse Change</w:t>
      </w:r>
      <w:r>
        <w:rPr>
          <w:rFonts w:ascii="Times New Roman;sans-serif" w:hAnsi="Times New Roman;sans-serif"/>
          <w:b w:val="false"/>
          <w:color w:val="000000"/>
          <w:sz w:val="22"/>
        </w:rPr>
        <w:t>. Since December 31, 2022, there has not been any material adverse condition or material adverse change in or affecting, nor has any circumstance or condition occurred that could reasonably be expected to result in a material adverse change in, or have a material adverse effect on, the business, assets, liabilities, financial condition or results of operations of the Borrower and its subsidiaries, taken as a whole.</w:t>
      </w:r>
    </w:p>
    <w:p>
      <w:pPr>
        <w:pStyle w:val="TextBody"/>
        <w:bidi w:val="0"/>
        <w:spacing w:before="0" w:after="0"/>
        <w:jc w:val="left"/>
        <w:rPr/>
      </w:pPr>
      <w:r>
        <w:rPr/>
      </w:r>
    </w:p>
    <w:p>
      <w:pPr>
        <w:pStyle w:val="TextBody"/>
        <w:bidi w:val="0"/>
        <w:spacing w:lineRule="auto" w:line="268"/>
        <w:ind w:left="0" w:right="0" w:firstLine="720"/>
        <w:jc w:val="both"/>
        <w:rPr/>
      </w:pPr>
      <w:r>
        <w:rPr>
          <w:rFonts w:ascii="Times New Roman;sans-serif" w:hAnsi="Times New Roman;sans-serif"/>
          <w:b w:val="false"/>
          <w:color w:val="000000"/>
          <w:sz w:val="22"/>
        </w:rPr>
        <w:t xml:space="preserve">Section 5. </w:t>
      </w:r>
      <w:r>
        <w:rPr>
          <w:rFonts w:ascii="Times New Roman;sans-serif" w:hAnsi="Times New Roman;sans-serif"/>
          <w:b w:val="false"/>
          <w:color w:val="000000"/>
          <w:sz w:val="22"/>
          <w:u w:val="single"/>
        </w:rPr>
        <w:t>Reaffirmation of Representations</w:t>
      </w:r>
      <w:r>
        <w:rPr>
          <w:rFonts w:ascii="Times New Roman;sans-serif" w:hAnsi="Times New Roman;sans-serif"/>
          <w:b w:val="false"/>
          <w:color w:val="000000"/>
          <w:sz w:val="22"/>
        </w:rPr>
        <w:t xml:space="preserve">. The Borrower hereby repeats and reaffirms all representations and warranties made or deemed made by the Borrower to the Administrative Agent and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Lenders in the Credit Agreement as amended by this Amendment and the other Loan Documents on and as of the date hereof with the same force and effect as if such representations and warranties were set forth in this Amendment in full and such representations and warranties are true and correct in all material respects (except in the case of a representation or warranty qualified by materiality, in which case such representation or warranty is true and correct in all respects) on and as of the date hereof immediately after giving effect to this Amendment except to the extent that such representations and warranties expressly relate solely to an earlier date (in which case such representations and warranties were true and correct in all material respects (except in the case of a representation or warranty qualified by materiality, in which case such representation or warranty was true and correct in all respects) on and as of such earlier date) and except for changes in factual circumstances not prohibited thereunder.</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6. </w:t>
      </w:r>
      <w:r>
        <w:rPr>
          <w:rFonts w:ascii="Times New Roman;sans-serif" w:hAnsi="Times New Roman;sans-serif"/>
          <w:b w:val="false"/>
          <w:color w:val="000000"/>
          <w:sz w:val="22"/>
          <w:u w:val="single"/>
        </w:rPr>
        <w:t>Certain References; Course of Dealing</w:t>
      </w:r>
      <w:r>
        <w:rPr>
          <w:rFonts w:ascii="Times New Roman;sans-serif" w:hAnsi="Times New Roman;sans-serif"/>
          <w:b w:val="false"/>
          <w:color w:val="000000"/>
          <w:sz w:val="22"/>
        </w:rPr>
        <w:t>. Each reference to the Credit Agreement in any of the Loan Documents shall be deemed to be a reference to the Credit Agreement as amended by this Amendment. This Amendment is a Loan Document. This Amendment shall not be deemed to constitute a waiver, consent to, or release by any of the Lenders or Administrative Agent of any right, remedy, Default or Event of Default under the Credit Agreement or any of the other Loan Documents. The consent in Section 2 hereof shall not be deemed to permanently modify the provisions of the Credit Agreement or any other Loan Document through course of conduct, course of dealing or otherwise, except with respect to the conditional consent expressly set forth herein.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7. </w:t>
      </w:r>
      <w:r>
        <w:rPr>
          <w:rFonts w:ascii="Times New Roman;sans-serif" w:hAnsi="Times New Roman;sans-serif"/>
          <w:b w:val="false"/>
          <w:color w:val="000000"/>
          <w:sz w:val="22"/>
          <w:u w:val="single"/>
        </w:rPr>
        <w:t>Costs and Expenses</w:t>
      </w:r>
      <w:r>
        <w:rPr>
          <w:rFonts w:ascii="Times New Roman;sans-serif" w:hAnsi="Times New Roman;sans-serif"/>
          <w:b w:val="false"/>
          <w:color w:val="000000"/>
          <w:sz w:val="22"/>
        </w:rPr>
        <w:t>. The Borrower shall reimburse the Administrative Agent for all reasonable out-of-pocket costs and expenses (including attorneys’ fees) incurred by the Administrative Agent in connection with the preparation, negotiation and execution of this Amendment and the other agreements and documents executed and delivered in connection herewith.</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8. </w:t>
      </w:r>
      <w:r>
        <w:rPr>
          <w:rFonts w:ascii="Times New Roman;sans-serif" w:hAnsi="Times New Roman;sans-serif"/>
          <w:b w:val="false"/>
          <w:color w:val="000000"/>
          <w:sz w:val="22"/>
          <w:u w:val="single"/>
        </w:rPr>
        <w:t>Benefits</w:t>
      </w:r>
      <w:r>
        <w:rPr>
          <w:rFonts w:ascii="Times New Roman;sans-serif" w:hAnsi="Times New Roman;sans-serif"/>
          <w:b w:val="false"/>
          <w:color w:val="000000"/>
          <w:sz w:val="22"/>
        </w:rPr>
        <w:t>. This Amendment shall be binding upon and shall inure to the benefit of the parties hereto and their respective successors and assigns.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9. </w:t>
      </w:r>
      <w:r>
        <w:rPr>
          <w:rFonts w:ascii="Times New Roman;sans-serif" w:hAnsi="Times New Roman;sans-serif"/>
          <w:b w:val="false"/>
          <w:color w:val="000000"/>
          <w:sz w:val="22"/>
          <w:u w:val="single"/>
        </w:rPr>
        <w:t>Incorporation by Reference</w:t>
      </w:r>
      <w:r>
        <w:rPr>
          <w:rFonts w:ascii="Times New Roman;sans-serif" w:hAnsi="Times New Roman;sans-serif"/>
          <w:b w:val="false"/>
          <w:color w:val="000000"/>
          <w:sz w:val="22"/>
        </w:rPr>
        <w:t>. Except to the extent otherwise set forth herein, Sections 12.5 (</w:t>
      </w:r>
      <w:r>
        <w:rPr>
          <w:rFonts w:ascii="Times New Roman;sans-serif" w:hAnsi="Times New Roman;sans-serif"/>
          <w:b w:val="false"/>
          <w:i/>
          <w:color w:val="000000"/>
          <w:sz w:val="22"/>
        </w:rPr>
        <w:t>Litigation; Jurisdiction; Other Matters; Waivers</w:t>
      </w:r>
      <w:r>
        <w:rPr>
          <w:rFonts w:ascii="Times New Roman;sans-serif" w:hAnsi="Times New Roman;sans-serif"/>
          <w:b w:val="false"/>
          <w:color w:val="000000"/>
          <w:sz w:val="22"/>
        </w:rPr>
        <w:t>), 12.12 (</w:t>
      </w:r>
      <w:r>
        <w:rPr>
          <w:rFonts w:ascii="Times New Roman;sans-serif" w:hAnsi="Times New Roman;sans-serif"/>
          <w:b w:val="false"/>
          <w:i/>
          <w:color w:val="000000"/>
          <w:sz w:val="22"/>
        </w:rPr>
        <w:t>Severability of Provisions</w:t>
      </w:r>
      <w:r>
        <w:rPr>
          <w:rFonts w:ascii="Times New Roman;sans-serif" w:hAnsi="Times New Roman;sans-serif"/>
          <w:b w:val="false"/>
          <w:color w:val="000000"/>
          <w:sz w:val="22"/>
        </w:rPr>
        <w:t>), 12.13 (</w:t>
      </w:r>
      <w:r>
        <w:rPr>
          <w:rFonts w:ascii="Times New Roman;sans-serif" w:hAnsi="Times New Roman;sans-serif"/>
          <w:b w:val="false"/>
          <w:i/>
          <w:color w:val="000000"/>
          <w:sz w:val="22"/>
        </w:rPr>
        <w:t>Governing Law</w:t>
      </w:r>
      <w:r>
        <w:rPr>
          <w:rFonts w:ascii="Times New Roman;sans-serif" w:hAnsi="Times New Roman;sans-serif"/>
          <w:b w:val="false"/>
          <w:color w:val="000000"/>
          <w:sz w:val="22"/>
        </w:rPr>
        <w:t>), 12.14 (</w:t>
      </w:r>
      <w:r>
        <w:rPr>
          <w:rFonts w:ascii="Times New Roman;sans-serif" w:hAnsi="Times New Roman;sans-serif"/>
          <w:b w:val="false"/>
          <w:i/>
          <w:color w:val="000000"/>
          <w:sz w:val="22"/>
        </w:rPr>
        <w:t>Counterparts; Integration; Effectiveness; Electronic Execution</w:t>
      </w:r>
      <w:r>
        <w:rPr>
          <w:rFonts w:ascii="Times New Roman;sans-serif" w:hAnsi="Times New Roman;sans-serif"/>
          <w:b w:val="false"/>
          <w:color w:val="000000"/>
          <w:sz w:val="22"/>
        </w:rPr>
        <w:t>) and 12.18 (</w:t>
      </w:r>
      <w:r>
        <w:rPr>
          <w:rFonts w:ascii="Times New Roman;sans-serif" w:hAnsi="Times New Roman;sans-serif"/>
          <w:b w:val="false"/>
          <w:i/>
          <w:color w:val="000000"/>
          <w:sz w:val="22"/>
        </w:rPr>
        <w:t>Entire Agreement</w:t>
      </w:r>
      <w:r>
        <w:rPr>
          <w:rFonts w:ascii="Times New Roman;sans-serif" w:hAnsi="Times New Roman;sans-serif"/>
          <w:b w:val="false"/>
          <w:color w:val="000000"/>
          <w:sz w:val="22"/>
        </w:rPr>
        <w:t xml:space="preserve">) of the Credit Agreement are hereby incorporated herein by reference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10. </w:t>
      </w:r>
      <w:r>
        <w:rPr>
          <w:rFonts w:ascii="Times New Roman;sans-serif" w:hAnsi="Times New Roman;sans-serif"/>
          <w:b w:val="false"/>
          <w:color w:val="000000"/>
          <w:sz w:val="22"/>
          <w:u w:val="single"/>
        </w:rPr>
        <w:t>Effect; Ratification</w:t>
      </w:r>
      <w:r>
        <w:rPr>
          <w:rFonts w:ascii="Times New Roman;sans-serif" w:hAnsi="Times New Roman;sans-serif"/>
          <w:b w:val="false"/>
          <w:color w:val="000000"/>
          <w:sz w:val="22"/>
        </w:rPr>
        <w:t xml:space="preserve">. Except as expressly herein amended, the terms and conditions of the Credit Agreement and the other Loan Documents remain in full force and effect. The amendments contained herein shall be deemed to have prospective application from and after the Third Amendment Date only. The Credit Agreement is hereby ratified and confirmed in all respects. Nothing in this Amendment shall limit, impair or constitute a waiver of the rights, powers or remedies available to the Administrative Agent or the Lenders under the Credit Agreement or any other Loan Document.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Section 11. </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Amendment may be executed in any number of counterparts, each of which shall be deemed to be an original and shall be binding upon all parties, their successors and assigns.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12. </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 All capitalized terms used but not defined herein are used herein with the respective definitions given them in the Credit Agreement.</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on Next Page]</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Third Amendment and Consent to Second Amended and Restated Credit Agreement to be executed as of the date first above written.</w:t>
      </w:r>
    </w:p>
    <w:p>
      <w:pPr>
        <w:pStyle w:val="TextBody"/>
        <w:bidi w:val="0"/>
        <w:spacing w:before="0" w:after="0"/>
        <w:jc w:val="left"/>
        <w:rPr/>
      </w:pPr>
      <w:r>
        <w:rPr/>
      </w:r>
    </w:p>
    <w:p>
      <w:pPr>
        <w:pStyle w:val="TextBody"/>
        <w:bidi w:val="0"/>
        <w:spacing w:before="0" w:after="0"/>
        <w:jc w:val="left"/>
        <w:rPr/>
      </w:pPr>
      <w:r>
        <w:rPr/>
      </w:r>
    </w:p>
    <w:tbl>
      <w:tblPr>
        <w:tblW w:w="673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52"/>
        <w:gridCol w:w="452"/>
        <w:gridCol w:w="452"/>
        <w:gridCol w:w="1376"/>
        <w:gridCol w:w="1376"/>
        <w:gridCol w:w="1381"/>
        <w:gridCol w:w="168"/>
        <w:gridCol w:w="168"/>
        <w:gridCol w:w="2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FEDERAL REALTY OP LP</w:t>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Daniel Guglielmone</w:t>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Daniel Guglielmone</w:t>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Executive Vice President - Chief Financial </w:t>
              <w:br/>
              <w:t>            Officer and Treasurer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Third Amendment and Consent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02"/>
        <w:gridCol w:w="1002"/>
        <w:gridCol w:w="1002"/>
        <w:gridCol w:w="1062"/>
        <w:gridCol w:w="1002"/>
        <w:gridCol w:w="1002"/>
        <w:gridCol w:w="1002"/>
        <w:gridCol w:w="1002"/>
        <w:gridCol w:w="14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WELLS FARGO BANK, NATIONAL ASSOCIATION, as Administrative Agent, an Issuing Bank and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Brendan Magrady</w:t>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Brendan Magrady</w:t>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Third Amendment and Consent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888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01"/>
        <w:gridCol w:w="801"/>
        <w:gridCol w:w="801"/>
        <w:gridCol w:w="1015"/>
        <w:gridCol w:w="1015"/>
        <w:gridCol w:w="1015"/>
        <w:gridCol w:w="801"/>
        <w:gridCol w:w="801"/>
        <w:gridCol w:w="11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PNC BANK, NATIONAL ASSOCIATION, as an Issuing Bank and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Shari L. Reams-Henofer</w:t>
            </w:r>
          </w:p>
        </w:tc>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Shari L. Reams-Henofer</w:t>
            </w:r>
          </w:p>
        </w:tc>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SeniorVice President</w:t>
            </w:r>
          </w:p>
        </w:tc>
      </w:tr>
    </w:tbl>
    <w:p>
      <w:pPr>
        <w:pStyle w:val="TextBody"/>
        <w:bidi w:val="0"/>
        <w:spacing w:before="0" w:after="0"/>
        <w:ind w:left="0" w:right="0" w:firstLine="3600"/>
        <w:jc w:val="left"/>
        <w:rPr/>
      </w:pPr>
      <w:r>
        <w:rPr/>
      </w:r>
    </w:p>
    <w:p>
      <w:pPr>
        <w:pStyle w:val="TextBody"/>
        <w:bidi w:val="0"/>
        <w:spacing w:before="0" w:after="0"/>
        <w:ind w:left="0" w:right="0" w:firstLine="3600"/>
        <w:jc w:val="left"/>
        <w:rPr/>
      </w:pPr>
      <w:r>
        <w:rPr/>
      </w:r>
    </w:p>
    <w:p>
      <w:pPr>
        <w:pStyle w:val="TextBody"/>
        <w:bidi w:val="0"/>
        <w:spacing w:before="0" w:after="0"/>
        <w:ind w:left="0" w:right="0" w:firstLine="3600"/>
        <w:jc w:val="left"/>
        <w:rPr/>
      </w:pPr>
      <w:r>
        <w:rPr/>
      </w:r>
    </w:p>
    <w:p>
      <w:pPr>
        <w:pStyle w:val="TextBody"/>
        <w:bidi w:val="0"/>
        <w:spacing w:before="0" w:after="0"/>
        <w:ind w:left="0" w:right="0" w:firstLine="3600"/>
        <w:jc w:val="left"/>
        <w:rPr/>
      </w:pPr>
      <w:r>
        <w:rPr/>
      </w:r>
    </w:p>
    <w:p>
      <w:pPr>
        <w:pStyle w:val="TextBody"/>
        <w:bidi w:val="0"/>
        <w:spacing w:before="0" w:after="0"/>
        <w:ind w:left="0" w:right="0" w:firstLine="36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Third Amendment and Consent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62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92"/>
        <w:gridCol w:w="492"/>
        <w:gridCol w:w="492"/>
        <w:gridCol w:w="805"/>
        <w:gridCol w:w="805"/>
        <w:gridCol w:w="805"/>
        <w:gridCol w:w="492"/>
        <w:gridCol w:w="492"/>
        <w:gridCol w:w="6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Cody A. Canafax</w:t>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Cody A. Canafax</w:t>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Director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Third Amendment and Consent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p>
      <w:pPr>
        <w:pStyle w:val="TextBody"/>
        <w:bidi w:val="0"/>
        <w:spacing w:before="0" w:after="0"/>
        <w:jc w:val="left"/>
        <w:rPr/>
      </w:pPr>
      <w:r>
        <w:rPr/>
      </w:r>
    </w:p>
    <w:tbl>
      <w:tblPr>
        <w:tblW w:w="469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1"/>
        <w:gridCol w:w="301"/>
        <w:gridCol w:w="301"/>
        <w:gridCol w:w="700"/>
        <w:gridCol w:w="700"/>
        <w:gridCol w:w="700"/>
        <w:gridCol w:w="301"/>
        <w:gridCol w:w="301"/>
        <w:gridCol w:w="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TRUIST BANK,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Ryan Almond</w:t>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Ryan Almond</w:t>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Third Amendment and Consent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710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55"/>
        <w:gridCol w:w="555"/>
        <w:gridCol w:w="555"/>
        <w:gridCol w:w="950"/>
        <w:gridCol w:w="950"/>
        <w:gridCol w:w="950"/>
        <w:gridCol w:w="555"/>
        <w:gridCol w:w="555"/>
        <w:gridCol w:w="8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U.S. BANK NATIONAL ASSOCIATION,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Germaine R. Korhone</w:t>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Germaine R. Korhone</w:t>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Third Amendment and Consent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519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20"/>
        <w:gridCol w:w="320"/>
        <w:gridCol w:w="320"/>
        <w:gridCol w:w="819"/>
        <w:gridCol w:w="819"/>
        <w:gridCol w:w="821"/>
        <w:gridCol w:w="320"/>
        <w:gridCol w:w="320"/>
        <w:gridCol w:w="4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REGIONS BANK,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William Chalmers</w:t>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William Chalmers</w:t>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Third Amendment and Consent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p>
      <w:pPr>
        <w:pStyle w:val="TextBody"/>
        <w:bidi w:val="0"/>
        <w:spacing w:before="0" w:after="0"/>
        <w:jc w:val="left"/>
        <w:rPr/>
      </w:pPr>
      <w:r>
        <w:rPr/>
      </w:r>
    </w:p>
    <w:tbl>
      <w:tblPr>
        <w:tblW w:w="54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4"/>
        <w:gridCol w:w="304"/>
        <w:gridCol w:w="304"/>
        <w:gridCol w:w="955"/>
        <w:gridCol w:w="955"/>
        <w:gridCol w:w="955"/>
        <w:gridCol w:w="304"/>
        <w:gridCol w:w="304"/>
        <w:gridCol w:w="4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TD BANK, N.A.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William M. Brandt, Jr.</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William M. Brandt, Jr.</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Third Amendment and Consent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54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4"/>
        <w:gridCol w:w="424"/>
        <w:gridCol w:w="424"/>
        <w:gridCol w:w="670"/>
        <w:gridCol w:w="670"/>
        <w:gridCol w:w="670"/>
        <w:gridCol w:w="424"/>
        <w:gridCol w:w="424"/>
        <w:gridCol w:w="6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BANK OF AMERICA, N.A.,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Cheryl Sneor</w:t>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Cheryl Sneor</w:t>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Third Amendment and Consent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73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70"/>
        <w:gridCol w:w="470"/>
        <w:gridCol w:w="470"/>
        <w:gridCol w:w="1210"/>
        <w:gridCol w:w="1210"/>
        <w:gridCol w:w="1210"/>
        <w:gridCol w:w="470"/>
        <w:gridCol w:w="470"/>
        <w:gridCol w:w="6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BANK OF NOVA SCOTIA,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Allisson Michaels-van Dijkum</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Allisson Michaels-van Dijkum</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Third Amendment and Consent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tbl>
      <w:tblPr>
        <w:tblW w:w="669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24"/>
        <w:gridCol w:w="624"/>
        <w:gridCol w:w="624"/>
        <w:gridCol w:w="670"/>
        <w:gridCol w:w="670"/>
        <w:gridCol w:w="670"/>
        <w:gridCol w:w="624"/>
        <w:gridCol w:w="624"/>
        <w:gridCol w:w="8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DEUTSCHE BANK AG NEW YORK BRANCH,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Alison Lugo</w:t>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Alison Lugo</w:t>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Marko Lukin</w:t>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Marko Lukin</w:t>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Third Amendment and Consent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tbl>
      <w:tblPr>
        <w:tblW w:w="48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4"/>
        <w:gridCol w:w="294"/>
        <w:gridCol w:w="294"/>
        <w:gridCol w:w="760"/>
        <w:gridCol w:w="760"/>
        <w:gridCol w:w="760"/>
        <w:gridCol w:w="294"/>
        <w:gridCol w:w="294"/>
        <w:gridCol w:w="4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BNP PARIBAS,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James Goodall</w:t>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James Goodall</w:t>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Kyle Fitzpatrick</w:t>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Kyle Fitzpatrick</w:t>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Third Amendment and Consent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p>
      <w:pPr>
        <w:pStyle w:val="TextBody"/>
        <w:bidi w:val="0"/>
        <w:spacing w:before="0" w:after="0"/>
        <w:jc w:val="left"/>
        <w:rPr/>
      </w:pPr>
      <w:r>
        <w:rPr/>
      </w:r>
    </w:p>
    <w:tbl>
      <w:tblPr>
        <w:tblW w:w="7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51"/>
        <w:gridCol w:w="651"/>
        <w:gridCol w:w="651"/>
        <w:gridCol w:w="825"/>
        <w:gridCol w:w="825"/>
        <w:gridCol w:w="825"/>
        <w:gridCol w:w="651"/>
        <w:gridCol w:w="651"/>
        <w:gridCol w:w="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SUMITOMO MITSUI BANKING CORPORATION,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Khrystyna Manko</w:t>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Khrystyna Manko</w:t>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Third Amendment and Consent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554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18"/>
        <w:gridCol w:w="318"/>
        <w:gridCol w:w="318"/>
        <w:gridCol w:w="945"/>
        <w:gridCol w:w="945"/>
        <w:gridCol w:w="945"/>
        <w:gridCol w:w="318"/>
        <w:gridCol w:w="318"/>
        <w:gridCol w:w="4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CITIBANK, N.A.,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Christopher J. Albano</w:t>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Christopher J. Albano</w:t>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tc>
      </w:tr>
    </w:tbl>
    <w:p>
      <w:pPr>
        <w:pStyle w:val="TextBody"/>
        <w:bidi w:val="0"/>
        <w:spacing w:before="0" w:after="0"/>
        <w:jc w:val="left"/>
        <w:rPr/>
      </w:pPr>
      <w:r>
        <w:rPr/>
      </w:r>
    </w:p>
    <w:p>
      <w:pPr>
        <w:pStyle w:val="TextBody"/>
        <w:bidi w:val="0"/>
        <w:spacing w:before="0" w:after="0"/>
        <w:ind w:left="0" w:right="0" w:firstLine="36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Third Amendment and Consent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tbl>
      <w:tblPr>
        <w:tblW w:w="706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66"/>
        <w:gridCol w:w="666"/>
        <w:gridCol w:w="666"/>
        <w:gridCol w:w="700"/>
        <w:gridCol w:w="700"/>
        <w:gridCol w:w="700"/>
        <w:gridCol w:w="666"/>
        <w:gridCol w:w="666"/>
        <w:gridCol w:w="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ASSOCIATED BANK, NATIONAL ASSOCIATION,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Mitchell Vega</w:t>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Mitchell Vega</w:t>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Donald C. Wood</w:t>
      </w:r>
      <w:r>
        <w:rPr>
          <w:rFonts w:ascii="Times New Roman;sans-serif" w:hAnsi="Times New Roman;sans-serif"/>
          <w:b w:val="false"/>
          <w:color w:val="000000"/>
          <w:sz w:val="20"/>
        </w:rPr>
        <w:t xml:space="preserve">, certify that: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Federal Realty Investment Trust;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662" w:type="dxa"/>
        <w:jc w:val="left"/>
        <w:tblInd w:w="0" w:type="dxa"/>
        <w:tblLayout w:type="fixed"/>
        <w:tblCellMar>
          <w:top w:w="28" w:type="dxa"/>
          <w:left w:w="28" w:type="dxa"/>
          <w:bottom w:w="28" w:type="dxa"/>
          <w:right w:w="28" w:type="dxa"/>
        </w:tblCellMar>
      </w:tblPr>
      <w:tblGrid>
        <w:gridCol w:w="418"/>
        <w:gridCol w:w="368"/>
        <w:gridCol w:w="369"/>
        <w:gridCol w:w="109"/>
        <w:gridCol w:w="109"/>
        <w:gridCol w:w="109"/>
        <w:gridCol w:w="930"/>
        <w:gridCol w:w="930"/>
        <w:gridCol w:w="1320"/>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Daniel Guglielmone</w:t>
      </w:r>
      <w:r>
        <w:rPr>
          <w:rFonts w:ascii="Times New Roman;sans-serif" w:hAnsi="Times New Roman;sans-serif"/>
          <w:b w:val="false"/>
          <w:color w:val="000000"/>
          <w:sz w:val="20"/>
        </w:rPr>
        <w:t>, certify that:</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Federal Realty Investment Trust;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411" w:type="dxa"/>
        <w:jc w:val="left"/>
        <w:tblInd w:w="0" w:type="dxa"/>
        <w:tblLayout w:type="fixed"/>
        <w:tblCellMar>
          <w:top w:w="28" w:type="dxa"/>
          <w:left w:w="28" w:type="dxa"/>
          <w:bottom w:w="28" w:type="dxa"/>
          <w:right w:w="28" w:type="dxa"/>
        </w:tblCellMar>
      </w:tblPr>
      <w:tblGrid>
        <w:gridCol w:w="418"/>
        <w:gridCol w:w="368"/>
        <w:gridCol w:w="369"/>
        <w:gridCol w:w="109"/>
        <w:gridCol w:w="109"/>
        <w:gridCol w:w="109"/>
        <w:gridCol w:w="1150"/>
        <w:gridCol w:w="1150"/>
        <w:gridCol w:w="1629"/>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31.3</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Donald C. Wood</w:t>
      </w:r>
      <w:r>
        <w:rPr>
          <w:rFonts w:ascii="Times New Roman;sans-serif" w:hAnsi="Times New Roman;sans-serif"/>
          <w:b w:val="false"/>
          <w:color w:val="000000"/>
          <w:sz w:val="20"/>
        </w:rPr>
        <w:t xml:space="preserve">, certify that: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Federal Realty OP LP;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90" w:after="283"/>
        <w:ind w:left="0" w:right="0" w:hanging="450"/>
        <w:jc w:val="left"/>
        <w:rPr/>
      </w:pPr>
      <w:r>
        <w:rPr/>
      </w:r>
    </w:p>
    <w:tbl>
      <w:tblPr>
        <w:tblW w:w="4661" w:type="dxa"/>
        <w:jc w:val="left"/>
        <w:tblInd w:w="0" w:type="dxa"/>
        <w:tblLayout w:type="fixed"/>
        <w:tblCellMar>
          <w:top w:w="28" w:type="dxa"/>
          <w:left w:w="28" w:type="dxa"/>
          <w:bottom w:w="28" w:type="dxa"/>
          <w:right w:w="28" w:type="dxa"/>
        </w:tblCellMar>
      </w:tblPr>
      <w:tblGrid>
        <w:gridCol w:w="418"/>
        <w:gridCol w:w="368"/>
        <w:gridCol w:w="369"/>
        <w:gridCol w:w="109"/>
        <w:gridCol w:w="109"/>
        <w:gridCol w:w="109"/>
        <w:gridCol w:w="930"/>
        <w:gridCol w:w="930"/>
        <w:gridCol w:w="1319"/>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31.4</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Daniel Guglielmone</w:t>
      </w:r>
      <w:r>
        <w:rPr>
          <w:rFonts w:ascii="Times New Roman;sans-serif" w:hAnsi="Times New Roman;sans-serif"/>
          <w:b w:val="false"/>
          <w:color w:val="000000"/>
          <w:sz w:val="20"/>
        </w:rPr>
        <w:t>, certify that:</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Federal Realty OP LP;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90" w:after="283"/>
        <w:ind w:left="0" w:right="0" w:hanging="450"/>
        <w:jc w:val="left"/>
        <w:rPr/>
      </w:pPr>
      <w:r>
        <w:rPr/>
      </w:r>
    </w:p>
    <w:tbl>
      <w:tblPr>
        <w:tblW w:w="5411" w:type="dxa"/>
        <w:jc w:val="left"/>
        <w:tblInd w:w="0" w:type="dxa"/>
        <w:tblLayout w:type="fixed"/>
        <w:tblCellMar>
          <w:top w:w="28" w:type="dxa"/>
          <w:left w:w="28" w:type="dxa"/>
          <w:bottom w:w="28" w:type="dxa"/>
          <w:right w:w="28" w:type="dxa"/>
        </w:tblCellMar>
      </w:tblPr>
      <w:tblGrid>
        <w:gridCol w:w="418"/>
        <w:gridCol w:w="368"/>
        <w:gridCol w:w="369"/>
        <w:gridCol w:w="109"/>
        <w:gridCol w:w="109"/>
        <w:gridCol w:w="109"/>
        <w:gridCol w:w="1150"/>
        <w:gridCol w:w="1150"/>
        <w:gridCol w:w="1629"/>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March 31, 2024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291" w:type="dxa"/>
        <w:jc w:val="left"/>
        <w:tblInd w:w="0" w:type="dxa"/>
        <w:tblLayout w:type="fixed"/>
        <w:tblCellMar>
          <w:top w:w="28" w:type="dxa"/>
          <w:left w:w="28" w:type="dxa"/>
          <w:bottom w:w="28" w:type="dxa"/>
          <w:right w:w="28" w:type="dxa"/>
        </w:tblCellMar>
      </w:tblPr>
      <w:tblGrid>
        <w:gridCol w:w="418"/>
        <w:gridCol w:w="368"/>
        <w:gridCol w:w="369"/>
        <w:gridCol w:w="109"/>
        <w:gridCol w:w="109"/>
        <w:gridCol w:w="109"/>
        <w:gridCol w:w="1114"/>
        <w:gridCol w:w="1114"/>
        <w:gridCol w:w="1581"/>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March 31, 2024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411" w:type="dxa"/>
        <w:jc w:val="left"/>
        <w:tblInd w:w="0" w:type="dxa"/>
        <w:tblLayout w:type="fixed"/>
        <w:tblCellMar>
          <w:top w:w="28" w:type="dxa"/>
          <w:left w:w="28" w:type="dxa"/>
          <w:bottom w:w="28" w:type="dxa"/>
          <w:right w:w="28" w:type="dxa"/>
        </w:tblCellMar>
      </w:tblPr>
      <w:tblGrid>
        <w:gridCol w:w="418"/>
        <w:gridCol w:w="368"/>
        <w:gridCol w:w="369"/>
        <w:gridCol w:w="109"/>
        <w:gridCol w:w="109"/>
        <w:gridCol w:w="109"/>
        <w:gridCol w:w="1150"/>
        <w:gridCol w:w="1150"/>
        <w:gridCol w:w="1629"/>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32.3</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Donald C. Wood, the President and Chief Executive Officer of Federal Realty OP LP (the “Company”), has executed this certification in connection with the filing with the Securities and Exchange Commission of the Company’s Quarterly Report on Form 10-Q for the period ended March 31, 2024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ind w:left="0" w:right="0" w:hanging="630"/>
        <w:jc w:val="left"/>
        <w:rPr/>
      </w:pPr>
      <w:r>
        <w:rPr/>
      </w:r>
    </w:p>
    <w:tbl>
      <w:tblPr>
        <w:tblW w:w="5546" w:type="dxa"/>
        <w:jc w:val="left"/>
        <w:tblInd w:w="0" w:type="dxa"/>
        <w:tblLayout w:type="fixed"/>
        <w:tblCellMar>
          <w:top w:w="28" w:type="dxa"/>
          <w:left w:w="28" w:type="dxa"/>
          <w:bottom w:w="28" w:type="dxa"/>
          <w:right w:w="28" w:type="dxa"/>
        </w:tblCellMar>
      </w:tblPr>
      <w:tblGrid>
        <w:gridCol w:w="418"/>
        <w:gridCol w:w="368"/>
        <w:gridCol w:w="369"/>
        <w:gridCol w:w="109"/>
        <w:gridCol w:w="109"/>
        <w:gridCol w:w="109"/>
        <w:gridCol w:w="1189"/>
        <w:gridCol w:w="1189"/>
        <w:gridCol w:w="1686"/>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President, Chief Executive Officer and Trustee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32.4</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Daniel Guglielmone, the Executive Vice President and Chief Financial Officer and Treasurer of Federal Realty OP LP (the “Company”), has executed this certification in connection with the filing with the Securities and Exchange Commission of the Company’s Quarterly Report on Form 10-Q for the period ended March 31, 2024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ind w:left="0" w:right="0" w:hanging="630"/>
        <w:jc w:val="left"/>
        <w:rPr/>
      </w:pPr>
      <w:r>
        <w:rPr/>
      </w:r>
    </w:p>
    <w:tbl>
      <w:tblPr>
        <w:tblW w:w="5411" w:type="dxa"/>
        <w:jc w:val="left"/>
        <w:tblInd w:w="0" w:type="dxa"/>
        <w:tblLayout w:type="fixed"/>
        <w:tblCellMar>
          <w:top w:w="28" w:type="dxa"/>
          <w:left w:w="28" w:type="dxa"/>
          <w:bottom w:w="28" w:type="dxa"/>
          <w:right w:w="28" w:type="dxa"/>
        </w:tblCellMar>
      </w:tblPr>
      <w:tblGrid>
        <w:gridCol w:w="418"/>
        <w:gridCol w:w="368"/>
        <w:gridCol w:w="369"/>
        <w:gridCol w:w="109"/>
        <w:gridCol w:w="109"/>
        <w:gridCol w:w="109"/>
        <w:gridCol w:w="1150"/>
        <w:gridCol w:w="1150"/>
        <w:gridCol w:w="1629"/>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034903/000003490324000032/frt-20231231.htm" TargetMode="External"/><Relationship Id="rId3" Type="http://schemas.openxmlformats.org/officeDocument/2006/relationships/hyperlink" Target="https://www.sec.gov/ix?doc=/Archives/edgar/data/0000034903/000003490324000032/frt-20231231.htm" TargetMode="External"/><Relationship Id="rId4" Type="http://schemas.openxmlformats.org/officeDocument/2006/relationships/hyperlink" Target="https://www.sec.gov/ix?doc=/Archives/edgar/data/0000034903/000003490324000032/frt-202312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23804</Words>
  <Characters>131284</Characters>
  <CharactersWithSpaces>153944</CharactersWithSpaces>
  <Paragraphs>2775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