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61" w:lineRule="exact"/>
        <w:rPr>
          <w:sz w:val="24"/>
          <w:szCs w:val="24"/>
          <w:color w:val="auto"/>
        </w:rPr>
      </w:pPr>
    </w:p>
    <w:p>
      <w:pPr>
        <w:jc w:val="center"/>
        <w:ind w:left="3820" w:right="920" w:hanging="3785"/>
        <w:spacing w:after="0" w:line="360" w:lineRule="auto"/>
        <w:tabs>
          <w:tab w:leader="none" w:pos="71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THE SECTION 13 OR 15(D) OF THE SECURITIES EXCHANGE ACT OF 1934 For the quarterly period ended March 31,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1-07533</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248" w:lineRule="exact"/>
        <w:rPr>
          <w:sz w:val="24"/>
          <w:szCs w:val="24"/>
          <w:color w:val="auto"/>
        </w:rPr>
      </w:pPr>
    </w:p>
    <w:tbl>
      <w:tblPr>
        <w:tblLayout w:type="fixed"/>
        <w:tblInd w:w="24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080" w:type="dxa"/>
            <w:vAlign w:val="bottom"/>
            <w:gridSpan w:val="2"/>
          </w:tcPr>
          <w:p>
            <w:pPr>
              <w:jc w:val="center"/>
              <w:ind w:right="1985"/>
              <w:spacing w:after="0"/>
              <w:rPr>
                <w:sz w:val="20"/>
                <w:szCs w:val="20"/>
                <w:color w:val="auto"/>
              </w:rPr>
            </w:pPr>
            <w:r>
              <w:rPr>
                <w:rFonts w:ascii="Arial" w:cs="Arial" w:eastAsia="Arial" w:hAnsi="Arial"/>
                <w:sz w:val="16"/>
                <w:szCs w:val="16"/>
                <w:b w:val="1"/>
                <w:bCs w:val="1"/>
                <w:color w:val="auto"/>
                <w:w w:val="99"/>
              </w:rPr>
              <w:t>Maryland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40" w:type="dxa"/>
            <w:vAlign w:val="bottom"/>
            <w:gridSpan w:val="2"/>
          </w:tcPr>
          <w:p>
            <w:pPr>
              <w:ind w:left="740"/>
              <w:spacing w:after="0"/>
              <w:rPr>
                <w:sz w:val="20"/>
                <w:szCs w:val="20"/>
                <w:color w:val="auto"/>
              </w:rPr>
            </w:pPr>
            <w:r>
              <w:rPr>
                <w:rFonts w:ascii="Arial" w:cs="Arial" w:eastAsia="Arial" w:hAnsi="Arial"/>
                <w:sz w:val="16"/>
                <w:szCs w:val="16"/>
                <w:b w:val="1"/>
                <w:bCs w:val="1"/>
                <w:color w:val="auto"/>
              </w:rPr>
              <w:t>52-0782497</w:t>
            </w:r>
          </w:p>
        </w:tc>
        <w:tc>
          <w:tcPr>
            <w:tcW w:w="0" w:type="dxa"/>
            <w:vAlign w:val="bottom"/>
          </w:tcPr>
          <w:p>
            <w:pPr>
              <w:spacing w:after="0"/>
              <w:rPr>
                <w:sz w:val="1"/>
                <w:szCs w:val="1"/>
                <w:color w:val="auto"/>
              </w:rPr>
            </w:pPr>
          </w:p>
        </w:tc>
      </w:tr>
      <w:tr>
        <w:trPr>
          <w:trHeight w:val="250"/>
        </w:trPr>
        <w:tc>
          <w:tcPr>
            <w:tcW w:w="4580" w:type="dxa"/>
            <w:vAlign w:val="bottom"/>
            <w:gridSpan w:val="3"/>
          </w:tcPr>
          <w:p>
            <w:pPr>
              <w:jc w:val="center"/>
              <w:ind w:right="485"/>
              <w:spacing w:after="0"/>
              <w:rPr>
                <w:sz w:val="20"/>
                <w:szCs w:val="20"/>
                <w:color w:val="auto"/>
              </w:rPr>
            </w:pPr>
            <w:r>
              <w:rPr>
                <w:rFonts w:ascii="Arial" w:cs="Arial" w:eastAsia="Arial" w:hAnsi="Arial"/>
                <w:sz w:val="14"/>
                <w:szCs w:val="14"/>
                <w:b w:val="1"/>
                <w:bCs w:val="1"/>
                <w:color w:val="auto"/>
                <w:w w:val="94"/>
              </w:rPr>
              <w:t>(State of Organization)</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500" w:type="dxa"/>
            <w:vAlign w:val="bottom"/>
            <w:gridSpan w:val="6"/>
          </w:tcPr>
          <w:p>
            <w:pPr>
              <w:jc w:val="center"/>
              <w:ind w:right="2262"/>
              <w:spacing w:after="0"/>
              <w:rPr>
                <w:sz w:val="20"/>
                <w:szCs w:val="20"/>
                <w:color w:val="auto"/>
              </w:rPr>
            </w:pPr>
            <w:r>
              <w:rPr>
                <w:rFonts w:ascii="Arial" w:cs="Arial" w:eastAsia="Arial" w:hAnsi="Arial"/>
                <w:sz w:val="16"/>
                <w:szCs w:val="16"/>
                <w:b w:val="1"/>
                <w:bCs w:val="1"/>
                <w:color w:val="auto"/>
                <w:w w:val="92"/>
              </w:rPr>
              <w:t>1626 East Jefferson Street, Rockville, Maryland 20852</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60" w:type="dxa"/>
            <w:vAlign w:val="bottom"/>
            <w:gridSpan w:val="4"/>
          </w:tcPr>
          <w:p>
            <w:pPr>
              <w:jc w:val="center"/>
              <w:ind w:left="82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2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93"/>
              </w:rPr>
              <w:t>(301) 998-8100</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60" w:type="dxa"/>
            <w:vAlign w:val="bottom"/>
            <w:gridSpan w:val="4"/>
          </w:tcPr>
          <w:p>
            <w:pPr>
              <w:jc w:val="center"/>
              <w:ind w:left="78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2"/>
          </w:tcPr>
          <w:p>
            <w:pPr>
              <w:jc w:val="center"/>
              <w:ind w:right="1060"/>
              <w:spacing w:after="0"/>
              <w:rPr>
                <w:sz w:val="20"/>
                <w:szCs w:val="20"/>
                <w:color w:val="auto"/>
              </w:rPr>
            </w:pPr>
            <w:r>
              <w:rPr>
                <w:rFonts w:ascii="Arial" w:cs="Arial" w:eastAsia="Arial" w:hAnsi="Arial"/>
                <w:sz w:val="16"/>
                <w:szCs w:val="16"/>
                <w:b w:val="1"/>
                <w:bCs w:val="1"/>
                <w:color w:val="auto"/>
                <w:w w:val="92"/>
              </w:rPr>
              <w:t>Trading Symbol</w:t>
            </w:r>
          </w:p>
        </w:tc>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gridSpan w:val="3"/>
          </w:tcPr>
          <w:p>
            <w:pPr>
              <w:jc w:val="center"/>
              <w:ind w:right="225"/>
              <w:spacing w:after="0"/>
              <w:rPr>
                <w:sz w:val="20"/>
                <w:szCs w:val="20"/>
                <w:color w:val="auto"/>
              </w:rPr>
            </w:pPr>
            <w:r>
              <w:rPr>
                <w:rFonts w:ascii="Arial" w:cs="Arial" w:eastAsia="Arial" w:hAnsi="Arial"/>
                <w:sz w:val="16"/>
                <w:szCs w:val="16"/>
                <w:color w:val="auto"/>
                <w:w w:val="92"/>
              </w:rPr>
              <w:t>Common Shares of Beneficial Interest</w:t>
            </w:r>
          </w:p>
        </w:tc>
        <w:tc>
          <w:tcPr>
            <w:tcW w:w="300" w:type="dxa"/>
            <w:vAlign w:val="bottom"/>
          </w:tcPr>
          <w:p>
            <w:pPr>
              <w:spacing w:after="0"/>
              <w:rPr>
                <w:sz w:val="24"/>
                <w:szCs w:val="24"/>
                <w:color w:val="auto"/>
              </w:rPr>
            </w:pP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FRT</w:t>
            </w:r>
          </w:p>
        </w:tc>
        <w:tc>
          <w:tcPr>
            <w:tcW w:w="20" w:type="dxa"/>
            <w:vAlign w:val="bottom"/>
          </w:tcPr>
          <w:p>
            <w:pPr>
              <w:spacing w:after="0"/>
              <w:rPr>
                <w:sz w:val="24"/>
                <w:szCs w:val="24"/>
                <w:color w:val="auto"/>
              </w:rPr>
            </w:pPr>
          </w:p>
        </w:tc>
        <w:tc>
          <w:tcPr>
            <w:tcW w:w="3220" w:type="dxa"/>
            <w:vAlign w:val="bottom"/>
          </w:tcPr>
          <w:p>
            <w:pPr>
              <w:ind w:left="72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47"/>
        </w:trPr>
        <w:tc>
          <w:tcPr>
            <w:tcW w:w="4580" w:type="dxa"/>
            <w:vAlign w:val="bottom"/>
            <w:gridSpan w:val="3"/>
          </w:tcPr>
          <w:p>
            <w:pPr>
              <w:jc w:val="center"/>
              <w:ind w:right="205"/>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3080" w:type="dxa"/>
            <w:vAlign w:val="bottom"/>
            <w:gridSpan w:val="2"/>
          </w:tcPr>
          <w:p>
            <w:pPr>
              <w:jc w:val="center"/>
              <w:ind w:right="1705"/>
              <w:spacing w:after="0"/>
              <w:rPr>
                <w:sz w:val="20"/>
                <w:szCs w:val="20"/>
                <w:color w:val="auto"/>
              </w:rPr>
            </w:pPr>
            <w:r>
              <w:rPr>
                <w:rFonts w:ascii="Arial" w:cs="Arial" w:eastAsia="Arial" w:hAnsi="Arial"/>
                <w:sz w:val="16"/>
                <w:szCs w:val="16"/>
                <w:color w:val="auto"/>
                <w:w w:val="92"/>
              </w:rPr>
              <w:t>Rights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4580" w:type="dxa"/>
            <w:vAlign w:val="bottom"/>
            <w:gridSpan w:val="3"/>
          </w:tcPr>
          <w:p>
            <w:pPr>
              <w:jc w:val="center"/>
              <w:ind w:right="225"/>
              <w:spacing w:after="0"/>
              <w:rPr>
                <w:sz w:val="20"/>
                <w:szCs w:val="20"/>
                <w:color w:val="auto"/>
              </w:rPr>
            </w:pPr>
            <w:r>
              <w:rPr>
                <w:rFonts w:ascii="Arial" w:cs="Arial" w:eastAsia="Arial" w:hAnsi="Arial"/>
                <w:sz w:val="16"/>
                <w:szCs w:val="16"/>
                <w:color w:val="auto"/>
                <w:w w:val="89"/>
              </w:rPr>
              <w:t>Depositary Shares, each representing 1/1000 of a share</w:t>
            </w:r>
          </w:p>
        </w:tc>
        <w:tc>
          <w:tcPr>
            <w:tcW w:w="300" w:type="dxa"/>
            <w:vAlign w:val="bottom"/>
          </w:tcPr>
          <w:p>
            <w:pPr>
              <w:spacing w:after="0"/>
              <w:rPr>
                <w:sz w:val="24"/>
                <w:szCs w:val="24"/>
                <w:color w:val="auto"/>
              </w:rPr>
            </w:pPr>
          </w:p>
        </w:tc>
        <w:tc>
          <w:tcPr>
            <w:tcW w:w="2180" w:type="dxa"/>
            <w:vAlign w:val="bottom"/>
            <w:gridSpan w:val="2"/>
          </w:tcPr>
          <w:p>
            <w:pPr>
              <w:jc w:val="center"/>
              <w:ind w:right="1060"/>
              <w:spacing w:after="0"/>
              <w:rPr>
                <w:sz w:val="20"/>
                <w:szCs w:val="20"/>
                <w:color w:val="auto"/>
              </w:rPr>
            </w:pPr>
            <w:r>
              <w:rPr>
                <w:rFonts w:ascii="Arial" w:cs="Arial" w:eastAsia="Arial" w:hAnsi="Arial"/>
                <w:sz w:val="18"/>
                <w:szCs w:val="18"/>
                <w:color w:val="auto"/>
                <w:w w:val="88"/>
              </w:rPr>
              <w:t>FRT-C</w:t>
            </w:r>
          </w:p>
        </w:tc>
        <w:tc>
          <w:tcPr>
            <w:tcW w:w="20" w:type="dxa"/>
            <w:vAlign w:val="bottom"/>
          </w:tcPr>
          <w:p>
            <w:pPr>
              <w:spacing w:after="0"/>
              <w:rPr>
                <w:sz w:val="24"/>
                <w:szCs w:val="24"/>
                <w:color w:val="auto"/>
              </w:rPr>
            </w:pPr>
          </w:p>
        </w:tc>
        <w:tc>
          <w:tcPr>
            <w:tcW w:w="3220" w:type="dxa"/>
            <w:vAlign w:val="bottom"/>
          </w:tcPr>
          <w:p>
            <w:pPr>
              <w:ind w:left="72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ind w:right="64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480"/>
        <w:spacing w:after="0"/>
        <w:rPr>
          <w:sz w:val="20"/>
          <w:szCs w:val="20"/>
          <w:color w:val="auto"/>
        </w:rPr>
      </w:pPr>
      <w:r>
        <w:rPr>
          <w:rFonts w:ascii="Arial" w:cs="Arial" w:eastAsia="Arial" w:hAnsi="Arial"/>
          <w:sz w:val="16"/>
          <w:szCs w:val="16"/>
          <w:color w:val="auto"/>
        </w:rPr>
        <w:t>value per share</w:t>
      </w:r>
    </w:p>
    <w:p>
      <w:pPr>
        <w:spacing w:after="0" w:line="17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32"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00" w:lineRule="exact"/>
        <w:rPr>
          <w:sz w:val="24"/>
          <w:szCs w:val="24"/>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3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13"/>
        </w:trPr>
        <w:tc>
          <w:tcPr>
            <w:tcW w:w="19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3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36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13"/>
        </w:trPr>
        <w:tc>
          <w:tcPr>
            <w:tcW w:w="19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36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56"/>
        </w:trPr>
        <w:tc>
          <w:tcPr>
            <w:tcW w:w="10720" w:type="dxa"/>
            <w:vAlign w:val="bottom"/>
            <w:gridSpan w:val="3"/>
          </w:tcPr>
          <w:p>
            <w:pPr>
              <w:ind w:left="40"/>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36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4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0720" w:type="dxa"/>
            <w:vAlign w:val="bottom"/>
            <w:gridSpan w:val="3"/>
          </w:tcPr>
          <w:p>
            <w:pPr>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21"/>
                <w:szCs w:val="21"/>
                <w:color w:val="auto"/>
              </w:rPr>
              <w:t>☒</w:t>
            </w:r>
            <w:r>
              <w:rPr>
                <w:rFonts w:ascii="Arial" w:cs="Arial" w:eastAsia="Arial" w:hAnsi="Arial"/>
                <w:sz w:val="16"/>
                <w:szCs w:val="16"/>
                <w:color w:val="auto"/>
              </w:rPr>
              <w:t xml:space="preserve"> No</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May 1, 2020 was 75,633,042.</w:t>
      </w:r>
    </w:p>
    <w:p>
      <w:pPr>
        <w:sectPr>
          <w:pgSz w:w="11900" w:h="16838" w:orient="portrait"/>
          <w:cols w:equalWidth="0" w:num="1">
            <w:col w:w="11240"/>
          </w:cols>
          <w:pgMar w:left="320" w:top="23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39"/>
        </w:trPr>
        <w:tc>
          <w:tcPr>
            <w:tcW w:w="1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Pr>
          <w:p>
            <w:pPr>
              <w:jc w:val="center"/>
              <w:ind w:right="550"/>
              <w:spacing w:after="0"/>
              <w:rPr>
                <w:sz w:val="20"/>
                <w:szCs w:val="20"/>
                <w:color w:val="auto"/>
              </w:rPr>
            </w:pPr>
            <w:r>
              <w:rPr>
                <w:rFonts w:ascii="Arial" w:cs="Arial" w:eastAsia="Arial" w:hAnsi="Arial"/>
                <w:sz w:val="18"/>
                <w:szCs w:val="18"/>
                <w:b w:val="1"/>
                <w:bCs w:val="1"/>
                <w:color w:val="auto"/>
              </w:rPr>
              <w:t>FEDERAL REALTY INVESTMENT TRUST</w:t>
            </w:r>
          </w:p>
        </w:tc>
        <w:tc>
          <w:tcPr>
            <w:tcW w:w="7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140" w:type="dxa"/>
            <w:vAlign w:val="bottom"/>
          </w:tcPr>
          <w:p>
            <w:pPr>
              <w:jc w:val="center"/>
              <w:ind w:right="570"/>
              <w:spacing w:after="0"/>
              <w:rPr>
                <w:sz w:val="20"/>
                <w:szCs w:val="20"/>
                <w:color w:val="auto"/>
              </w:rPr>
            </w:pPr>
            <w:r>
              <w:rPr>
                <w:rFonts w:ascii="Arial" w:cs="Arial" w:eastAsia="Arial" w:hAnsi="Arial"/>
                <w:sz w:val="18"/>
                <w:szCs w:val="18"/>
                <w:b w:val="1"/>
                <w:bCs w:val="1"/>
                <w:color w:val="auto"/>
                <w:w w:val="99"/>
              </w:rPr>
              <w:t>QUARTERLY REPORT ON FORM 10-Q</w:t>
            </w:r>
          </w:p>
        </w:tc>
        <w:tc>
          <w:tcPr>
            <w:tcW w:w="7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140" w:type="dxa"/>
            <w:vAlign w:val="bottom"/>
          </w:tcPr>
          <w:p>
            <w:pPr>
              <w:jc w:val="center"/>
              <w:ind w:right="550"/>
              <w:spacing w:after="0"/>
              <w:rPr>
                <w:sz w:val="20"/>
                <w:szCs w:val="20"/>
                <w:color w:val="auto"/>
              </w:rPr>
            </w:pPr>
            <w:r>
              <w:rPr>
                <w:rFonts w:ascii="Arial" w:cs="Arial" w:eastAsia="Arial" w:hAnsi="Arial"/>
                <w:sz w:val="18"/>
                <w:szCs w:val="18"/>
                <w:b w:val="1"/>
                <w:bCs w:val="1"/>
                <w:color w:val="auto"/>
                <w:w w:val="97"/>
              </w:rPr>
              <w:t>QUARTER ENDED MARCH 31, 2020</w:t>
            </w:r>
          </w:p>
        </w:tc>
        <w:tc>
          <w:tcPr>
            <w:tcW w:w="7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Pr>
          <w:p>
            <w:pPr>
              <w:jc w:val="center"/>
              <w:ind w:right="57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r>
      <w:tr>
        <w:trPr>
          <w:trHeight w:val="648"/>
        </w:trPr>
        <w:tc>
          <w:tcPr>
            <w:tcW w:w="105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700" w:type="dxa"/>
            <w:vAlign w:val="bottom"/>
          </w:tcPr>
          <w:p>
            <w:pPr>
              <w:spacing w:after="0"/>
              <w:rPr>
                <w:sz w:val="24"/>
                <w:szCs w:val="24"/>
                <w:color w:val="auto"/>
              </w:rPr>
            </w:pPr>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w:t>
            </w:r>
          </w:p>
        </w:tc>
        <w:tc>
          <w:tcPr>
            <w:tcW w:w="91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7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rPr>
              <w:t>Consolidated Balance Sheets as of March 31, 2020 (unaudited) and December 31, 2019</w:t>
            </w:r>
          </w:p>
        </w:tc>
        <w:tc>
          <w:tcPr>
            <w:tcW w:w="7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w w:val="95"/>
              </w:rPr>
              <w:t>Consolidated Statements of Comprehensive Income (unaudited) for the three months ended March 31, 2020 and 2019</w:t>
            </w:r>
          </w:p>
        </w:tc>
        <w:tc>
          <w:tcPr>
            <w:tcW w:w="7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w w:val="97"/>
              </w:rPr>
              <w:t>Consolidated Statements of Shareholders' Equity (unaudited) for the three months ended March 31, 2020 and 2019</w:t>
            </w:r>
          </w:p>
        </w:tc>
        <w:tc>
          <w:tcPr>
            <w:tcW w:w="7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rPr>
              <w:t>Consolidated Statements of Cash Flows (unaudited) for the three months ended March 31, 2020 and 2019</w:t>
            </w:r>
          </w:p>
        </w:tc>
        <w:tc>
          <w:tcPr>
            <w:tcW w:w="70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rPr>
              <w:t>Notes to Consolidated Financial Statements (unaudited)</w:t>
            </w:r>
          </w:p>
        </w:tc>
        <w:tc>
          <w:tcPr>
            <w:tcW w:w="7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2.</w:t>
            </w:r>
          </w:p>
        </w:tc>
        <w:tc>
          <w:tcPr>
            <w:tcW w:w="914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0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13</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3.</w:t>
            </w:r>
          </w:p>
        </w:tc>
        <w:tc>
          <w:tcPr>
            <w:tcW w:w="914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70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25</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4.</w:t>
            </w:r>
          </w:p>
        </w:tc>
        <w:tc>
          <w:tcPr>
            <w:tcW w:w="914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70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25</w:t>
              </w:r>
            </w:hyperlink>
          </w:p>
        </w:tc>
      </w:tr>
      <w:tr>
        <w:trPr>
          <w:trHeight w:val="594"/>
        </w:trPr>
        <w:tc>
          <w:tcPr>
            <w:tcW w:w="105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7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26</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w:t>
            </w:r>
          </w:p>
        </w:tc>
        <w:tc>
          <w:tcPr>
            <w:tcW w:w="91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7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26</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1A.</w:t>
            </w:r>
          </w:p>
        </w:tc>
        <w:tc>
          <w:tcPr>
            <w:tcW w:w="914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7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26</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2.</w:t>
            </w:r>
          </w:p>
        </w:tc>
        <w:tc>
          <w:tcPr>
            <w:tcW w:w="914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7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26</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3.</w:t>
            </w:r>
          </w:p>
        </w:tc>
        <w:tc>
          <w:tcPr>
            <w:tcW w:w="9140" w:type="dxa"/>
            <w:vAlign w:val="bottom"/>
          </w:tcPr>
          <w:p>
            <w:pPr>
              <w:ind w:left="120"/>
              <w:spacing w:after="0"/>
              <w:rPr>
                <w:sz w:val="20"/>
                <w:szCs w:val="20"/>
                <w:color w:val="auto"/>
              </w:rPr>
            </w:pPr>
            <w:r>
              <w:rPr>
                <w:rFonts w:ascii="Arial" w:cs="Arial" w:eastAsia="Arial" w:hAnsi="Arial"/>
                <w:sz w:val="18"/>
                <w:szCs w:val="18"/>
                <w:color w:val="auto"/>
              </w:rPr>
              <w:t>Defaults Upon Senior Securities</w:t>
            </w:r>
          </w:p>
        </w:tc>
        <w:tc>
          <w:tcPr>
            <w:tcW w:w="70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26</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4.</w:t>
            </w:r>
          </w:p>
        </w:tc>
        <w:tc>
          <w:tcPr>
            <w:tcW w:w="914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70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5.</w:t>
            </w:r>
          </w:p>
        </w:tc>
        <w:tc>
          <w:tcPr>
            <w:tcW w:w="914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70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270"/>
        </w:trPr>
        <w:tc>
          <w:tcPr>
            <w:tcW w:w="1380" w:type="dxa"/>
            <w:vAlign w:val="bottom"/>
            <w:gridSpan w:val="2"/>
          </w:tcPr>
          <w:p>
            <w:pPr>
              <w:ind w:left="600"/>
              <w:spacing w:after="0"/>
              <w:rPr>
                <w:sz w:val="20"/>
                <w:szCs w:val="20"/>
                <w:color w:val="auto"/>
              </w:rPr>
            </w:pPr>
            <w:r>
              <w:rPr>
                <w:rFonts w:ascii="Arial" w:cs="Arial" w:eastAsia="Arial" w:hAnsi="Arial"/>
                <w:sz w:val="18"/>
                <w:szCs w:val="18"/>
                <w:color w:val="auto"/>
              </w:rPr>
              <w:t>Item 6.</w:t>
            </w:r>
          </w:p>
        </w:tc>
        <w:tc>
          <w:tcPr>
            <w:tcW w:w="9140" w:type="dxa"/>
            <w:vAlign w:val="bottom"/>
          </w:tcPr>
          <w:p>
            <w:pPr>
              <w:ind w:left="120"/>
              <w:spacing w:after="0"/>
              <w:rPr>
                <w:sz w:val="20"/>
                <w:szCs w:val="20"/>
                <w:color w:val="auto"/>
              </w:rPr>
            </w:pPr>
            <w:r>
              <w:rPr>
                <w:rFonts w:ascii="Arial" w:cs="Arial" w:eastAsia="Arial" w:hAnsi="Arial"/>
                <w:sz w:val="18"/>
                <w:szCs w:val="18"/>
                <w:color w:val="auto"/>
              </w:rPr>
              <w:t>Exhibits</w:t>
            </w:r>
          </w:p>
        </w:tc>
        <w:tc>
          <w:tcPr>
            <w:tcW w:w="70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59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140" w:type="dxa"/>
            <w:vAlign w:val="bottom"/>
          </w:tcPr>
          <w:p>
            <w:pPr>
              <w:spacing w:after="0"/>
              <w:rPr>
                <w:sz w:val="24"/>
                <w:szCs w:val="24"/>
                <w:color w:val="auto"/>
              </w:rPr>
            </w:pPr>
          </w:p>
        </w:tc>
        <w:tc>
          <w:tcPr>
            <w:tcW w:w="70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891"/>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Pr>
          <w:p>
            <w:pPr>
              <w:jc w:val="center"/>
              <w:ind w:right="570"/>
              <w:spacing w:after="0"/>
              <w:rPr>
                <w:sz w:val="20"/>
                <w:szCs w:val="20"/>
                <w:color w:val="auto"/>
              </w:rPr>
            </w:pPr>
            <w:r>
              <w:rPr>
                <w:rFonts w:ascii="Arial" w:cs="Arial" w:eastAsia="Arial" w:hAnsi="Arial"/>
                <w:sz w:val="18"/>
                <w:szCs w:val="18"/>
                <w:color w:val="auto"/>
                <w:w w:val="79"/>
              </w:rPr>
              <w:t>2</w:t>
            </w:r>
          </w:p>
        </w:tc>
        <w:tc>
          <w:tcPr>
            <w:tcW w:w="70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16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tcPr>
          <w:p>
            <w:pPr>
              <w:jc w:val="right"/>
              <w:ind w:right="71"/>
              <w:spacing w:after="0" w:line="153" w:lineRule="exact"/>
              <w:rPr>
                <w:sz w:val="20"/>
                <w:szCs w:val="20"/>
                <w:color w:val="auto"/>
              </w:rPr>
            </w:pPr>
            <w:r>
              <w:rPr>
                <w:rFonts w:ascii="Arial" w:cs="Arial" w:eastAsia="Arial" w:hAnsi="Arial"/>
                <w:sz w:val="14"/>
                <w:szCs w:val="14"/>
                <w:b w:val="1"/>
                <w:bCs w:val="1"/>
                <w:color w:val="auto"/>
                <w:w w:val="92"/>
              </w:rPr>
              <w:t>(In thousands, except share and per</w:t>
            </w:r>
          </w:p>
        </w:tc>
        <w:tc>
          <w:tcPr>
            <w:tcW w:w="0" w:type="dxa"/>
            <w:vAlign w:val="bottom"/>
          </w:tcPr>
          <w:p>
            <w:pPr>
              <w:spacing w:after="0"/>
              <w:rPr>
                <w:sz w:val="1"/>
                <w:szCs w:val="1"/>
                <w:color w:val="auto"/>
              </w:rPr>
            </w:pPr>
          </w:p>
        </w:tc>
      </w:tr>
      <w:tr>
        <w:trPr>
          <w:trHeight w:val="186"/>
        </w:trPr>
        <w:tc>
          <w:tcPr>
            <w:tcW w:w="16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6"/>
        </w:trPr>
        <w:tc>
          <w:tcPr>
            <w:tcW w:w="16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6"/>
                <w:shd w:val="clear" w:color="auto" w:fill="CCEEFF"/>
              </w:rPr>
              <w:t>Operating (including $1,751,718 and $1,676,866 of consolidated variable interest entities, 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7,774,485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7,535,983</w:t>
            </w:r>
          </w:p>
        </w:tc>
        <w:tc>
          <w:tcPr>
            <w:tcW w:w="0" w:type="dxa"/>
            <w:vAlign w:val="bottom"/>
          </w:tcPr>
          <w:p>
            <w:pPr>
              <w:spacing w:after="0"/>
              <w:rPr>
                <w:sz w:val="1"/>
                <w:szCs w:val="1"/>
                <w:color w:val="auto"/>
              </w:rPr>
            </w:pPr>
          </w:p>
        </w:tc>
      </w:tr>
      <w:tr>
        <w:trPr>
          <w:trHeight w:val="229"/>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Construction-in-progress (including $84,034 and $102,583 of consolidated variable interest entities,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671,486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760,420</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8,451,767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8,298,132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2"/>
                <w:shd w:val="clear" w:color="auto" w:fill="CCEEFF"/>
              </w:rPr>
              <w:t>Less accumulated depreciation and amortization (including $306,861 and $296,165 of consolidated variable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shd w:val="clear" w:color="auto" w:fill="CCEEFF"/>
              </w:rPr>
              <w:t>interest entities,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(2,258,994)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(2,215,413)</w:t>
            </w:r>
          </w:p>
        </w:tc>
        <w:tc>
          <w:tcPr>
            <w:tcW w:w="0" w:type="dxa"/>
            <w:vAlign w:val="bottom"/>
          </w:tcPr>
          <w:p>
            <w:pPr>
              <w:spacing w:after="0"/>
              <w:rPr>
                <w:sz w:val="1"/>
                <w:szCs w:val="1"/>
                <w:color w:val="auto"/>
              </w:rPr>
            </w:pPr>
          </w:p>
        </w:tc>
      </w:tr>
      <w:tr>
        <w:trPr>
          <w:trHeight w:val="237"/>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6,192,773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6,082,719</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153,243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152,572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Investment in partnerships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25,960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93,774</w:t>
            </w: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52,079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216,692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227,060</w:t>
            </w:r>
          </w:p>
        </w:tc>
        <w:tc>
          <w:tcPr>
            <w:tcW w:w="0" w:type="dxa"/>
            <w:vAlign w:val="bottom"/>
          </w:tcPr>
          <w:p>
            <w:pPr>
              <w:spacing w:after="0"/>
              <w:rPr>
                <w:sz w:val="1"/>
                <w:szCs w:val="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7,759,914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67"/>
        </w:trPr>
        <w:tc>
          <w:tcPr>
            <w:tcW w:w="1640" w:type="dxa"/>
            <w:vAlign w:val="bottom"/>
            <w:tcBorders>
              <w:bottom w:val="single" w:sz="8" w:color="CCEEFF"/>
            </w:tcBorders>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shd w:val="clear" w:color="auto" w:fill="CCEEFF"/>
              </w:rPr>
              <w:t>Mortgages payable, net (including $476,944 and $469,184 of consolidated variable interest entities,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1"/>
                <w:shd w:val="clear" w:color="auto" w:fill="CCEEFF"/>
              </w:rPr>
              <w:t>respectively)</w:t>
            </w:r>
          </w:p>
        </w:tc>
        <w:tc>
          <w:tcPr>
            <w:tcW w:w="7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552,813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545,679</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Notes payable,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993,752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2,807,848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2,807,134</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245,968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255,503</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81,676</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21,941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21,701</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73,628</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72,059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157,938</w:t>
            </w:r>
          </w:p>
        </w:tc>
        <w:tc>
          <w:tcPr>
            <w:tcW w:w="0" w:type="dxa"/>
            <w:vAlign w:val="bottom"/>
          </w:tcPr>
          <w:p>
            <w:pPr>
              <w:spacing w:after="0"/>
              <w:rPr>
                <w:sz w:val="1"/>
                <w:szCs w:val="1"/>
                <w:color w:val="auto"/>
              </w:rPr>
            </w:pPr>
          </w:p>
        </w:tc>
      </w:tr>
      <w:tr>
        <w:trPr>
          <w:trHeight w:val="236"/>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5,000,772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4,019,102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159,534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139,758</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share), 6,000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640" w:type="dxa"/>
            <w:vAlign w:val="bottom"/>
            <w:gridSpan w:val="2"/>
          </w:tcPr>
          <w:p>
            <w:pPr>
              <w:ind w:left="820"/>
              <w:spacing w:after="0"/>
              <w:rPr>
                <w:sz w:val="20"/>
                <w:szCs w:val="20"/>
                <w:color w:val="auto"/>
              </w:rPr>
            </w:pPr>
            <w:r>
              <w:rPr>
                <w:rFonts w:ascii="Arial" w:cs="Arial" w:eastAsia="Arial" w:hAnsi="Arial"/>
                <w:sz w:val="18"/>
                <w:szCs w:val="18"/>
                <w:color w:val="auto"/>
                <w:w w:val="91"/>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1"/>
                <w:shd w:val="clear" w:color="auto" w:fill="CCEEFF"/>
              </w:rPr>
              <w:t>Common shares of beneficial interest, $.01 par, 100,000,000 shares authorized, 75,622,504 and 75,540,804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3,166,899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3,166,522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(791,124)</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2,502,107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2,535,341</w:t>
            </w:r>
          </w:p>
        </w:tc>
        <w:tc>
          <w:tcPr>
            <w:tcW w:w="0" w:type="dxa"/>
            <w:vAlign w:val="bottom"/>
          </w:tcPr>
          <w:p>
            <w:pPr>
              <w:spacing w:after="0"/>
              <w:rPr>
                <w:sz w:val="1"/>
                <w:szCs w:val="1"/>
                <w:color w:val="auto"/>
              </w:rPr>
            </w:pPr>
          </w:p>
        </w:tc>
      </w:tr>
      <w:tr>
        <w:trPr>
          <w:trHeight w:val="243"/>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97,501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100,791</w:t>
            </w:r>
          </w:p>
        </w:tc>
        <w:tc>
          <w:tcPr>
            <w:tcW w:w="0" w:type="dxa"/>
            <w:vAlign w:val="bottom"/>
          </w:tcPr>
          <w:p>
            <w:pPr>
              <w:spacing w:after="0"/>
              <w:rPr>
                <w:sz w:val="1"/>
                <w:szCs w:val="1"/>
                <w:color w:val="auto"/>
              </w:rPr>
            </w:pPr>
          </w:p>
        </w:tc>
      </w:tr>
      <w:tr>
        <w:trPr>
          <w:trHeight w:val="27"/>
        </w:trPr>
        <w:tc>
          <w:tcPr>
            <w:tcW w:w="164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2,599,608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2,636,132</w:t>
            </w:r>
          </w:p>
        </w:tc>
        <w:tc>
          <w:tcPr>
            <w:tcW w:w="0" w:type="dxa"/>
            <w:vAlign w:val="bottom"/>
          </w:tcPr>
          <w:p>
            <w:pPr>
              <w:spacing w:after="0"/>
              <w:rPr>
                <w:sz w:val="1"/>
                <w:szCs w:val="1"/>
                <w:color w:val="auto"/>
              </w:rPr>
            </w:pPr>
          </w:p>
        </w:tc>
      </w:tr>
      <w:tr>
        <w:trPr>
          <w:trHeight w:val="23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7,759,914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6,794,992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7000" w:type="dxa"/>
            <w:vAlign w:val="bottom"/>
            <w:vMerge w:val="restart"/>
          </w:tcPr>
          <w:p>
            <w:pPr>
              <w:ind w:left="1160"/>
              <w:spacing w:after="0"/>
              <w:rPr>
                <w:sz w:val="20"/>
                <w:szCs w:val="20"/>
                <w:color w:val="auto"/>
              </w:rPr>
            </w:pPr>
            <w:r>
              <w:rPr>
                <w:rFonts w:ascii="Arial" w:cs="Arial" w:eastAsia="Arial" w:hAnsi="Arial"/>
                <w:sz w:val="18"/>
                <w:szCs w:val="18"/>
                <w:color w:val="auto"/>
                <w:w w:val="92"/>
              </w:rPr>
              <w:t>The accompanying notes are an integral part of these consolidated statements.</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line="20" w:lineRule="exact"/>
              <w:rPr>
                <w:sz w:val="1"/>
                <w:szCs w:val="1"/>
                <w:color w:val="auto"/>
              </w:rPr>
            </w:pPr>
          </w:p>
        </w:tc>
        <w:tc>
          <w:tcPr>
            <w:tcW w:w="70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vMerge w:val="continue"/>
          </w:tcPr>
          <w:p>
            <w:pPr>
              <w:spacing w:after="0"/>
              <w:rPr>
                <w:sz w:val="17"/>
                <w:szCs w:val="17"/>
                <w:color w:val="auto"/>
              </w:rPr>
            </w:pPr>
          </w:p>
        </w:tc>
        <w:tc>
          <w:tcPr>
            <w:tcW w:w="7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393"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20" w:top="126" w:right="359" w:bottom="393"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2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4"/>
              </w:rPr>
              <w:t>(In thousands, except per share data)</w:t>
            </w: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Rental income</w:t>
            </w:r>
          </w:p>
        </w:tc>
        <w:tc>
          <w:tcPr>
            <w:tcW w:w="3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230,798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231,492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231,557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232,227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44,260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59,622</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145,815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141,134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85,742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91,093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26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INCOME/(EXPENSE)</w:t>
            </w: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interest income</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partnerships</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56,441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2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54,763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60,144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2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9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52,753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58,134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2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2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32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75,360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74,200</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26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49,989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61,594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48,311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59,935</w:t>
            </w:r>
          </w:p>
        </w:tc>
        <w:tc>
          <w:tcPr>
            <w:tcW w:w="0" w:type="dxa"/>
            <w:vAlign w:val="bottom"/>
          </w:tcPr>
          <w:p>
            <w:pPr>
              <w:spacing w:after="0"/>
              <w:rPr>
                <w:sz w:val="1"/>
                <w:szCs w:val="1"/>
                <w:color w:val="auto"/>
              </w:rPr>
            </w:pPr>
          </w:p>
        </w:tc>
      </w:tr>
      <w:tr>
        <w:trPr>
          <w:trHeight w:val="27"/>
        </w:trPr>
        <w:tc>
          <w:tcPr>
            <w:tcW w:w="82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20" w:type="dxa"/>
            <w:vAlign w:val="bottom"/>
            <w:gridSpan w:val="3"/>
          </w:tcPr>
          <w:p>
            <w:pPr>
              <w:jc w:val="center"/>
              <w:ind w:left="2630"/>
              <w:spacing w:after="0"/>
              <w:rPr>
                <w:sz w:val="20"/>
                <w:szCs w:val="20"/>
                <w:color w:val="auto"/>
              </w:rPr>
            </w:pPr>
            <w:r>
              <w:rPr>
                <w:rFonts w:ascii="Arial" w:cs="Arial" w:eastAsia="Arial" w:hAnsi="Arial"/>
                <w:sz w:val="18"/>
                <w:szCs w:val="18"/>
                <w:color w:val="auto"/>
                <w:w w:val="88"/>
              </w:rPr>
              <w:t>The accompanying notes are an integral part of these consolidated statements.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4"/>
                <w:szCs w:val="24"/>
                <w:color w:val="auto"/>
              </w:rPr>
            </w:pPr>
          </w:p>
        </w:tc>
        <w:tc>
          <w:tcPr>
            <w:tcW w:w="2960" w:type="dxa"/>
            <w:vAlign w:val="bottom"/>
          </w:tcPr>
          <w:p>
            <w:pPr>
              <w:jc w:val="right"/>
              <w:ind w:right="247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right"/>
        <w:ind w:right="37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2019</w:t>
      </w:r>
    </w:p>
    <w:p>
      <w:pPr>
        <w:spacing w:after="0" w:line="109"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January 1, 2020 adoption of new accounting standard - See Note 2</w:t>
      </w:r>
    </w:p>
    <w:p>
      <w:pPr>
        <w:spacing w:after="0" w:line="12"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shd w:val="clear" w:color="auto" w:fill="CCEEFF"/>
        </w:rPr>
        <w:t>Net income, excluding $1,015 attributable to redeemable noncontrolling interests</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($1.05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MARCH 31, 2020</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2018</w:t>
      </w:r>
    </w:p>
    <w:p>
      <w:pPr>
        <w:spacing w:after="0" w:line="109"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January 1, 2019 adoption of new accounting standard - See Note 2</w:t>
      </w:r>
    </w:p>
    <w:p>
      <w:pPr>
        <w:spacing w:after="0" w:line="12"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Net income, excluding $876 attributable to redeemable noncontrolling interests</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($1.02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right="540"/>
        <w:spacing w:after="0" w:line="433" w:lineRule="auto"/>
        <w:rPr>
          <w:sz w:val="20"/>
          <w:szCs w:val="20"/>
          <w:color w:val="auto"/>
        </w:rPr>
      </w:pPr>
      <w:r>
        <w:rPr>
          <w:rFonts w:ascii="Arial" w:cs="Arial" w:eastAsia="Arial" w:hAnsi="Arial"/>
          <w:sz w:val="13"/>
          <w:szCs w:val="13"/>
          <w:color w:val="auto"/>
        </w:rPr>
        <w:t>Shares withheld for employee taxes Conversion and redemption of OP units</w:t>
      </w:r>
    </w:p>
    <w:p>
      <w:pPr>
        <w:spacing w:after="0" w:line="1" w:lineRule="exact"/>
        <w:rPr>
          <w:sz w:val="20"/>
          <w:szCs w:val="20"/>
          <w:color w:val="auto"/>
        </w:rPr>
      </w:pPr>
    </w:p>
    <w:p>
      <w:pPr>
        <w:ind w:left="40" w:right="420"/>
        <w:spacing w:after="0" w:line="253" w:lineRule="auto"/>
        <w:rPr>
          <w:sz w:val="20"/>
          <w:szCs w:val="20"/>
          <w:color w:val="auto"/>
        </w:rPr>
      </w:pPr>
      <w:r>
        <w:rPr>
          <w:rFonts w:ascii="Arial" w:cs="Arial" w:eastAsia="Arial" w:hAnsi="Arial"/>
          <w:sz w:val="14"/>
          <w:szCs w:val="14"/>
          <w:color w:val="auto"/>
        </w:rPr>
        <w:t>Adjustment to redeemable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MARCH 31, 2019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rPr>
              <w:t>Shareholders’ Equity of the Trust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540" w:type="dxa"/>
            <w:vAlign w:val="bottom"/>
            <w:gridSpan w:val="5"/>
            <w:vMerge w:val="restart"/>
          </w:tcPr>
          <w:p>
            <w:pPr>
              <w:jc w:val="right"/>
              <w:ind w:right="168"/>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gridSpan w:val="2"/>
            <w:vMerge w:val="restart"/>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3"/>
                <w:szCs w:val="13"/>
                <w:color w:val="auto"/>
              </w:rPr>
            </w:pPr>
          </w:p>
        </w:tc>
        <w:tc>
          <w:tcPr>
            <w:tcW w:w="960" w:type="dxa"/>
            <w:vAlign w:val="bottom"/>
            <w:gridSpan w:val="4"/>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110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Dividends 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0"/>
                <w:szCs w:val="10"/>
                <w:color w:val="auto"/>
              </w:rPr>
            </w:pPr>
          </w:p>
        </w:tc>
        <w:tc>
          <w:tcPr>
            <w:tcW w:w="7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Excess of Net</w:t>
            </w:r>
          </w:p>
        </w:tc>
        <w:tc>
          <w:tcPr>
            <w:tcW w:w="20" w:type="dxa"/>
            <w:vAlign w:val="bottom"/>
          </w:tcPr>
          <w:p>
            <w:pPr>
              <w:spacing w:after="0"/>
              <w:rPr>
                <w:sz w:val="10"/>
                <w:szCs w:val="10"/>
                <w:color w:val="auto"/>
              </w:rPr>
            </w:pPr>
          </w:p>
        </w:tc>
        <w:tc>
          <w:tcPr>
            <w:tcW w:w="110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0" w:type="dxa"/>
            <w:vAlign w:val="bottom"/>
          </w:tcPr>
          <w:p>
            <w:pPr>
              <w:spacing w:after="0"/>
              <w:rPr>
                <w:sz w:val="10"/>
                <w:szCs w:val="10"/>
                <w:color w:val="auto"/>
              </w:rPr>
            </w:pPr>
          </w:p>
        </w:tc>
        <w:tc>
          <w:tcPr>
            <w:tcW w:w="10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Interests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11"/>
          </w:tcPr>
          <w:p>
            <w:pPr>
              <w:jc w:val="right"/>
              <w:ind w:right="20"/>
              <w:spacing w:after="0"/>
              <w:rPr>
                <w:sz w:val="20"/>
                <w:szCs w:val="20"/>
                <w:color w:val="auto"/>
              </w:rPr>
            </w:pPr>
            <w:r>
              <w:rPr>
                <w:rFonts w:ascii="Arial" w:cs="Arial" w:eastAsia="Arial" w:hAnsi="Arial"/>
                <w:sz w:val="14"/>
                <w:szCs w:val="14"/>
                <w:b w:val="1"/>
                <w:bCs w:val="1"/>
                <w:color w:val="auto"/>
              </w:rPr>
              <w:t>(In thousands, except share data)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405,896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4"/>
                <w:szCs w:val="14"/>
                <w:color w:val="auto"/>
                <w:w w:val="95"/>
              </w:rPr>
              <w:t>$159,997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w w:val="94"/>
              </w:rPr>
              <w:t>75,540,804</w:t>
            </w:r>
          </w:p>
        </w:tc>
        <w:tc>
          <w:tcPr>
            <w:tcW w:w="1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3"/>
                <w:szCs w:val="23"/>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w w:val="94"/>
              </w:rPr>
              <w:t>$3,166,522</w:t>
            </w:r>
          </w:p>
        </w:tc>
        <w:tc>
          <w:tcPr>
            <w:tcW w:w="100" w:type="dxa"/>
            <w:vAlign w:val="bottom"/>
          </w:tcPr>
          <w:p>
            <w:pPr>
              <w:spacing w:after="0"/>
              <w:rPr>
                <w:sz w:val="23"/>
                <w:szCs w:val="23"/>
                <w:color w:val="auto"/>
              </w:rPr>
            </w:pP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(791,124)</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3"/>
                <w:szCs w:val="23"/>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100,791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2,636,132</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54,763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55,426</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(6,452)</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(79,403)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(79,403)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3,834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4"/>
                <w:szCs w:val="14"/>
                <w:color w:val="auto"/>
              </w:rPr>
              <w:t>110,066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4"/>
                <w:szCs w:val="14"/>
                <w:color w:val="auto"/>
              </w:rPr>
              <w:t>3,941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3,942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(32,213)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(3,982)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37"/>
        </w:trPr>
        <w:tc>
          <w:tcPr>
            <w:tcW w:w="78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405,896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95"/>
              </w:rPr>
              <w:t>$159,997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94"/>
              </w:rPr>
              <w:t>75,622,504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w w:val="94"/>
              </w:rPr>
              <w:t>$3,166,899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(818,284)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97,501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2,599,608</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405,896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$ 159,997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74,249,633</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745</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$3,004,442</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(818,877)</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(416)</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121,439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2,467,330</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(7,098)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60,144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60,927</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(76,106)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(76,106)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446,132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59,348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59,353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4,273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528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100,586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3,860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3,861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(32,686)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color w:val="auto"/>
              </w:rPr>
              <w:t>(4,414)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(4,414)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69,046</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7,550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(7,551)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667</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37"/>
        </w:trPr>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405,896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$ 159,997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74,836,984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752</w:t>
            </w:r>
          </w:p>
        </w:tc>
        <w:tc>
          <w:tcPr>
            <w:tcW w:w="900" w:type="dxa"/>
            <w:vAlign w:val="bottom"/>
            <w:gridSpan w:val="4"/>
          </w:tcPr>
          <w:p>
            <w:pPr>
              <w:jc w:val="right"/>
              <w:ind w:right="100"/>
              <w:spacing w:after="0"/>
              <w:rPr>
                <w:sz w:val="20"/>
                <w:szCs w:val="20"/>
                <w:color w:val="auto"/>
              </w:rPr>
            </w:pPr>
            <w:r>
              <w:rPr>
                <w:rFonts w:ascii="Arial" w:cs="Arial" w:eastAsia="Arial" w:hAnsi="Arial"/>
                <w:sz w:val="14"/>
                <w:szCs w:val="14"/>
                <w:color w:val="auto"/>
              </w:rPr>
              <w:t>$3,071,981</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(843,947)</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(625)</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113,405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2,501,563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-5485765</wp:posOffset>
            </wp:positionV>
            <wp:extent cx="71323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-5091430</wp:posOffset>
            </wp:positionV>
            <wp:extent cx="71323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-4645660</wp:posOffset>
            </wp:positionV>
            <wp:extent cx="71323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-4251325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-3908425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-3514090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-3171190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-2725420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-2331085</wp:posOffset>
            </wp:positionV>
            <wp:extent cx="71323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-1885315</wp:posOffset>
            </wp:positionV>
            <wp:extent cx="71323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-1490980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-1148080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-753745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-410845</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67" w:lineRule="exact"/>
        <w:rPr>
          <w:sz w:val="20"/>
          <w:szCs w:val="20"/>
          <w:color w:val="auto"/>
        </w:rPr>
      </w:pPr>
    </w:p>
    <w:p>
      <w:pPr>
        <w:jc w:val="center"/>
        <w:ind w:right="292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860" w:space="60"/>
            <w:col w:w="8320"/>
          </w:cols>
          <w:pgMar w:left="320" w:top="12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55"/>
        </w:trPr>
        <w:tc>
          <w:tcPr>
            <w:tcW w:w="8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61,803</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59,622</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Loss from partnerships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1,434</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2,230</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8,618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1,168</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r>
      <w:tr>
        <w:trPr>
          <w:trHeight w:val="243"/>
        </w:trPr>
        <w:tc>
          <w:tcPr>
            <w:tcW w:w="8400" w:type="dxa"/>
            <w:vAlign w:val="bottom"/>
          </w:tcPr>
          <w:p>
            <w:pPr>
              <w:ind w:left="720"/>
              <w:spacing w:after="0"/>
              <w:rPr>
                <w:sz w:val="20"/>
                <w:szCs w:val="20"/>
                <w:color w:val="auto"/>
              </w:rPr>
            </w:pPr>
            <w:r>
              <w:rPr>
                <w:rFonts w:ascii="Arial" w:cs="Arial" w:eastAsia="Arial" w:hAnsi="Arial"/>
                <w:sz w:val="18"/>
                <w:szCs w:val="18"/>
                <w:color w:val="auto"/>
              </w:rPr>
              <w:t>Decrease in security deposits and other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(13,278)</w:t>
            </w: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118,749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104,919</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(25,176)</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(106,572)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(63,380)</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Costs associated with property sold under threat of condemnation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6,106</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Investment in partnerships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partnerships in excess of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(8,259)</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repayment of mortgage and other notes receivable,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r>
      <w:tr>
        <w:trPr>
          <w:trHeight w:val="237"/>
        </w:trPr>
        <w:tc>
          <w:tcPr>
            <w:tcW w:w="840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(151,832)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(104,037)</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Net borrowings under revolving credit facility, including costs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20,000</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finance leases and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(21,718)</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59,427</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(77,296)</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(4,414)</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(3,107)</w:t>
            </w:r>
          </w:p>
        </w:tc>
      </w:tr>
      <w:tr>
        <w:trPr>
          <w:trHeight w:val="27"/>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898,895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(27,002)</w:t>
            </w:r>
          </w:p>
        </w:tc>
      </w:tr>
      <w:tr>
        <w:trPr>
          <w:trHeight w:val="236"/>
        </w:trPr>
        <w:tc>
          <w:tcPr>
            <w:tcW w:w="840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865,812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(26,120)</w:t>
            </w:r>
          </w:p>
        </w:tc>
      </w:tr>
      <w:tr>
        <w:trPr>
          <w:trHeight w:val="27"/>
        </w:trPr>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153,614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108,332</w:t>
            </w: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1,019,426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82,212</w:t>
            </w:r>
          </w:p>
        </w:tc>
      </w:tr>
      <w:tr>
        <w:trPr>
          <w:trHeight w:val="27"/>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6"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March 31, 2020,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March 2020, the World Health Organization declared the outbreak of novel coronavirus disease (“COVID-19”) as a pandemic. While we currently expect the impact to our properties is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2019,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months ended March 31, 2020 are not necessarily indicative of the results that may be expected for the full year.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and Issued Accounting Pronouncements</w:t>
      </w:r>
    </w:p>
    <w:p>
      <w:pPr>
        <w:sectPr>
          <w:pgSz w:w="11900" w:h="16838" w:orient="portrait"/>
          <w:cols w:equalWidth="0" w:num="1">
            <w:col w:w="11200"/>
          </w:cols>
          <w:pgMar w:left="320" w:top="126" w:right="379" w:bottom="1440" w:gutter="0" w:footer="0" w:header="0"/>
        </w:sect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62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Adopted on January 1, 2020:</w:t>
      </w:r>
    </w:p>
    <w:p>
      <w:pPr>
        <w:spacing w:after="0" w:line="109" w:lineRule="exact"/>
        <w:rPr>
          <w:sz w:val="20"/>
          <w:szCs w:val="20"/>
          <w:color w:val="auto"/>
        </w:rPr>
      </w:pPr>
    </w:p>
    <w:p>
      <w:pPr>
        <w:ind w:left="40"/>
        <w:spacing w:after="0" w:line="261" w:lineRule="auto"/>
        <w:rPr>
          <w:sz w:val="20"/>
          <w:szCs w:val="20"/>
          <w:color w:val="auto"/>
        </w:rPr>
      </w:pPr>
      <w:r>
        <w:rPr>
          <w:rFonts w:ascii="Arial" w:cs="Arial" w:eastAsia="Arial" w:hAnsi="Arial"/>
          <w:sz w:val="17"/>
          <w:szCs w:val="17"/>
          <w:color w:val="auto"/>
        </w:rPr>
        <w:t>Financial Instruments - Credit Losses (Topic 326) and related updates: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2016-13, June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2016, </w:t>
      </w:r>
      <w:r>
        <w:rPr>
          <w:rFonts w:ascii="Arial" w:cs="Arial" w:eastAsia="Arial" w:hAnsi="Arial"/>
          <w:sz w:val="17"/>
          <w:szCs w:val="17"/>
          <w:i w:val="1"/>
          <w:iCs w:val="1"/>
          <w:color w:val="auto"/>
        </w:rPr>
        <w:t>Financial</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Instruments - Credit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Losses (Topic 326)</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2018-19,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November 2018,</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Codification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improvements to</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Topic 326,</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Financial</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Instruments - Credit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Losses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22802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This ASU changes the impairment model for most financial assets and certain other instruments, requiring the use of an "expected credit loss" model and adding more disclosure requirements.</w:t>
      </w:r>
    </w:p>
    <w:p>
      <w:pPr>
        <w:spacing w:after="0" w:line="16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ASU 2018-19 clarifies that impairment of of receivables arising from operating leases should be accounted for in accordance with Topic 842, Leases.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Upon adoption of this standard, we recorded expected losses of $0.5 million in opening accumulated dividends in excess of net income. During the three months ended March 31, 2020, we recorded additional expected losses of $0.4 million, which are included in rental expenses.</w:t>
      </w:r>
    </w:p>
    <w:p>
      <w:pPr>
        <w:spacing w:after="0" w:line="2765" w:lineRule="exact"/>
        <w:rPr>
          <w:sz w:val="20"/>
          <w:szCs w:val="20"/>
          <w:color w:val="auto"/>
        </w:rPr>
      </w:pPr>
    </w:p>
    <w:p>
      <w:pPr>
        <w:sectPr>
          <w:pgSz w:w="11900" w:h="16838" w:orient="portrait"/>
          <w:cols w:equalWidth="0" w:num="3">
            <w:col w:w="2080" w:space="200"/>
            <w:col w:w="3540" w:space="160"/>
            <w:col w:w="5220"/>
          </w:cols>
          <w:pgMar w:left="320" w:top="126" w:right="379" w:bottom="1440" w:gutter="0" w:footer="0" w:header="0"/>
          <w:type w:val="continuous"/>
        </w:sectPr>
      </w:pPr>
    </w:p>
    <w:p>
      <w:pPr>
        <w:ind w:left="40"/>
        <w:spacing w:after="0" w:line="270" w:lineRule="auto"/>
        <w:rPr>
          <w:sz w:val="20"/>
          <w:szCs w:val="20"/>
          <w:color w:val="auto"/>
        </w:rPr>
      </w:pPr>
      <w:r>
        <w:rPr>
          <w:rFonts w:ascii="Arial" w:cs="Arial" w:eastAsia="Arial" w:hAnsi="Arial"/>
          <w:sz w:val="16"/>
          <w:szCs w:val="16"/>
          <w:color w:val="auto"/>
        </w:rPr>
        <w:t xml:space="preserve">ASU 2018-15, August 2018, </w:t>
      </w:r>
      <w:r>
        <w:rPr>
          <w:rFonts w:ascii="Arial" w:cs="Arial" w:eastAsia="Arial" w:hAnsi="Arial"/>
          <w:sz w:val="16"/>
          <w:szCs w:val="16"/>
          <w:i w:val="1"/>
          <w:iCs w:val="1"/>
          <w:color w:val="auto"/>
        </w:rPr>
        <w:t>Intangibles - Goodwill and Other Internal Use Software: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6"/>
          <w:szCs w:val="16"/>
          <w:color w:val="auto"/>
        </w:rPr>
        <w:t>This ASU requires a customer in a cloud computing arrangement (i.e. hosting arrangement) that is a service contract to follow the internal-use software guidance in ASC 350-40 to determine which implementation costs to capitalize as assets. Capitalized implementation costs related to a hosting arrangement that is a service contract will be amortized over the term of the hosting arrangement. Entities will expense costs during the preliminary project and post-implementation stages as they are incurred.</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The guidance can be applied prospectively to all implementation costs incurred after the date of adoption or retrospectively in accordance with ASC 250-10-45-5 through ASC 250-10-45-10.</w:t>
      </w:r>
    </w:p>
    <w:p>
      <w:pPr>
        <w:spacing w:after="0" w:line="20" w:lineRule="exact"/>
        <w:rPr>
          <w:sz w:val="20"/>
          <w:szCs w:val="20"/>
          <w:color w:val="auto"/>
        </w:rPr>
      </w:pPr>
      <w:r>
        <w:rPr>
          <w:sz w:val="20"/>
          <w:szCs w:val="20"/>
          <w:color w:val="auto"/>
        </w:rPr>
        <w:br w:type="column"/>
      </w:r>
    </w:p>
    <w:p>
      <w:pPr>
        <w:ind w:right="400"/>
        <w:spacing w:after="0" w:line="274" w:lineRule="auto"/>
        <w:rPr>
          <w:sz w:val="20"/>
          <w:szCs w:val="20"/>
          <w:color w:val="auto"/>
        </w:rPr>
      </w:pPr>
      <w:r>
        <w:rPr>
          <w:rFonts w:ascii="Arial" w:cs="Arial" w:eastAsia="Arial" w:hAnsi="Arial"/>
          <w:sz w:val="17"/>
          <w:szCs w:val="17"/>
          <w:color w:val="auto"/>
        </w:rPr>
        <w:t>The adoption of this standard does not have a significant impact to our consolidated financial statements.</w:t>
      </w:r>
    </w:p>
    <w:p>
      <w:pPr>
        <w:spacing w:after="0" w:line="2968" w:lineRule="exact"/>
        <w:rPr>
          <w:sz w:val="20"/>
          <w:szCs w:val="20"/>
          <w:color w:val="auto"/>
        </w:rPr>
      </w:pPr>
    </w:p>
    <w:p>
      <w:pPr>
        <w:sectPr>
          <w:pgSz w:w="11900" w:h="16838" w:orient="portrait"/>
          <w:cols w:equalWidth="0" w:num="3">
            <w:col w:w="2100" w:space="180"/>
            <w:col w:w="3540" w:space="160"/>
            <w:col w:w="5220"/>
          </w:cols>
          <w:pgMar w:left="320" w:top="126" w:right="37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u w:val="single" w:color="auto"/>
          <w:color w:val="auto"/>
        </w:rPr>
        <w:t>Issued in 2020:</w:t>
      </w:r>
    </w:p>
    <w:p>
      <w:pPr>
        <w:spacing w:after="0" w:line="75" w:lineRule="exact"/>
        <w:rPr>
          <w:sz w:val="20"/>
          <w:szCs w:val="20"/>
          <w:color w:val="auto"/>
        </w:rPr>
      </w:pPr>
    </w:p>
    <w:p>
      <w:pPr>
        <w:ind w:left="40"/>
        <w:spacing w:after="0" w:line="261" w:lineRule="auto"/>
        <w:rPr>
          <w:sz w:val="20"/>
          <w:szCs w:val="20"/>
          <w:color w:val="auto"/>
        </w:rPr>
      </w:pPr>
      <w:r>
        <w:rPr>
          <w:rFonts w:ascii="Arial" w:cs="Arial" w:eastAsia="Arial" w:hAnsi="Arial"/>
          <w:sz w:val="17"/>
          <w:szCs w:val="17"/>
          <w:color w:val="auto"/>
        </w:rPr>
        <w:t xml:space="preserve">ASU 2020-04, March 2020, </w:t>
      </w:r>
      <w:r>
        <w:rPr>
          <w:rFonts w:ascii="Arial" w:cs="Arial" w:eastAsia="Arial" w:hAnsi="Arial"/>
          <w:sz w:val="17"/>
          <w:szCs w:val="17"/>
          <w:i w:val="1"/>
          <w:iCs w:val="1"/>
          <w:color w:val="auto"/>
        </w:rPr>
        <w:t>Reference Rate Reform (Topic 848)</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 This guidance can be applied immediately, however, is generally only available through December 31, 2022.</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We are still evaluating the impact of reference rate reform and whether we will apply any of these practical expedients.</w:t>
      </w:r>
    </w:p>
    <w:p>
      <w:pPr>
        <w:spacing w:after="0" w:line="3030" w:lineRule="exact"/>
        <w:rPr>
          <w:sz w:val="20"/>
          <w:szCs w:val="20"/>
          <w:color w:val="auto"/>
        </w:rPr>
      </w:pPr>
    </w:p>
    <w:p>
      <w:pPr>
        <w:sectPr>
          <w:pgSz w:w="11900" w:h="16838" w:orient="portrait"/>
          <w:cols w:equalWidth="0" w:num="3">
            <w:col w:w="2080" w:space="200"/>
            <w:col w:w="3480" w:space="220"/>
            <w:col w:w="5220"/>
          </w:cols>
          <w:pgMar w:left="320" w:top="126" w:right="379" w:bottom="1440" w:gutter="0" w:footer="0" w:header="0"/>
          <w:type w:val="continuous"/>
        </w:sectPr>
      </w:pPr>
    </w:p>
    <w:p>
      <w:pPr>
        <w:spacing w:after="0" w:line="208"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 April 2020, the FASB issued interpretive guidance relating to the accounting for lease concessions provided as a result of COVID-19. In this guidance, entities can elect not to apply lease modification accounting with respect to such lease concessions and instead, treat the concession as if it was a part of the existing contract. This guidance is only applicable to COVID-19 related lease concessions that do not result in a substantial increase in the rights of the lessor or the obligations of the lessee. We are currently</w:t>
      </w:r>
    </w:p>
    <w:p>
      <w:pPr>
        <w:sectPr>
          <w:pgSz w:w="11900" w:h="16838" w:orient="portrait"/>
          <w:cols w:equalWidth="0" w:num="1">
            <w:col w:w="11200"/>
          </w:cols>
          <w:pgMar w:left="320" w:top="126" w:right="379" w:bottom="1440" w:gutter="0" w:footer="0" w:header="0"/>
          <w:type w:val="continuous"/>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00"/>
          </w:cols>
          <w:pgMar w:left="320" w:top="126"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evaluating the impact of this guidance and whether we will make this policy election for lease concessions such as rent deferrals for the quarter ended June 30,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230"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32,580</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28,445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28,033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29,405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32,485</w:t>
            </w:r>
          </w:p>
        </w:tc>
        <w:tc>
          <w:tcPr>
            <w:tcW w:w="0" w:type="dxa"/>
            <w:vAlign w:val="bottom"/>
          </w:tcPr>
          <w:p>
            <w:pPr>
              <w:spacing w:after="0"/>
              <w:rPr>
                <w:sz w:val="1"/>
                <w:szCs w:val="1"/>
                <w:color w:val="auto"/>
              </w:rPr>
            </w:pPr>
          </w:p>
        </w:tc>
      </w:tr>
      <w:tr>
        <w:trPr>
          <w:trHeight w:val="67"/>
        </w:trPr>
        <w:tc>
          <w:tcPr>
            <w:tcW w:w="84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717"/>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994,688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26,182</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1,019,426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-130175</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January 10, 2020, we acquired a 49,000 square foot shopping center in Fairfax, Virginia for $22.3 million. This property is adjacent to, and will be operated as part of our Fairfax Junction property. This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spacing w:after="0" w:line="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12, 2020, we acquired two buildings totaling 12,000 square feet in Hoboken, New Jersey for $14.3 million, including the assumption of $8.9 million of mortgage debt. This acquisition is in addition to the 37 buildings previously acquired, and was completed through the joint venture that was formed in 2019, for which we own a 90% interest. Less than $0.1 million and approximately $3.3 million of net assets acquired were allocated to other assets for "above market leases," and other liabilities for "below market leases,"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two buildings we acquired in Hoboken, New Jersey on February 12, 2020, we assumed two mortgage loans with a net face amount of $8.9 million and a fair value of $9.0 million. The mortgage loans bear interest at 4.00% and mature on July 27, 2027.</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March 2020, in order to strengthen our financial position and balance sheet, to maximize our liquidity, and to provide maximum financial flexibility to continue our business initiatives as the effects of COVID-19 continue to evolve, we borrowed $990.0 million under our revolving credit facility, representing a draw-down of almost the entirety of our $1.0 billion revolving credit facility, which has a maturity date of January 19, 2024. Consequently, during the three months ended March 31, 2020, the maximum amount of borrowings outstanding under our revolving credit facility was $990.0 million, and the weighted average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interest rate, before amortization of debt fees, was 1.7% . During the three months ended March 31, 2020, the weighted average borrowings outstanding was $143.7 million. Our revolving credit facility and certain notes require us to comply with various financial covenants, including the maintenance of minimum shareholders' equity and debt coverage ratios and a maximum ratio of debt to net worth. As of March 31, 2020, we were in compliance with all default related debt covenants.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1,546,565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1,543,402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549,460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562,049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260"/>
              <w:spacing w:after="0"/>
              <w:rPr>
                <w:sz w:val="20"/>
                <w:szCs w:val="20"/>
                <w:color w:val="auto"/>
              </w:rPr>
            </w:pPr>
            <w:r>
              <w:rPr>
                <w:rFonts w:ascii="Arial" w:cs="Arial" w:eastAsia="Arial" w:hAnsi="Arial"/>
                <w:sz w:val="18"/>
                <w:szCs w:val="18"/>
                <w:color w:val="auto"/>
              </w:rPr>
              <w:t>2,807,848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2,968,904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2,807,134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3,001,216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March 31, 2020, we have two interest rate swap agreements with notional amounts of $56.5 million that are measured at fair value on a recurring basis. The interest rate swap agreements fix the interest rate on $56.5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2020 was a liability of $5.6 million and is included in "other liabilities and deferred credits" on our consolidated balance sheet. For the three months ended March 31, 2020, the value of our interest rate swaps decreased $5.7 million (including less than $0.1 million reclassified from other comprehensive loss to interest expense). A summary of our financial (liabilities) assets that are measured at fair value on a recurring basis, by level within the fair value hierarchy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2019</w:t>
            </w:r>
          </w:p>
        </w:tc>
        <w:tc>
          <w:tcPr>
            <w:tcW w:w="780" w:type="dxa"/>
            <w:vAlign w:val="bottom"/>
            <w:tcBorders>
              <w:bottom w:val="single" w:sz="8" w:color="auto"/>
            </w:tcBorders>
          </w:tcPr>
          <w:p>
            <w:pPr>
              <w:spacing w:after="0"/>
              <w:rPr>
                <w:sz w:val="16"/>
                <w:szCs w:val="16"/>
                <w:color w:val="auto"/>
              </w:rPr>
            </w:pPr>
          </w:p>
        </w:tc>
      </w:tr>
      <w:tr>
        <w:trPr>
          <w:trHeight w:val="264"/>
        </w:trPr>
        <w:tc>
          <w:tcPr>
            <w:tcW w:w="28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r>
      <w:tr>
        <w:trPr>
          <w:trHeight w:val="250"/>
        </w:trPr>
        <w:tc>
          <w:tcPr>
            <w:tcW w:w="2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8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   $  (5,555)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(5,555)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130</w:t>
            </w:r>
          </w:p>
        </w:tc>
      </w:tr>
      <w:tr>
        <w:trPr>
          <w:trHeight w:val="27"/>
        </w:trPr>
        <w:tc>
          <w:tcPr>
            <w:tcW w:w="2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One of our equity method investees has two interest rate swaps which qualify for cash flow hedge accounting. For the three months ended March 31, 2020, our share of the change in fair value of the related swaps included in "accumulated other comprehensive loss" was $0.8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744,617 downREIT operating partnership units are outstanding which have a total fair value of approximately $55.6 million, which is calculated by multiplying the outstanding number of downREIT partnership units by our closing stock price on March 31, 2020.</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4"/>
                <w:szCs w:val="14"/>
                <w:b w:val="1"/>
                <w:bCs w:val="1"/>
                <w:color w:val="auto"/>
                <w:w w:val="97"/>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2020</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2019</w:t>
            </w:r>
          </w:p>
        </w:tc>
        <w:tc>
          <w:tcPr>
            <w:tcW w:w="680" w:type="dxa"/>
            <w:vAlign w:val="bottom"/>
            <w:tcBorders>
              <w:bottom w:val="single" w:sz="8" w:color="auto"/>
            </w:tcBorders>
          </w:tcPr>
          <w:p>
            <w:pPr>
              <w:spacing w:after="0"/>
              <w:rPr>
                <w:sz w:val="22"/>
                <w:szCs w:val="22"/>
                <w:color w:val="auto"/>
              </w:rPr>
            </w:pPr>
          </w:p>
        </w:tc>
      </w:tr>
      <w:tr>
        <w:trPr>
          <w:trHeight w:val="263"/>
        </w:trPr>
        <w:tc>
          <w:tcPr>
            <w:tcW w:w="7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Paid</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0.339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0.339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0.339</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0.313</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0.313</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0.313</w:t>
            </w:r>
          </w:p>
        </w:tc>
      </w:tr>
      <w:tr>
        <w:trPr>
          <w:trHeight w:val="20"/>
        </w:trPr>
        <w:tc>
          <w:tcPr>
            <w:tcW w:w="7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 represents dividends per depository share, each representing 1/1000th of a share.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As of March 31, 2020, we had the capacity to issue up to $128.3 million in common shares under our ATM equity program.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196"/>
        </w:trPr>
        <w:tc>
          <w:tcPr>
            <w:tcW w:w="8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3,942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3,610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3,635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9—OPERATING &amp; FINANCE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our operating and finance leases where we are the lessee: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24"/>
                <w:szCs w:val="24"/>
                <w:color w:val="auto"/>
              </w:rPr>
            </w:pPr>
          </w:p>
        </w:tc>
      </w:tr>
      <w:tr>
        <w:trPr>
          <w:trHeight w:val="263"/>
        </w:trPr>
        <w:tc>
          <w:tcPr>
            <w:tcW w:w="8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44"/>
        </w:trPr>
        <w:tc>
          <w:tcPr>
            <w:tcW w:w="8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3"/>
          </w:tcPr>
          <w:p>
            <w:pPr>
              <w:jc w:val="center"/>
              <w:ind w:left="61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5"/>
        </w:trPr>
        <w:tc>
          <w:tcPr>
            <w:tcW w:w="8300" w:type="dxa"/>
            <w:vAlign w:val="bottom"/>
          </w:tcPr>
          <w:p>
            <w:pPr>
              <w:ind w:left="40"/>
              <w:spacing w:after="0"/>
              <w:rPr>
                <w:sz w:val="20"/>
                <w:szCs w:val="20"/>
                <w:color w:val="auto"/>
              </w:rPr>
            </w:pPr>
            <w:r>
              <w:rPr>
                <w:rFonts w:ascii="Arial" w:cs="Arial" w:eastAsia="Arial" w:hAnsi="Arial"/>
                <w:sz w:val="18"/>
                <w:szCs w:val="18"/>
                <w:color w:val="auto"/>
              </w:rPr>
              <w:t>LEASE COST:</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6"/>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321</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on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1,456</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300" w:type="dxa"/>
            <w:vAlign w:val="bottom"/>
          </w:tcPr>
          <w:p>
            <w:pPr>
              <w:spacing w:after="0"/>
              <w:rPr>
                <w:sz w:val="21"/>
                <w:szCs w:val="21"/>
                <w:color w:val="auto"/>
              </w:rPr>
            </w:pPr>
          </w:p>
        </w:tc>
        <w:tc>
          <w:tcPr>
            <w:tcW w:w="1120" w:type="dxa"/>
            <w:vAlign w:val="bottom"/>
          </w:tcPr>
          <w:p>
            <w:pPr>
              <w:jc w:val="right"/>
              <w:ind w:right="116"/>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1,504</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91</w:t>
            </w:r>
          </w:p>
        </w:tc>
      </w:tr>
      <w:tr>
        <w:trPr>
          <w:trHeight w:val="297"/>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lease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3,423</w:t>
            </w:r>
          </w:p>
        </w:tc>
        <w:tc>
          <w:tcPr>
            <w:tcW w:w="1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3,372</w:t>
            </w:r>
          </w:p>
        </w:tc>
      </w:tr>
      <w:tr>
        <w:trPr>
          <w:trHeight w:val="257"/>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OTHER INFORMATION:</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60"/>
              <w:spacing w:after="0"/>
              <w:rPr>
                <w:sz w:val="20"/>
                <w:szCs w:val="20"/>
                <w:color w:val="auto"/>
              </w:rPr>
            </w:pPr>
            <w:r>
              <w:rPr>
                <w:rFonts w:ascii="Arial" w:cs="Arial" w:eastAsia="Arial" w:hAnsi="Arial"/>
                <w:sz w:val="18"/>
                <w:szCs w:val="18"/>
                <w:color w:val="auto"/>
              </w:rPr>
              <w:t>Operating cash flows for finance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6"/>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1,460</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1,511</w:t>
            </w:r>
          </w:p>
        </w:tc>
      </w:tr>
      <w:tr>
        <w:trPr>
          <w:trHeight w:val="243"/>
        </w:trPr>
        <w:tc>
          <w:tcPr>
            <w:tcW w:w="8300" w:type="dxa"/>
            <w:vAlign w:val="bottom"/>
          </w:tcPr>
          <w:p>
            <w:pPr>
              <w:ind w:left="260"/>
              <w:spacing w:after="0"/>
              <w:rPr>
                <w:sz w:val="20"/>
                <w:szCs w:val="20"/>
                <w:color w:val="auto"/>
              </w:rPr>
            </w:pPr>
            <w:r>
              <w:rPr>
                <w:rFonts w:ascii="Arial" w:cs="Arial" w:eastAsia="Arial" w:hAnsi="Arial"/>
                <w:sz w:val="18"/>
                <w:szCs w:val="18"/>
                <w:color w:val="auto"/>
              </w:rPr>
              <w:t>Financing cash flows for finance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10</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22"/>
                <w:szCs w:val="22"/>
                <w:color w:val="auto"/>
              </w:rPr>
            </w:pPr>
          </w:p>
        </w:tc>
      </w:tr>
      <w:tr>
        <w:trPr>
          <w:trHeight w:val="263"/>
        </w:trPr>
        <w:tc>
          <w:tcPr>
            <w:tcW w:w="83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4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18.0 years</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2"/>
              </w:rPr>
              <w:t>18.9 years</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30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53.2 years</w:t>
            </w:r>
          </w:p>
        </w:tc>
        <w:tc>
          <w:tcPr>
            <w:tcW w:w="44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w w:val="92"/>
              </w:rPr>
              <w:t>53.7 years</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2020 and 2019,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for the three months ended March 31, 2020 and 2019.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717"/>
              <w:spacing w:after="0"/>
              <w:rPr>
                <w:sz w:val="20"/>
                <w:szCs w:val="20"/>
                <w:color w:val="auto"/>
              </w:rPr>
            </w:pPr>
            <w:r>
              <w:rPr>
                <w:rFonts w:ascii="Arial" w:cs="Arial" w:eastAsia="Arial" w:hAnsi="Arial"/>
                <w:sz w:val="14"/>
                <w:szCs w:val="14"/>
                <w:b w:val="1"/>
                <w:bCs w:val="1"/>
                <w:color w:val="auto"/>
                <w:w w:val="99"/>
              </w:rPr>
              <w:t>March 31,</w:t>
            </w:r>
          </w:p>
        </w:tc>
        <w:tc>
          <w:tcPr>
            <w:tcW w:w="1020" w:type="dxa"/>
            <w:vAlign w:val="bottom"/>
            <w:tcBorders>
              <w:bottom w:val="single" w:sz="8" w:color="auto"/>
            </w:tcBorders>
          </w:tcPr>
          <w:p>
            <w:pPr>
              <w:spacing w:after="0"/>
              <w:rPr>
                <w:sz w:val="24"/>
                <w:szCs w:val="24"/>
                <w:color w:val="auto"/>
              </w:rPr>
            </w:pPr>
          </w:p>
        </w:tc>
      </w:tr>
      <w:tr>
        <w:trPr>
          <w:trHeight w:val="263"/>
        </w:trPr>
        <w:tc>
          <w:tcPr>
            <w:tcW w:w="8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56,441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61,803</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(1,659)</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52,506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57,914</w:t>
            </w:r>
          </w:p>
        </w:tc>
      </w:tr>
      <w:tr>
        <w:trPr>
          <w:trHeight w:val="67"/>
        </w:trPr>
        <w:tc>
          <w:tcPr>
            <w:tcW w:w="8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0"/>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75,360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74,200</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EARNINGS PER COMMON SHARE, BASIC AND DILUTED:</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April 21, 2020, we sold a building in Pasadena, California for $16.1 million, which is included in "assets held for sale" on our consolidated balance sheet.</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May 6, 2020, we entered into a $400.0 million unsecured term loan that matures on May 6, 2021, with one twelve month extension at our option. The loan bears interest at LIBOR plus 135 basis points based on our current credit rating. The net proceeds were used to reduce amounts outstanding on our $1.0 billion revolving credit facility.</w:t>
      </w:r>
    </w:p>
    <w:p>
      <w:pPr>
        <w:spacing w:after="0" w:line="200" w:lineRule="exact"/>
        <w:rPr>
          <w:sz w:val="20"/>
          <w:szCs w:val="20"/>
          <w:color w:val="auto"/>
        </w:rPr>
      </w:pPr>
    </w:p>
    <w:p>
      <w:pPr>
        <w:spacing w:after="0" w:line="3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2019 filed with the Securities and Exchange Commission (the “SEC”) on February 10, 2020.</w:t>
      </w:r>
    </w:p>
    <w:p>
      <w:pPr>
        <w:spacing w:after="0" w:line="13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4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2019 and under Part II, Item 1A in this Quarterly Report on Form 10-Q, before making any investments in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2020, we owned or had a majority interest in community and neighborhood shopping centers and mixed-use properties which are operated as 104 predominantly retail real estate projects comprising approximately 24.1 million square feet. In total, the real estate projects were 93.6% leased and 91.5% occupied at March 31,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 March 2020, the World Health Organization declared the outbreak of novel coronavirus disease (“COVID-19”) as a pandemic. Our Board of Trustees, as part of its risk oversight function, is regularly coordinating with management to assess the effects of the pandemic on our business and to determine appropriate courses of action to maintain the health and safety of our personnel, to strengthen our financial position and to adapt our business as appropriate. In response to the pandemic, we have taken a number of specific actions so far:</w:t>
      </w:r>
    </w:p>
    <w:p>
      <w:pPr>
        <w:spacing w:after="0" w:line="52" w:lineRule="exact"/>
        <w:rPr>
          <w:sz w:val="20"/>
          <w:szCs w:val="20"/>
          <w:color w:val="auto"/>
        </w:rPr>
      </w:pPr>
    </w:p>
    <w:p>
      <w:pPr>
        <w:ind w:left="340" w:right="6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On March 16, 2020, we transitioned our work force to work remotely, canceled all non-essential business travel and have canceled company events, or are holding them remotely.</w:t>
      </w:r>
    </w:p>
    <w:p>
      <w:pPr>
        <w:spacing w:after="0" w:line="1" w:lineRule="exact"/>
        <w:rPr>
          <w:rFonts w:ascii="Arial" w:cs="Arial" w:eastAsia="Arial" w:hAnsi="Arial"/>
          <w:sz w:val="18"/>
          <w:szCs w:val="18"/>
          <w:color w:val="auto"/>
        </w:rPr>
      </w:pPr>
    </w:p>
    <w:p>
      <w:pPr>
        <w:ind w:left="340" w:right="16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212529"/>
        </w:rPr>
        <w:t>In March 2020, to strengthen our financial position and maximize our liquidity, we borrowed $990.0 million under our revolving credit facility representing a draw-down of almost the entirety of our $1.0 billion revolving credit facility. As of March 31, 2020, the outstanding balance under our revolving credit facility was $990.0 million, and our outstanding cash and cash equivalent balance was $994.7 million.</w:t>
      </w:r>
    </w:p>
    <w:p>
      <w:pPr>
        <w:ind w:left="340" w:right="2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paused construction activity at many of our construction projects including, without limitation, ongoing construction at Assembly Row, Santana Row, and other redevelopments and smaller projects. Construction activities continue at Pike &amp; Rose and other redevelopments and smaller projects although at a slower pace as we observe COVID-19 safety protocols at all sites.</w:t>
      </w:r>
    </w:p>
    <w:p>
      <w:pPr>
        <w:spacing w:after="0" w:line="55" w:lineRule="exact"/>
        <w:rPr>
          <w:sz w:val="20"/>
          <w:szCs w:val="20"/>
          <w:color w:val="auto"/>
        </w:rPr>
      </w:pPr>
    </w:p>
    <w:p>
      <w:pPr>
        <w:jc w:val="both"/>
        <w:ind w:right="36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The extent of the effects of COVID-19 on our business, results of operations, cash flows, and growth prospects is highly uncertain and will ultimately depend on future developments, none of which can be predicted with any certainty. See </w:t>
      </w:r>
      <w:hyperlink w:anchor="page26">
        <w:r>
          <w:rPr>
            <w:rFonts w:ascii="Arial" w:cs="Arial" w:eastAsia="Arial" w:hAnsi="Arial"/>
            <w:sz w:val="16"/>
            <w:szCs w:val="16"/>
            <w:u w:val="single" w:color="auto"/>
            <w:color w:val="0000EE"/>
          </w:rPr>
          <w:t>Item 1A</w:t>
        </w:r>
      </w:hyperlink>
      <w:r>
        <w:rPr>
          <w:rFonts w:ascii="Arial" w:cs="Arial" w:eastAsia="Arial" w:hAnsi="Arial"/>
          <w:sz w:val="16"/>
          <w:szCs w:val="16"/>
          <w:color w:val="auto"/>
        </w:rPr>
        <w:t>. Risk Factors. However, we believe the actions we are taking will help minimize interruptions to our operations and will put us in the best position to participate in the recovery when the time comes.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and our Board of Trustees will continue to actively monitor the effects of the pandemic, including governmental directives in the jurisdictions in which we operate and the recommendations of public health authorities, and will, as needed, take further measures to adapt our business in the best interests of our shareholders and personnel.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Business Continuity</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12529"/>
        </w:rPr>
        <w:t>We were able to transition all but a limited number of essential employees to remote work and do not anticipate any adverse impact on our ability to continue to operate our business. Transitioning to a largely remote workforce has not had any material adverse impact on our financial reporting systems, our internal controls or disclosure controls and procedures. Currently, we have a limited number of employees coming into offices as needed and have property employees visiting properties only as necessary to ensure that the properties with essential businesses that are open and operating are able to conduct business and serve their communities. At this time, we have not laid off, furloughed, or terminated any employee in response to COVID-19, nor have we modified the compensation of any employee. The Compensation Committee of our Board of Trustees may reevaluate the performance goals and other aspects of the compensation arrangements of our executive officers later in 2020 as more information about the effects of COVID-19 become known.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Property Acquisitions and Disposition</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January 10, 2020, we acquired a 49,000 square foot shopping center in Fairfax, Virginia for $22.3 million. This property is adjacent to, and will be operated as part of our Fairfax Junction property. This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spacing w:after="0" w:line="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12, 2020, we acquired two buildings totaling 12,000 square feet in Hoboken, New Jersey for $14.3 million, including the assumption of $8.9 million of mortgage debt. This acquisition is in addition to the 37 buildings previously acquired, and was completed through the joint venture that was formed in 2019, for which we own a 90% interest. Less than $0.1 million and approximately $3.3 million of net assets acquired were allocated to other assets for "above market leases," and other liabilities for "below market leases," respectively.</w:t>
      </w:r>
    </w:p>
    <w:p>
      <w:pPr>
        <w:spacing w:after="0" w:line="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April 21, 2020, we sold a building in Pasadena, California for $16.1 million, which is included in "assets held for sale" on our consolidated balance sheet.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Debt and Equity Transactions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two buildings we acquired in Hoboken, New Jersey on February 12, 2020, we assumed two mortgage loans with a net face amount of $8.9 million and a fair value of $9.0 million. The mortgage loans bears interest at 4.00% and mature on July 27, 2027.</w:t>
      </w:r>
    </w:p>
    <w:p>
      <w:pPr>
        <w:spacing w:after="0" w:line="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March 2020, in order to strengthen our financial position and balance sheet, to maximize our liquidity, and to provide maximum financial flexibility to continue our business initiatives as the effects of COVID-19 continue to evolve, we borrowed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$990.0 million under our revolving credit facility, representing a draw-down of almost the entirety of our $1.0 billion revolving credit facility.</w:t>
      </w:r>
    </w:p>
    <w:p>
      <w:pPr>
        <w:spacing w:after="0" w:line="9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On May 6, 2020, we entered into a $400.0 million unsecured term loan that matures on May 6, 2021, with one twelve month extension at our option. The loan bears interest at LIBOR plus 135 basis points, based on our current credit rating. The net proceeds were used to reduce amounts outstanding on our $1.0 billion revolving credit facility.</w:t>
      </w:r>
    </w:p>
    <w:p>
      <w:pPr>
        <w:spacing w:after="0" w:line="49" w:lineRule="exact"/>
        <w:rPr>
          <w:sz w:val="20"/>
          <w:szCs w:val="20"/>
          <w:color w:val="auto"/>
        </w:rPr>
      </w:pPr>
    </w:p>
    <w:p>
      <w:pPr>
        <w:ind w:right="2020"/>
        <w:spacing w:after="0" w:line="287" w:lineRule="auto"/>
        <w:rPr>
          <w:sz w:val="20"/>
          <w:szCs w:val="20"/>
          <w:color w:val="auto"/>
        </w:rPr>
      </w:pPr>
      <w:r>
        <w:rPr>
          <w:rFonts w:ascii="Arial" w:cs="Arial" w:eastAsia="Arial" w:hAnsi="Arial"/>
          <w:sz w:val="16"/>
          <w:szCs w:val="16"/>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w:t>
      </w:r>
    </w:p>
    <w:p>
      <w:pPr>
        <w:spacing w:after="0" w:line="2" w:lineRule="exact"/>
        <w:rPr>
          <w:sz w:val="20"/>
          <w:szCs w:val="20"/>
          <w:color w:val="auto"/>
        </w:rPr>
      </w:pPr>
    </w:p>
    <w:p>
      <w:pPr>
        <w:ind w:right="260"/>
        <w:spacing w:after="0" w:line="383" w:lineRule="auto"/>
        <w:rPr>
          <w:sz w:val="20"/>
          <w:szCs w:val="20"/>
          <w:color w:val="auto"/>
        </w:rPr>
      </w:pPr>
      <w:r>
        <w:rPr>
          <w:rFonts w:ascii="Arial" w:cs="Arial" w:eastAsia="Arial" w:hAnsi="Arial"/>
          <w:sz w:val="18"/>
          <w:szCs w:val="18"/>
          <w:color w:val="auto"/>
        </w:rPr>
        <w:t xml:space="preserve">general corporate purposes. As of March 31, 2020, we had the capacity to issue up to $128.3 million in common shares under our ATM equity program. </w:t>
      </w:r>
      <w:r>
        <w:rPr>
          <w:rFonts w:ascii="Arial" w:cs="Arial" w:eastAsia="Arial" w:hAnsi="Arial"/>
          <w:sz w:val="18"/>
          <w:szCs w:val="18"/>
          <w:b w:val="1"/>
          <w:bCs w:val="1"/>
          <w:color w:val="auto"/>
        </w:rPr>
        <w:t>Capitalized Costs</w:t>
      </w:r>
    </w:p>
    <w:p>
      <w:pPr>
        <w:spacing w:after="0" w:line="26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$114 million and $3 million, respectively, for the three months ended March 31, 2020, and $58 million and $2 million, respectively, for the three months ended March 31, 2019. We capitalized external and internal costs related to other property improvements of $13 million and $1 million, respectively, for the three months ended March 31, 2020, and $6 million and $1 million for the three months ended March 31, 2019. We capitalized external and internal costs related to leasing activities of $3 million and $1 million, respectively, for the three months ended March 31, 2020, and $8 million and less than $1 million, respectively, for the three months ended March 31, 2019. The amount of capitalized internal costs for salaries and related benefits for development and redevelopment activities, other property improvements, and leasing activities were $3 million, $1 million, and $1 million, respectively, for the three months ended March 31, 2020 and $2 million, $1 million, and less than $1 million, respectively for the three months ended March 31, 2019. Total capitalized costs were $134 million and $76 million for the three months ended March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86"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333" w:lineRule="exact"/>
        <w:rPr>
          <w:sz w:val="20"/>
          <w:szCs w:val="20"/>
          <w:color w:val="auto"/>
        </w:rPr>
      </w:pPr>
    </w:p>
    <w:p>
      <w:pPr>
        <w:ind w:left="60" w:right="440"/>
        <w:spacing w:after="0" w:line="277" w:lineRule="auto"/>
        <w:rPr>
          <w:sz w:val="20"/>
          <w:szCs w:val="20"/>
          <w:color w:val="auto"/>
        </w:rPr>
      </w:pPr>
      <w:r>
        <w:rPr>
          <w:rFonts w:ascii="Arial" w:cs="Arial" w:eastAsia="Arial" w:hAnsi="Arial"/>
          <w:sz w:val="18"/>
          <w:szCs w:val="18"/>
          <w:color w:val="auto"/>
        </w:rPr>
        <w:t>While the COVID-19 pandemic is impacting us in the short-term, our long-term focus has not changed. See our 10-K filed on February 13, 2020, for discussion of our our long-term strategies.</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212529"/>
        </w:rPr>
        <w:t xml:space="preserve">The actions taken by federal, state and local governments to mitigate the spread of COVID-19 by ordering closure of non-essential businesses and ordering residents to generally stay at home have resulted in many of our tenants temporarily or even permanently closing their businesses, and/or expressing concerns about their ability to pay rent. These economic hardships have adversely impacted our business, and we expect them to have a negative effect on our financial results. We expect such negative effects to be considerably higher during the quarter ending June 30, 2020 than they were during the quarter ended March 31, 2020. As of April 30, 2020, approximately 11.3 million square feet of our tenants were closed as a result of governmental orders. With very few exceptions, our leases require tenants to continue to pay rent even while closed as a result of the pandemic. Most rents for March 2020 were paid prior to the time the closures were announced; however, many tenants did not pay rents and other charges due in April. We are currently working with many of our smaller tenants to defer payment of rent for some or all of April, May, and June to later in 2020, and in many cases into 2021. We are expecting that our rent collections will continue to be significantly below our tenants’ contractual rent obligations for so long as governmental orders require non-essential businesses to remain closed and residents to stay at home, which will adversely impact our results of operations. The extent of such impact will depend on future developments, which are highly uncertain and cannot be predicted. Depending upon the duration of tenant closures and the overall economic downturn resulting from COVID-19, we may find that even deferred rents are difficult to collect, and we may experience higher vacancies. </w:t>
      </w:r>
      <w:r>
        <w:rPr>
          <w:rFonts w:ascii="Arial" w:cs="Arial" w:eastAsia="Arial" w:hAnsi="Arial"/>
          <w:sz w:val="17"/>
          <w:szCs w:val="17"/>
          <w:color w:val="000000"/>
        </w:rPr>
        <w:t>While the duration and severity of the economic impact resulting from COVID-19 is unknown, we seek to position the Trust to participate in</w:t>
      </w:r>
      <w:r>
        <w:rPr>
          <w:rFonts w:ascii="Arial" w:cs="Arial" w:eastAsia="Arial" w:hAnsi="Arial"/>
          <w:sz w:val="17"/>
          <w:szCs w:val="17"/>
          <w:color w:val="212529"/>
        </w:rPr>
        <w:t xml:space="preserve"> </w:t>
      </w:r>
      <w:r>
        <w:rPr>
          <w:rFonts w:ascii="Arial" w:cs="Arial" w:eastAsia="Arial" w:hAnsi="Arial"/>
          <w:sz w:val="17"/>
          <w:szCs w:val="17"/>
          <w:color w:val="000000"/>
        </w:rPr>
        <w:t>any resulting economic recovery.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While construction has slowed or stopped due to governmental mandates as a result of COVID-19, we continue to have several development projects in process, or being delivered as follows:</w:t>
      </w:r>
    </w:p>
    <w:p>
      <w:pPr>
        <w:ind w:left="660" w:hanging="328"/>
        <w:spacing w:after="0" w:line="18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 of 2020, we delivered the fully leased eight story, 301,000 square foot office building at Santana Row.</w:t>
      </w:r>
    </w:p>
    <w:p>
      <w:pPr>
        <w:ind w:left="660" w:right="8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first phase of construction on the 12 acres of land that we control across from Santana Row includes an eight story 376,000 square foot office building, with over 1,700 parking spaces. The building is expected to cost between $250 million and $270 million with openings beginning in 2022.</w:t>
      </w:r>
    </w:p>
    <w:p>
      <w:pPr>
        <w:spacing w:after="0" w:line="2" w:lineRule="exact"/>
        <w:rPr>
          <w:rFonts w:ascii="Arial" w:cs="Arial" w:eastAsia="Arial" w:hAnsi="Arial"/>
          <w:sz w:val="18"/>
          <w:szCs w:val="18"/>
          <w:color w:val="auto"/>
        </w:rPr>
      </w:pPr>
    </w:p>
    <w:p>
      <w:pPr>
        <w:jc w:val="both"/>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2021.</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Pike &amp; Rose, we are continuing construction on a 212,000 square foot office building (which includes 4,000 square feet of ground floor retail space), and will include over 600 additional parking spaces. The building is expected to cost between $128 million and $135 million and is projected to open beginning in 2020.</w:t>
      </w:r>
    </w:p>
    <w:p>
      <w:pPr>
        <w:spacing w:after="0" w:line="1" w:lineRule="exact"/>
        <w:rPr>
          <w:rFonts w:ascii="Arial" w:cs="Arial" w:eastAsia="Arial" w:hAnsi="Arial"/>
          <w:sz w:val="18"/>
          <w:szCs w:val="18"/>
          <w:color w:val="auto"/>
        </w:rPr>
      </w:pPr>
    </w:p>
    <w:p>
      <w:pPr>
        <w:ind w:left="660" w:right="22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$315 million that we expect to stabilize over the next several years.</w:t>
      </w:r>
    </w:p>
    <w:p>
      <w:pPr>
        <w:spacing w:after="0" w:line="18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above includes our best estimates based on information currently known, however, the completion of construction, final costs, and the timing of openings will be dependent upon the duration of governmental restrictions and the duration and severity of the economic impacts of COVID-19.</w:t>
      </w:r>
    </w:p>
    <w:p>
      <w:pPr>
        <w:spacing w:after="0" w:line="7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March 31, 2020, the leasable square feet in our properties was 93.6% leased and 91.5%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For the first quarter of 2020, we signed leases for a total of 491,000 square feet of retail space including 466,000 square feet of comparable space leases (leases for which there was a prior tenant) at an average rental increase of 5% on a cash basis. New leases for comparable spaces were signed for 151,000 square feet at an average rental increase of 8% on a cash basis. Renewals for comparable spaces were signed for 315,000 square feet at an average rental increase of 3% on a cash basis. Tenant improvements and incentives for comparable spaces were $31.37 per square foot, of which, $88.61 per square foot was for new leases and $3.93 per square foot was for renewals for the three months ended March 31, 2020.</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 Costs related to redevelopments requires judgment by management in determining what reflects base building costs and thus, is not included in the "tenant improvements and incentives" amount.</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leases signed in 2020 generally become effective over the following two years though some may not become effective until 2023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Historically, we have executed comparable space leases for 1.3 to 1.9 million square feet of retail space each year, however, we expect that volume and potentially rental rate increases for 2020 to be negatively impacted by the COVID-19 pandemic.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2020, all or a portion of 97 properties were considered comparable properties and eight properties were considered non-comparable properties. For the three months ended March 31, 2020, two properties and two portions of properties were moved from non-comparable properties to comparable properties, one property was moved from comparable properties to non-comparable properties, and one property was moved from acquisitions to non-comparable properties, compared to the designations for the year ended December 31, 2019.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MARCH 31, 2020 AND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r>
      <w:tr>
        <w:trPr>
          <w:trHeight w:val="264"/>
        </w:trPr>
        <w:tc>
          <w:tcPr>
            <w:tcW w:w="5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 amounts in thousands)</w:t>
            </w:r>
          </w:p>
        </w:tc>
        <w:tc>
          <w:tcPr>
            <w:tcW w:w="840" w:type="dxa"/>
            <w:vAlign w:val="bottom"/>
          </w:tcPr>
          <w:p>
            <w:pPr>
              <w:spacing w:after="0"/>
              <w:rPr>
                <w:sz w:val="17"/>
                <w:szCs w:val="17"/>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230,798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231,492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232,227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44,260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37"/>
        </w:trPr>
        <w:tc>
          <w:tcPr>
            <w:tcW w:w="574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71,947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1,429</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(686)</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7"/>
        </w:trPr>
        <w:tc>
          <w:tcPr>
            <w:tcW w:w="57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91,093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(5,351)</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partnerships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7"/>
        </w:trPr>
        <w:tc>
          <w:tcPr>
            <w:tcW w:w="574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54,763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60,144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Total property revenue decreased $0.7 million, or 0.3%, to $231.6 million in the three months ended March 31, 2020 compared to $232.2 million in the three months ended March 31, 2019. The percentage occupied at our shopping centers was 91.5% at March 31, 2020 compared to 93.0% at March 31, 2019. Changes in the components of property revenue are discussed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decreased $0.7 million, or 0.3%, to $230.8 million in the three months ended March 31, 2020 compared to $231.5 million in the three months ended March 31, 2019 due primarily to the following:</w:t>
      </w:r>
    </w:p>
    <w:p>
      <w:pPr>
        <w:spacing w:after="0" w:line="22" w:lineRule="exact"/>
        <w:rPr>
          <w:sz w:val="20"/>
          <w:szCs w:val="20"/>
          <w:color w:val="auto"/>
        </w:rPr>
      </w:pPr>
    </w:p>
    <w:p>
      <w:pPr>
        <w:ind w:left="1140" w:hanging="241"/>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$4.6 million from comparable properties due primarily to higher to collectibility adjustments of $2.7 million which is primarily the result of COVID-19 impacts, lower lease termination fees of $2.7 million, lower recoveries of $2.0 million primarily the result of lower snow removal expense, and lower average occupancy of approximately $1.9 million, partially offset by higher rental rates of approximately $4.6 million and,</w:t>
      </w:r>
    </w:p>
    <w:p>
      <w:pPr>
        <w:spacing w:after="0" w:line="24" w:lineRule="exact"/>
        <w:rPr>
          <w:rFonts w:ascii="Arial" w:cs="Arial" w:eastAsia="Arial" w:hAnsi="Arial"/>
          <w:sz w:val="18"/>
          <w:szCs w:val="18"/>
          <w:color w:val="auto"/>
        </w:rPr>
      </w:pPr>
    </w:p>
    <w:p>
      <w:pPr>
        <w:ind w:left="1140" w:hanging="24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$3.6 million from our 2019 property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120" w:hanging="241"/>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$5.0 million from acquisitions of Hoboken during the second half of 2019 and early 2020, Georgetowne Shopping Center in November 2019, and Fairfax Junction in February 2019 and January 2020 and,</w:t>
      </w:r>
    </w:p>
    <w:p>
      <w:pPr>
        <w:spacing w:after="0" w:line="8" w:lineRule="exact"/>
        <w:rPr>
          <w:rFonts w:ascii="Arial" w:cs="Arial" w:eastAsia="Arial" w:hAnsi="Arial"/>
          <w:sz w:val="18"/>
          <w:szCs w:val="18"/>
          <w:color w:val="auto"/>
        </w:rPr>
      </w:pPr>
    </w:p>
    <w:p>
      <w:pPr>
        <w:ind w:left="1140" w:right="340" w:hanging="241"/>
        <w:spacing w:after="0" w:line="26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$2.4 million from non-comparable properties due primarily to the openings of our new office building at Santana Row in early 2020 and Phase II at Assembly Row and Pike &amp; Rose, and the opening of one of our retail redevelopments, partially offset by redevelopment related occupancy decreases at three properties.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property expenses increased $1.4 million, or 2.0%, to $73.4 million in the three months ended March 31, 2020 compared to $71.9 million in the three months ended March 31, 2019.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Rental expenses were $44.3 million for both the three months ended March 31, 2020 and 2019, with the minimal increase driven by the following:</w:t>
      </w:r>
    </w:p>
    <w:p>
      <w:pPr>
        <w:spacing w:after="0" w:line="75" w:lineRule="exact"/>
        <w:rPr>
          <w:sz w:val="20"/>
          <w:szCs w:val="20"/>
          <w:color w:val="auto"/>
        </w:rPr>
      </w:pPr>
    </w:p>
    <w:p>
      <w:pPr>
        <w:ind w:left="1140" w:right="120" w:hanging="241"/>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$0.9 million from acquisitions of Hoboken during the second half of 2019 and early 2020, Georgetowne Shopping Center in November 2019, and Fairfax Junction in February 2019 and January 2020, and</w:t>
      </w:r>
    </w:p>
    <w:p>
      <w:pPr>
        <w:spacing w:after="0" w:line="8" w:lineRule="exact"/>
        <w:rPr>
          <w:rFonts w:ascii="Arial" w:cs="Arial" w:eastAsia="Arial" w:hAnsi="Arial"/>
          <w:sz w:val="18"/>
          <w:szCs w:val="18"/>
          <w:color w:val="auto"/>
        </w:rPr>
      </w:pPr>
    </w:p>
    <w:p>
      <w:pPr>
        <w:ind w:left="1140" w:right="20" w:hanging="241"/>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$0.5 million from non-comparable properties due primarily to the opening of our new office building at Santana Row in early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which were offset by,</w:t>
      </w:r>
    </w:p>
    <w:p>
      <w:pPr>
        <w:spacing w:after="0" w:line="63" w:lineRule="exact"/>
        <w:rPr>
          <w:sz w:val="20"/>
          <w:szCs w:val="20"/>
          <w:color w:val="auto"/>
        </w:rPr>
      </w:pPr>
    </w:p>
    <w:p>
      <w:pPr>
        <w:ind w:left="1140" w:right="180" w:hanging="241"/>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$1.2 million from comparable properties due primarily to lower snow removal expense partially offset by higher repairs and maintenance costs and higher non-recoverable operating expenses,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$0.5 million from our 2019 property sales.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19.2% in the three months ended March 31, 2020 from 19.1% in the three months ended March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160"/>
        <w:spacing w:after="0" w:line="298" w:lineRule="auto"/>
        <w:rPr>
          <w:sz w:val="20"/>
          <w:szCs w:val="20"/>
          <w:color w:val="auto"/>
        </w:rPr>
      </w:pPr>
      <w:r>
        <w:rPr>
          <w:rFonts w:ascii="Arial" w:cs="Arial" w:eastAsia="Arial" w:hAnsi="Arial"/>
          <w:sz w:val="17"/>
          <w:szCs w:val="17"/>
          <w:color w:val="auto"/>
        </w:rPr>
        <w:t>Real estate tax expense increased $1.4 million, or 5.0%, to $29.1 million in the three months ended March 31, 2020 compared to $27.7 million in the three months ended March 31, 2019. This increase is primarily due to the following:</w:t>
      </w:r>
    </w:p>
    <w:p>
      <w:pPr>
        <w:spacing w:after="0" w:line="1" w:lineRule="exact"/>
        <w:rPr>
          <w:sz w:val="20"/>
          <w:szCs w:val="20"/>
          <w:color w:val="auto"/>
        </w:rPr>
      </w:pPr>
    </w:p>
    <w:p>
      <w:pPr>
        <w:ind w:left="1140" w:right="120" w:hanging="241"/>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$0.8 million from acquisitions of Hoboken during the second half of 2019 and early 2020, Georgetowne Shopping Center in November 2019, and Fairfax Junction in February 2019 and January 2020,</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$0.4 million from comparable properties due primarily to higher assessments, and</w:t>
      </w:r>
    </w:p>
    <w:p>
      <w:pPr>
        <w:spacing w:after="0" w:line="63" w:lineRule="exact"/>
        <w:rPr>
          <w:rFonts w:ascii="Arial" w:cs="Arial" w:eastAsia="Arial" w:hAnsi="Arial"/>
          <w:sz w:val="18"/>
          <w:szCs w:val="18"/>
          <w:color w:val="auto"/>
        </w:rPr>
      </w:pPr>
    </w:p>
    <w:p>
      <w:pPr>
        <w:ind w:left="1140" w:right="20" w:hanging="241"/>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$0.4 million from non-comparable properties due primarily to the opening of our new office building at Santana Row in early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$0.3 million from our 2019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Property operating income decreased $2.1 million, or 1.3%, to $158.2 million in the three months ended March 31, 2020 compared to $160.3 million in the three months ended March 31, 2019. This decrease is due primarily to higher collectibility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adjustments largely the result of COVID-19 impacts, lower lease termination fee income, and property sales, partially offset by 2019 acquisitions and the opening of our new office building at Santana Row in early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 increased $0.7 million, or 7.2%, to $10.3 million in the three months ended March 31, 2020 from $9.6 million in the three months ended March 31, 2019. This increase is due primarily to higher personnel related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Depreciation and amortization expense increased $2.6 million, or 4.3%, to $62.2 million in the three months ended March 31, 2020 from $59.6 million in the three months ended March 31, 2019. This increase is due primarily to 2019 acquisitions and the opening of our new office building at Santana Row in early 2020, partially offset by 2019 property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Operating income decreased $5.4 million, or 5.9%, to $85.7 million in the three months ended March 31, 2020 compared to $91.1 million in the three months ended March 31, 2019. This decrease is due primarily to higher collectibility adjustments largely the result of COVID-19 impacts, lower lease termination fee income, and property sales, partially offset by 2019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increased $0.4 million, or 1.5%, to $28.4 million in the three months ended March 31, 2020 compared to $28.0 million in the three months ended March 31, 2019. This increase is due primarily to the following:</w:t>
      </w:r>
    </w:p>
    <w:p>
      <w:pPr>
        <w:spacing w:after="0" w:line="8" w:lineRule="exact"/>
        <w:rPr>
          <w:sz w:val="20"/>
          <w:szCs w:val="20"/>
          <w:color w:val="auto"/>
        </w:rPr>
      </w:pPr>
    </w:p>
    <w:p>
      <w:pPr>
        <w:ind w:left="1140" w:hanging="241"/>
        <w:spacing w:after="0" w:line="263"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$1.6 million due to higher weighted average borrowings primarily from the $400 million issuance of our 3.20% notes in 2019 and $106.9 million of mortgage loans associated with our Hoboken acquisitions, partially offset by the repayment of our $275.0 million term loan in June 2019, and</w:t>
      </w:r>
    </w:p>
    <w:p>
      <w:pPr>
        <w:spacing w:after="0" w:line="21" w:lineRule="exact"/>
        <w:rPr>
          <w:rFonts w:ascii="Arial" w:cs="Arial" w:eastAsia="Arial" w:hAnsi="Arial"/>
          <w:sz w:val="18"/>
          <w:szCs w:val="18"/>
          <w:color w:val="auto"/>
        </w:rPr>
      </w:pPr>
    </w:p>
    <w:p>
      <w:pPr>
        <w:ind w:left="1140" w:right="38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$0.6 million from higher borrowings on our revolving credit facility in response to the COVID-19 pandemic (see further discussion in Note 4 to our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200" w:hanging="241"/>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$1.2 million capitalized interest, primarily attributable to the development of Phase III of Assembly Row and Pike &amp; Rose,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$0.6 million due to a lower overall weighted average borrowing rate.</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interest costs were $34.2 million and $32.6 million in the three months ended March 31, 2020 and 2019, respectively. Capitalized interest was $5.7 million and $4.5 million for the three months ended March 31, 2020 and 2019, respectively.</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Due to the nature of our business and strategy, we typically generate significant amounts of cash from operations which is largely paid to our common and preferred shareholders in the form of dividends because as a REIT, we are generally required to make annual distributions to shareholders of at least 90% of our taxable income.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the COVID-19 impacts are unknown, we currently expect a short term decrease in cash from operations as our tenants are impacted by the pandemic and, while contractually obligated, some have not paid rent during April 2020 (see further discussion under the "Outlook" section of this Item 2). In order to strengthen our financial position and balance sheet, to maximize liquidity, and to provide maximum flexibility as the effects of the COVID-19 pandemic continue to evolve, in March 2020, we borrowed $990.0 million under our revolving credit facility, representing a draw-down of almost the entirety of our $1.0 billion credit facility.</w:t>
      </w:r>
    </w:p>
    <w:p>
      <w:pPr>
        <w:spacing w:after="0" w:line="13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March 31, 2020, we had cash and cash equivalents of $994.7 million and $990.0 million outstanding on our revolving credit facility. During the three months ended March 31, 2020, our weighted average borrowing rate on the revolving credit facility, before amortization of debt fees, was 1.7%. As of March 31, 2020, we had the capacity to issue up to $128.3 million in common shares under our ATM equity program.</w:t>
      </w:r>
    </w:p>
    <w:p>
      <w:pPr>
        <w:spacing w:after="0" w:line="1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Over the next 12 months, we have $314.2 million of debt maturing. Additionally, our overall capital requirements for the remainder of 2020 will depend upon the duration of government mandated closures and the overall economic impact of COVD-19, as well as general timing of our redevelopment and development activities. Given those impacts, we currently expect to see lower levels of capital investments in our properties under development and redevelopment compared to the quarter ended March 31, 2020 and recent years.</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believe that the cash </w:t>
      </w:r>
      <w:r>
        <w:rPr>
          <w:rFonts w:ascii="Arial" w:cs="Arial" w:eastAsia="Arial" w:hAnsi="Arial"/>
          <w:sz w:val="18"/>
          <w:szCs w:val="18"/>
          <w:color w:val="212529"/>
        </w:rPr>
        <w:t>on our balance sheet together with rents we collect will allow us to continue to operate our business in the near-term.</w:t>
      </w:r>
      <w:r>
        <w:rPr>
          <w:rFonts w:ascii="Arial" w:cs="Arial" w:eastAsia="Arial" w:hAnsi="Arial"/>
          <w:sz w:val="18"/>
          <w:szCs w:val="18"/>
          <w:color w:val="auto"/>
        </w:rPr>
        <w:t xml:space="preserve"> Given our past ability to access the capital markets, we also expect debt or equity to be available to us. We may also further delay the timing of certain development and redevelopment projects as well as limit future acquisitions, reduce our operating expenditures, or re-evaluate our dividend policy. We continue to monitor governmental financial assistance programs being made available to address impacts of COVID-19 and may access one or more of these programs to supplement our liquidity if we qualify for them.</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While the COVID-19 pandemic will negatively impact our business in the short term, we maintain our long term commitment to a conservative capital structure that will allow us to maintain strong debt service coverage and fixed-charge coverage ratios as part of our commitment to investment-grade debt ratings.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196"/>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118,749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104,919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(151,832)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(104,037)</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898,895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865,812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(26,120)</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153,614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108,332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1,019,426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82,212</w:t>
            </w:r>
          </w:p>
        </w:tc>
      </w:tr>
      <w:tr>
        <w:trPr>
          <w:trHeight w:val="27"/>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Net cash provided by operating activities increased $13.8 million to $118.7 million during the three months ended March 31, 2020 from $104.9 million during the three months ended March 31, 2019. The increase was primarily attributable to lower prepaid expenses and timing of cash receipts, partially offset by lower net income before non-cash items.</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used in investing activities increased $47.8 million to $151.8 million during the three months ended March 31, 2020 from $104.0 million during the three months ended March 31, 2019. The increase was primarily attributable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75" w:lineRule="exact"/>
        <w:rPr>
          <w:sz w:val="20"/>
          <w:szCs w:val="20"/>
          <w:color w:val="auto"/>
        </w:rPr>
      </w:pPr>
    </w:p>
    <w:p>
      <w:pPr>
        <w:ind w:left="1140" w:right="800" w:hanging="241"/>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$44.9 million increase in capital expenditures as we continue to invest in Pike &amp; Rose, Assembly Row, Santana Row and other redevelopments,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$17.4 million for costs paid in 2020 relating to the partial sale under threat of condemnation at San Antonio Center in 2019, and</w:t>
      </w:r>
    </w:p>
    <w:p>
      <w:pPr>
        <w:spacing w:after="0" w:line="74" w:lineRule="exact"/>
        <w:rPr>
          <w:rFonts w:ascii="Arial" w:cs="Arial" w:eastAsia="Arial" w:hAnsi="Arial"/>
          <w:sz w:val="17"/>
          <w:szCs w:val="17"/>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$6.1 million in proceeds in 2019 from the sale of condominiums at our Assembly Row and Pike &amp; Rose properties,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$18.1 million decrease in acquisition of real estate, primarily due to the February 2019 acquisition of Fairfax Junction, partially offset by the acquisition of two buildings in Hoboken, New Jersey in February 2020.</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cash provided by financing activities increased $925.9 million to $898.9 million during the three months ended March 31, 2020 from $27.0 million used in the three months ended March 31, 2019. The increase was primarily attributable to:</w:t>
      </w:r>
    </w:p>
    <w:p>
      <w:pPr>
        <w:spacing w:after="0" w:line="8" w:lineRule="exact"/>
        <w:rPr>
          <w:sz w:val="20"/>
          <w:szCs w:val="20"/>
          <w:color w:val="auto"/>
        </w:rPr>
      </w:pPr>
    </w:p>
    <w:p>
      <w:pPr>
        <w:ind w:left="1140" w:right="620" w:hanging="241"/>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$970.0 million net increase in borrowings on our revolving credit facility to provide maximum flexibility and liquidity during the COVID-19 pandemic, and</w:t>
      </w:r>
    </w:p>
    <w:p>
      <w:pPr>
        <w:spacing w:after="0" w:line="8" w:lineRule="exact"/>
        <w:rPr>
          <w:rFonts w:ascii="Arial" w:cs="Arial" w:eastAsia="Arial" w:hAnsi="Arial"/>
          <w:sz w:val="18"/>
          <w:szCs w:val="18"/>
          <w:color w:val="auto"/>
        </w:rPr>
      </w:pPr>
    </w:p>
    <w:p>
      <w:pPr>
        <w:ind w:left="1140" w:right="100" w:hanging="241"/>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$20.2 million decrease in repayment of mortgages, finance leases, and notes payable primarily due to the payoff of the mortgage loan on Rollingwood Apartments in January 2019,</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440" w:hanging="241"/>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$59.4 million decrease in net proceeds from the issuance of common shares under our ATM program during the three months ended March 31,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26" w:right="37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Stated Interest Rate as of</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as of March 31,</w:t>
            </w: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2020</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540" w:type="dxa"/>
            <w:vAlign w:val="bottom"/>
            <w:tcBorders>
              <w:top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61,585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3,816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Plaza Del Sol</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8,183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67,025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Bell Gardens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12,611</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Hoboken (24 Buildings) (1)</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+ 1.95%</w:t>
            </w: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 Hoboken (14 Buildings) (2)</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33,342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5,508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Hoboken (1 Building) (3)</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16,796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554,653</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Total mortgages payable, net</w:t>
            </w: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552,813</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Revolving credit facility (4)</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1,000,000</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990,000</w:t>
            </w:r>
          </w:p>
        </w:tc>
        <w:tc>
          <w:tcPr>
            <w:tcW w:w="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+ 0.775%</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3,812</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993,812</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Total notes payable, net</w:t>
            </w: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993,752</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2.55%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3.25%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6.82% medium term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3.20%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2,819,200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720"/>
              <w:spacing w:after="0"/>
              <w:rPr>
                <w:sz w:val="20"/>
                <w:szCs w:val="20"/>
                <w:color w:val="auto"/>
              </w:rPr>
            </w:pPr>
            <w:r>
              <w:rPr>
                <w:rFonts w:ascii="Arial" w:cs="Arial" w:eastAsia="Arial" w:hAnsi="Arial"/>
                <w:sz w:val="16"/>
                <w:szCs w:val="16"/>
                <w:color w:val="auto"/>
              </w:rPr>
              <w:t>Total senior notes and debentures, net</w:t>
            </w:r>
          </w:p>
        </w:tc>
        <w:tc>
          <w:tcPr>
            <w:tcW w:w="1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2,807,848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Total debt, net</w:t>
            </w:r>
          </w:p>
        </w:tc>
        <w:tc>
          <w:tcPr>
            <w:tcW w:w="1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4,354,413</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this mortgage loan at 3.67%.</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8" w:lineRule="exact"/>
        <w:rPr>
          <w:rFonts w:ascii="Arial" w:cs="Arial" w:eastAsia="Arial" w:hAnsi="Arial"/>
          <w:sz w:val="18"/>
          <w:szCs w:val="18"/>
          <w:color w:val="auto"/>
        </w:rPr>
      </w:pPr>
    </w:p>
    <w:p>
      <w:pPr>
        <w:ind w:left="660" w:right="50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three months ended March 31, 2020 was $990.0 million, and the weighted average interest rate on borrowings under our revolving credit facility, before amortization of debt fees, was 1.7%.</w:t>
      </w:r>
    </w:p>
    <w:p>
      <w:pPr>
        <w:sectPr>
          <w:pgSz w:w="11900" w:h="16838" w:orient="portrait"/>
          <w:cols w:equalWidth="0" w:num="1">
            <w:col w:w="11240"/>
          </w:cols>
          <w:pgMar w:left="320" w:top="126" w:right="339" w:bottom="304"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6" w:right="339" w:bottom="304"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8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March 31, 2020, we were in compliance with all financial and other covenants related to our revolving credit facility and senior notes. Additionally, as of March 31, 2020,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2020:</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Secured</w:t>
            </w:r>
          </w:p>
        </w:tc>
        <w:tc>
          <w:tcPr>
            <w:tcW w:w="320" w:type="dxa"/>
            <w:vAlign w:val="bottom"/>
          </w:tcPr>
          <w:p>
            <w:pPr>
              <w:spacing w:after="0"/>
              <w:rPr>
                <w:sz w:val="16"/>
                <w:szCs w:val="16"/>
                <w:color w:val="auto"/>
              </w:rPr>
            </w:pPr>
          </w:p>
        </w:tc>
        <w:tc>
          <w:tcPr>
            <w:tcW w:w="14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64,963</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65,545</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250,680</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31,756</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282,436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250,756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119,706</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370,462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275,775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3,549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279,324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1,290,665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3,688</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1,294,353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1,744,554</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330,991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2,075,545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3,813,012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554,653</w:t>
            </w: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4,367,665  (2)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20" w:right="400" w:hanging="812"/>
        <w:spacing w:after="0" w:line="277" w:lineRule="auto"/>
        <w:tabs>
          <w:tab w:leader="none" w:pos="1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March 31, 2020, there was $990.0 million outstanding under this credit facility.</w:t>
      </w:r>
    </w:p>
    <w:p>
      <w:pPr>
        <w:spacing w:after="0" w:line="8" w:lineRule="exact"/>
        <w:rPr>
          <w:rFonts w:ascii="Arial" w:cs="Arial" w:eastAsia="Arial" w:hAnsi="Arial"/>
          <w:sz w:val="18"/>
          <w:szCs w:val="18"/>
          <w:color w:val="auto"/>
        </w:rPr>
      </w:pPr>
    </w:p>
    <w:p>
      <w:pPr>
        <w:ind w:left="820" w:right="120" w:hanging="812"/>
        <w:spacing w:after="0" w:line="277" w:lineRule="auto"/>
        <w:tabs>
          <w:tab w:leader="none" w:pos="1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March 31, 2020, we have two interest rate swap agreements that effectively fix the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earnings as of March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80" w:hanging="801"/>
        <w:spacing w:after="0" w:line="277" w:lineRule="auto"/>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6"/>
              </w:rPr>
              <w:t>(In thousands, except per share data)</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61,803</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53,489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118,383</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114,268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116,893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76,208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75,010</w:t>
            </w:r>
          </w:p>
        </w:tc>
        <w:tc>
          <w:tcPr>
            <w:tcW w:w="0" w:type="dxa"/>
            <w:vAlign w:val="bottom"/>
          </w:tcPr>
          <w:p>
            <w:pPr>
              <w:spacing w:after="0"/>
              <w:rPr>
                <w:sz w:val="1"/>
                <w:szCs w:val="1"/>
                <w:color w:val="auto"/>
              </w:rPr>
            </w:pPr>
          </w:p>
        </w:tc>
      </w:tr>
      <w:tr>
        <w:trPr>
          <w:trHeight w:val="67"/>
        </w:trPr>
        <w:tc>
          <w:tcPr>
            <w:tcW w:w="8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82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31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weighted average common shares used to compute FFO per diluted common share includes operating partnership units and our Series 1 preferred shares that were excluded from the computation of diluted EPS. Conversion of these operating partnership units and preferred shares is dilutive in the computation of FFO per diluted common share but is anti-dilutive for the computation of diluted EPS for the periods presented.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March 31, 2020, we had $3.4 billion of fixed-rate debt outstanding. If market interest rates used to calculate the fair value on our fixed-rate debt instruments at March 31, 2020 had been 1.0% higher, the fair value of those debt instruments on that date would have decreased by approximately $243.1 million. If market interest rates used to calculate the fair value on our fixed-rate debt instruments at March 31, 2020 had been 1.0% lower, the fair value of those debt instruments on that date would have increased by approximately $279.0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March 31, 2020, we had $990.0 million of variable rate debt outstanding on our revolving credit facility. Based upon this amount of variable rate debt and the specific terms, if market interest rates increased 1.0%, our annual interest expense would increase approximately $9.9 million with a corresponding decrease in our net income and cash flows for the year. Conversely, if market interest rates decreased 1.0%, our annual interest expense would decrease by approximately $9.9 million with a corresponding increase in our net income and cash flows for the year.</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2020. Based on this evaluation, our management, including our Chief Executive Officer and Chief Financial Officer, concluded that our disclosure controls and procedures were effective as of March 31, 2020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6"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2019.</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While we attempt to identify, manage and mitigate risks and uncertainties associated with our business to the extent practical under the circumstances, some level of risk and uncertainty will always be present. . “Item 1A. Risk Factors” of our Annual Report to our Form 10-K for the year ended December 31, 2019 filed with the SEC on February 10, 2020 describes some of the risks and uncertainties associated with our business. These risks and uncertainties have the potential to materially affect our business, results of operations, financial condition, cash flows, projected results and future prospects. Except for the risk factor discussed below, we do not believe that there have been any material changes to the risk factors disclosed in our 2019 Annual Report.</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Natural disasters, climate change and public health crises, including the COVID-19 pandemic, could have an adverse impact on our cash flow and operating results.</w:t>
      </w:r>
    </w:p>
    <w:p>
      <w:pPr>
        <w:spacing w:after="0" w:line="11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Climate change may add to the unpredictability and frequency of natural disasters and severe weather conditions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our business is subject to risks related to the effects of public health crises, epidemics and pandemics, including the COVID-19 pandemic. Such events could inhibit global, national and local economic activity; adversely affect trading activity in securities markets, which could negatively impact the trading prices of our common shares and debt securities and our ability to access the securities markets as a source of liquidity; adversely affect our tenants’ financial condition by limiting foot traffic and staffing at their businesses, which could affect their ability to pay rent and willingness to make new leasing commitments; reduce our cash flow, which could impact our ability to pay dividends or to service our debt; temporarily or permanently reduce the demand for retail or office space; interfere with our business operations by requiring our personnel to work remotely; increase the frequency of cyber-attacks; disrupt supply chains that could be important in our development and redevelopment activities; interfere with potential purchases and sales of properties; and have other direct and indirect effects that are difficult to predict. 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duration of stay-at-home and other government orders instituted in response to the COVID-19 pandemic, which vary by jurisdiction, or the pandemics' short and long term economic effects, each of which could have a material adverse effect on our business.</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March 31, 2020, we redeemed 28,289 downREIT operating partnership units for cash.</w:t>
      </w:r>
    </w:p>
    <w:p>
      <w:pPr>
        <w:spacing w:after="0" w:line="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6"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100" w:type="dxa"/>
            <w:vAlign w:val="bottom"/>
          </w:tcPr>
          <w:p>
            <w:pPr>
              <w:ind w:left="278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9100" w:type="dxa"/>
            <w:vAlign w:val="bottom"/>
          </w:tcPr>
          <w:p>
            <w:pPr>
              <w:spacing w:after="0"/>
              <w:rPr>
                <w:sz w:val="24"/>
                <w:szCs w:val="24"/>
                <w:color w:val="auto"/>
              </w:rPr>
            </w:pPr>
          </w:p>
        </w:tc>
      </w:tr>
      <w:tr>
        <w:trPr>
          <w:trHeight w:val="350"/>
        </w:trPr>
        <w:tc>
          <w:tcPr>
            <w:tcW w:w="1000" w:type="dxa"/>
            <w:vAlign w:val="bottom"/>
            <w:tcBorders>
              <w:top w:val="single" w:sz="8" w:color="auto"/>
            </w:tcBorders>
          </w:tcPr>
          <w:p>
            <w:pPr>
              <w:ind w:left="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3.2</w:t>
              </w:r>
            </w:hyperlink>
          </w:p>
        </w:tc>
        <w:tc>
          <w:tcPr>
            <w:tcW w:w="140" w:type="dxa"/>
            <w:vAlign w:val="bottom"/>
          </w:tcPr>
          <w:p>
            <w:pPr>
              <w:spacing w:after="0"/>
              <w:rPr>
                <w:sz w:val="24"/>
                <w:szCs w:val="24"/>
                <w:color w:val="auto"/>
              </w:rPr>
            </w:pPr>
          </w:p>
        </w:tc>
        <w:tc>
          <w:tcPr>
            <w:tcW w:w="10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1"/>
              </w:rPr>
              <w:t>Amended and Restated Bylaws of Federal Realty Investment Trust dated February 12, 2003, as amended October 29, 2003, May 5, 2004,</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rPr>
              <w:t>February 17, 2006, May 6, 2009, November 2, 2016, February 5, 2019, and April 2, 2020</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31.1</w:t>
              </w:r>
            </w:hyperlink>
          </w:p>
        </w:tc>
        <w:tc>
          <w:tcPr>
            <w:tcW w:w="140" w:type="dxa"/>
            <w:vAlign w:val="bottom"/>
          </w:tcPr>
          <w:p>
            <w:pPr>
              <w:spacing w:after="0"/>
              <w:rPr>
                <w:sz w:val="24"/>
                <w:szCs w:val="24"/>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31.2</w:t>
              </w:r>
            </w:hyperlink>
          </w:p>
        </w:tc>
        <w:tc>
          <w:tcPr>
            <w:tcW w:w="140" w:type="dxa"/>
            <w:vAlign w:val="bottom"/>
          </w:tcPr>
          <w:p>
            <w:pPr>
              <w:spacing w:after="0"/>
              <w:rPr>
                <w:sz w:val="24"/>
                <w:szCs w:val="24"/>
                <w:color w:val="auto"/>
              </w:rPr>
            </w:pP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392"/>
        </w:trPr>
        <w:tc>
          <w:tcPr>
            <w:tcW w:w="1000" w:type="dxa"/>
            <w:vAlign w:val="bottom"/>
          </w:tcPr>
          <w:p>
            <w:pPr>
              <w:ind w:left="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32.1</w:t>
              </w:r>
            </w:hyperlink>
          </w:p>
        </w:tc>
        <w:tc>
          <w:tcPr>
            <w:tcW w:w="1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w w:val="91"/>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391"/>
        </w:trPr>
        <w:tc>
          <w:tcPr>
            <w:tcW w:w="1000" w:type="dxa"/>
            <w:vAlign w:val="bottom"/>
          </w:tcPr>
          <w:p>
            <w:pPr>
              <w:ind w:left="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32.2</w:t>
              </w:r>
            </w:hyperlink>
          </w:p>
        </w:tc>
        <w:tc>
          <w:tcPr>
            <w:tcW w:w="1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w w:val="91"/>
              </w:rPr>
              <w:t>Section 1350</w:t>
            </w:r>
          </w:p>
        </w:tc>
        <w:tc>
          <w:tcPr>
            <w:tcW w:w="910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bl>
    <w:p>
      <w:pPr>
        <w:spacing w:after="0" w:line="161" w:lineRule="exact"/>
        <w:rPr>
          <w:sz w:val="20"/>
          <w:szCs w:val="20"/>
          <w:color w:val="auto"/>
        </w:rPr>
      </w:pPr>
    </w:p>
    <w:p>
      <w:pPr>
        <w:ind w:left="1160" w:right="200" w:hanging="1125"/>
        <w:spacing w:after="0" w:line="259"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March 31, 2020,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146" w:lineRule="exact"/>
        <w:rPr>
          <w:sz w:val="20"/>
          <w:szCs w:val="20"/>
          <w:color w:val="auto"/>
        </w:rPr>
      </w:pPr>
    </w:p>
    <w:p>
      <w:pPr>
        <w:ind w:left="5540" w:right="3560" w:hanging="5505"/>
        <w:spacing w:after="0" w:line="559" w:lineRule="auto"/>
        <w:tabs>
          <w:tab w:leader="none" w:pos="11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28</w:t>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520" w:val="left"/>
          <w:tab w:leader="none" w:pos="786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President, Chief Executive Officer and Trustee</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460" w:val="left"/>
          <w:tab w:leader="none" w:pos="782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72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5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70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340"/>
          </w:cols>
          <w:pgMar w:left="320" w:top="126" w:right="1239" w:bottom="1440" w:gutter="0" w:footer="0" w:header="0"/>
        </w:sectPr>
      </w:pPr>
    </w:p>
    <w:bookmarkStart w:id="29" w:name="page30"/>
    <w:bookmarkEnd w:id="29"/>
    <w:p>
      <w:pPr>
        <w:ind w:left="40"/>
        <w:spacing w:after="0"/>
        <w:rPr>
          <w:sz w:val="20"/>
          <w:szCs w:val="20"/>
          <w:color w:val="auto"/>
        </w:rPr>
      </w:pPr>
      <w:r>
        <w:rPr>
          <w:rFonts w:ascii="Arial" w:cs="Arial" w:eastAsia="Arial" w:hAnsi="Arial"/>
          <w:sz w:val="58"/>
          <w:szCs w:val="58"/>
          <w:i w:val="1"/>
          <w:iCs w:val="1"/>
          <w:color w:val="auto"/>
        </w:rPr>
        <w:drawing>
          <wp:anchor simplePos="0" relativeHeight="251657728" behindDoc="1" locked="0" layoutInCell="0" allowOverlap="1">
            <wp:simplePos x="0" y="0"/>
            <wp:positionH relativeFrom="page">
              <wp:posOffset>5908675</wp:posOffset>
            </wp:positionH>
            <wp:positionV relativeFrom="page">
              <wp:posOffset>466090</wp:posOffset>
            </wp:positionV>
            <wp:extent cx="1414780" cy="591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14780" cy="591185"/>
                    </a:xfrm>
                    <a:prstGeom prst="rect">
                      <a:avLst/>
                    </a:prstGeom>
                    <a:noFill/>
                  </pic:spPr>
                </pic:pic>
              </a:graphicData>
            </a:graphic>
          </wp:anchor>
        </w:drawing>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Federal Realty Investment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(February 12, 2003)</w:t>
      </w: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ARTICLE I</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b w:val="1"/>
          <w:bCs w:val="1"/>
          <w:i w:val="1"/>
          <w:iCs w:val="1"/>
          <w:color w:val="auto"/>
        </w:rPr>
        <w:t>OFFICES</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PRINCIPAL OFFICE. The principal office of the Trust shall be located at such place or places as the Board of Trustees may designate.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2. ADDITIONAL OFFICES. The Trust may have additional offices at such places as the Board of Trustees may from time to time determine or the business of the Trust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 PLACE. All meetings of shareholders shall be held at the principal executive office of the Trust or at such other place within the United States as shall be stated in the notice of the meeting. In determining the location of any meeting of shareholders, the Board of Trustees may determine that the meeting not be held at any place, but instead may be held solely by means of remote communication. If a meeting is held solely by means of remote communication, the Trust shall implement reasonable measures (a) to verify that each person considered present and authorized to vote at the meeting by means of remote communication is a shareholder or proxy holder and (b) to provide the shareholders and proxy holders a reasonable opportunity to participate in the meeting and to vote on matters submitted to the shareholders, including an opportunity to read or hear the proceedings of the meeting substantially concurrently with the proceedings.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ectPr>
          <w:pgSz w:w="11900" w:h="16838" w:orient="portrait"/>
          <w:cols w:equalWidth="0" w:num="1">
            <w:col w:w="11240"/>
          </w:cols>
          <w:pgMar w:left="320" w:top="881" w:right="339" w:bottom="1440" w:gutter="0" w:footer="0" w:header="0"/>
          <w:type w:val="continuous"/>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Section 8. VOTING. In any uncontested election, a majority of all the votes cast at a meeting of shareholders duly called and at which a quorum is present shall be required to elect a Trustee. A majority of the votes cast means that the number of shares voted “for” a Trustee must exceed 50% of the votes cast with respect to that Trustee. In any contested election (in which the number of nominees exceeds the number of trustees to be elected),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nominee for Trustee in an uncontested election does not receive a majority of votes cast "for" his/her election shall promptly tender his or her resignation to the Chair of the Nominating and Corporate Governance Committee following certification of the shareholder vote. The Nominating and Corporate Governance Committee shall promptly consider the resignation and recommend to the Board whether to accept the tendered resignation or reject it. In considering whether to accept or reject the tendered resignation, the Nominating and Corporate Governance Committee shall consider the stated reasons, if any, why shareholders did not cast votes "for" the election of such Trustee, the length of service and qualifications of the Trustee whose resignation has been tendered, the Trustee’s contributions to the Trust, all requirements of the Trust’s governing documents, all legal requirements and such other information and factors as members of the Nominating and Corporate Governance Committee shall determine are relevant.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Board will act on the recommendation of the Nominating and Corporate Governance Committee no later than ninety (90) days following the date of the shareholders’ meeting where the election occurred, or the date set forth in any applicable requirement of the Securities and Exchange Commission ("SEC") or the NYSE, whichever is earlier. In considering the Nominating and Corporate Governance Committee’s recommendation, the Board will analyze the factors considered by the committee and such additional information and factors the Board believes to be relevant. Following the Board's decision on the committee's recommendation, the Trust will promptly disclose the Board's decision whether to accept the resignation as tendered (providing a full explanation of the process by which the decision was reached and, if applicable, the reasons for rejecting the tendered resignation) in a press release, a filing with the SEC or other broadly disseminated means of communication. If the Board accepts a Trustee's resignation, the Board may fill the resulting vacancy or decrease the size of the Board pursuant to the Bylaws.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Trustee who tenders his or her resignation pursuant to this provision shall not participate in the Nominating and Corporate Governance Committee recommendation or Board action regarding whether or not to accept the tendered resignation. However, if each member of the Nominating and Corporate Governance Committee fails to receive a majority of "for" votes at the same election, then the non-management Trustees who did receive a majority of "for" votes shall appoint a committee amongst themselves to consider the tendered resignations and recommend to the Board whether to accept or reject them.</w:t>
      </w:r>
    </w:p>
    <w:p>
      <w:pPr>
        <w:sectPr>
          <w:pgSz w:w="11900" w:h="16838" w:orient="portrait"/>
          <w:cols w:equalWidth="0" w:num="1">
            <w:col w:w="11240"/>
          </w:cols>
          <w:pgMar w:left="320" w:top="557" w:right="339" w:bottom="1440" w:gutter="0" w:footer="0" w:header="0"/>
        </w:sectPr>
      </w:pPr>
    </w:p>
    <w:bookmarkStart w:id="31" w:name="page32"/>
    <w:bookmarkEnd w:id="31"/>
    <w:p>
      <w:pPr>
        <w:jc w:val="both"/>
        <w:spacing w:after="0" w:line="311" w:lineRule="auto"/>
        <w:rPr>
          <w:sz w:val="20"/>
          <w:szCs w:val="20"/>
          <w:color w:val="auto"/>
        </w:rPr>
      </w:pPr>
      <w:r>
        <w:rPr>
          <w:rFonts w:ascii="Arial" w:cs="Arial" w:eastAsia="Arial" w:hAnsi="Arial"/>
          <w:sz w:val="16"/>
          <w:szCs w:val="16"/>
          <w:color w:val="auto"/>
        </w:rPr>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17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NOMINATIONS AND PROPOSALS BY SHAREHOLDERS.</w:t>
      </w:r>
    </w:p>
    <w:p>
      <w:pPr>
        <w:spacing w:after="0" w:line="225"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Meetings of Shareholders.</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Trustees and the proposal of business to be considered by the shareholders may be made at an annual meeting of shareholders: (A) pursuant to the Trust’s notice of meeting; (B) by or at the direction of the Trustees; or (C) by any shareholder of the Trust who was a shareholder of record both at the</w:t>
      </w:r>
    </w:p>
    <w:p>
      <w:pPr>
        <w:sectPr>
          <w:pgSz w:w="11900" w:h="16838" w:orient="portrait"/>
          <w:cols w:equalWidth="0" w:num="1">
            <w:col w:w="11240"/>
          </w:cols>
          <w:pgMar w:left="320" w:top="557" w:right="339" w:bottom="1440" w:gutter="0" w:footer="0" w:header="0"/>
        </w:sectPr>
      </w:pPr>
    </w:p>
    <w:bookmarkStart w:id="32" w:name="page33"/>
    <w:bookmarkEnd w:id="32"/>
    <w:p>
      <w:pPr>
        <w:ind w:left="652"/>
        <w:spacing w:after="0" w:line="277" w:lineRule="auto"/>
        <w:rPr>
          <w:sz w:val="20"/>
          <w:szCs w:val="20"/>
          <w:color w:val="auto"/>
        </w:rPr>
      </w:pPr>
      <w:r>
        <w:rPr>
          <w:rFonts w:ascii="Arial" w:cs="Arial" w:eastAsia="Arial" w:hAnsi="Arial"/>
          <w:sz w:val="18"/>
          <w:szCs w:val="18"/>
          <w:color w:val="auto"/>
        </w:rPr>
        <w:t>time of giving of notice provided for in this Section 13(a) and at the time of the annual meeting, who is entitled to vote at the meeting and who complied with the notice procedures set forth in this Section 13(a).</w:t>
      </w:r>
    </w:p>
    <w:p>
      <w:pPr>
        <w:spacing w:after="0" w:line="170" w:lineRule="exact"/>
        <w:rPr>
          <w:sz w:val="20"/>
          <w:szCs w:val="20"/>
          <w:color w:val="auto"/>
        </w:rPr>
      </w:pPr>
    </w:p>
    <w:p>
      <w:pPr>
        <w:ind w:left="1032" w:hanging="384"/>
        <w:spacing w:after="0"/>
        <w:tabs>
          <w:tab w:leader="none" w:pos="1032" w:val="left"/>
        </w:tabs>
        <w:numPr>
          <w:ilvl w:val="1"/>
          <w:numId w:val="26"/>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shareholder pursuant to clause (C) of paragraph (a)</w:t>
      </w:r>
    </w:p>
    <w:p>
      <w:pPr>
        <w:spacing w:after="0" w:line="46" w:lineRule="exact"/>
        <w:rPr>
          <w:rFonts w:ascii="Arial" w:cs="Arial" w:eastAsia="Arial" w:hAnsi="Arial"/>
          <w:sz w:val="16"/>
          <w:szCs w:val="16"/>
          <w:color w:val="auto"/>
        </w:rPr>
      </w:pPr>
    </w:p>
    <w:p>
      <w:pPr>
        <w:ind w:left="652" w:hanging="4"/>
        <w:spacing w:after="0" w:line="277" w:lineRule="auto"/>
        <w:tabs>
          <w:tab w:leader="none" w:pos="907" w:val="left"/>
        </w:tabs>
        <w:numPr>
          <w:ilvl w:val="1"/>
          <w:numId w:val="27"/>
        </w:numPr>
        <w:rPr>
          <w:rFonts w:ascii="Arial" w:cs="Arial" w:eastAsia="Arial" w:hAnsi="Arial"/>
          <w:sz w:val="16"/>
          <w:szCs w:val="16"/>
          <w:color w:val="auto"/>
        </w:rPr>
      </w:pPr>
      <w:r>
        <w:rPr>
          <w:rFonts w:ascii="Arial" w:cs="Arial" w:eastAsia="Arial" w:hAnsi="Arial"/>
          <w:sz w:val="16"/>
          <w:szCs w:val="16"/>
          <w:color w:val="auto"/>
        </w:rPr>
        <w:t>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(A)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nomineeand to serving as a Trustee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(C) as to the shareholder giving the notice and the beneficial owner, if any, on whose behalf the nomination or proposal is made: (i) the name and address of such shareholder, as they appear on the Trust’s books, and of such beneficial owner; and (ii) the number of each class of shares of the Trust which are owned beneficially and of record by such shareholder and such beneficial owner.</w:t>
      </w:r>
    </w:p>
    <w:p>
      <w:pPr>
        <w:spacing w:after="0" w:line="184" w:lineRule="exact"/>
        <w:rPr>
          <w:rFonts w:ascii="Arial" w:cs="Arial" w:eastAsia="Arial" w:hAnsi="Arial"/>
          <w:sz w:val="16"/>
          <w:szCs w:val="16"/>
          <w:color w:val="auto"/>
        </w:rPr>
      </w:pPr>
    </w:p>
    <w:p>
      <w:pPr>
        <w:jc w:val="both"/>
        <w:ind w:left="652" w:hanging="4"/>
        <w:spacing w:after="0" w:line="273" w:lineRule="auto"/>
        <w:tabs>
          <w:tab w:leader="none" w:pos="1127"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(a)(2)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177" w:lineRule="exact"/>
        <w:rPr>
          <w:rFonts w:ascii="Arial" w:cs="Arial" w:eastAsia="Arial" w:hAnsi="Arial"/>
          <w:sz w:val="17"/>
          <w:szCs w:val="17"/>
          <w:color w:val="auto"/>
        </w:rPr>
      </w:pPr>
    </w:p>
    <w:p>
      <w:pPr>
        <w:jc w:val="both"/>
        <w:ind w:left="-8" w:firstLine="8"/>
        <w:spacing w:after="0" w:line="287" w:lineRule="auto"/>
        <w:tabs>
          <w:tab w:leader="none" w:pos="4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w:t>
      </w:r>
    </w:p>
    <w:p>
      <w:pPr>
        <w:spacing w:after="0" w:line="2" w:lineRule="exact"/>
        <w:rPr>
          <w:rFonts w:ascii="Arial" w:cs="Arial" w:eastAsia="Arial" w:hAnsi="Arial"/>
          <w:sz w:val="16"/>
          <w:szCs w:val="16"/>
          <w:color w:val="auto"/>
        </w:rPr>
      </w:pPr>
    </w:p>
    <w:p>
      <w:pPr>
        <w:jc w:val="both"/>
        <w:ind w:left="-8" w:firstLine="8"/>
        <w:spacing w:after="0" w:line="268" w:lineRule="auto"/>
        <w:tabs>
          <w:tab w:leader="none" w:pos="3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178" w:lineRule="exact"/>
        <w:rPr>
          <w:rFonts w:ascii="Arial" w:cs="Arial" w:eastAsia="Arial" w:hAnsi="Arial"/>
          <w:sz w:val="17"/>
          <w:szCs w:val="17"/>
          <w:color w:val="auto"/>
        </w:rPr>
      </w:pPr>
    </w:p>
    <w:p>
      <w:pPr>
        <w:ind w:left="372" w:hanging="372"/>
        <w:spacing w:after="0"/>
        <w:tabs>
          <w:tab w:leader="none" w:pos="3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jc w:val="both"/>
        <w:ind w:left="652" w:hanging="4"/>
        <w:spacing w:after="0" w:line="257" w:lineRule="auto"/>
        <w:tabs>
          <w:tab w:leader="none" w:pos="10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w:t>
      </w:r>
    </w:p>
    <w:p>
      <w:pPr>
        <w:sectPr>
          <w:pgSz w:w="11900" w:h="16838" w:orient="portrait"/>
          <w:cols w:equalWidth="0" w:num="1">
            <w:col w:w="11232"/>
          </w:cols>
          <w:pgMar w:left="328" w:top="557"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color w:val="auto"/>
        </w:rPr>
        <w:t>if any proposed nomination or business is not in compliance with this Section 13, to declare that such nomination or proposal shall be disregarded.</w:t>
      </w:r>
    </w:p>
    <w:p>
      <w:pPr>
        <w:spacing w:after="0" w:line="248" w:lineRule="exact"/>
        <w:rPr>
          <w:sz w:val="20"/>
          <w:szCs w:val="20"/>
          <w:color w:val="auto"/>
        </w:rPr>
      </w:pPr>
    </w:p>
    <w:p>
      <w:pPr>
        <w:jc w:val="both"/>
        <w:ind w:left="660" w:hanging="4"/>
        <w:spacing w:after="0" w:line="263" w:lineRule="auto"/>
        <w:tabs>
          <w:tab w:leader="none" w:pos="10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183" w:lineRule="exact"/>
        <w:rPr>
          <w:rFonts w:ascii="Arial" w:cs="Arial" w:eastAsia="Arial" w:hAnsi="Arial"/>
          <w:sz w:val="18"/>
          <w:szCs w:val="18"/>
          <w:color w:val="auto"/>
        </w:rPr>
      </w:pPr>
    </w:p>
    <w:p>
      <w:pPr>
        <w:jc w:val="both"/>
        <w:ind w:left="660" w:hanging="4"/>
        <w:spacing w:after="0" w:line="259" w:lineRule="auto"/>
        <w:tabs>
          <w:tab w:leader="none" w:pos="10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1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INFORMAL ACTION BY SHAREHOLDERS.</w:t>
      </w:r>
    </w:p>
    <w:p>
      <w:pPr>
        <w:spacing w:after="0" w:line="225" w:lineRule="exact"/>
        <w:rPr>
          <w:sz w:val="20"/>
          <w:szCs w:val="20"/>
          <w:color w:val="auto"/>
        </w:rPr>
      </w:pPr>
    </w:p>
    <w:p>
      <w:pPr>
        <w:ind w:right="20" w:firstLine="8"/>
        <w:spacing w:after="0" w:line="342" w:lineRule="auto"/>
        <w:tabs>
          <w:tab w:leader="none" w:pos="37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123" w:lineRule="exact"/>
        <w:rPr>
          <w:rFonts w:ascii="Arial" w:cs="Arial" w:eastAsia="Arial" w:hAnsi="Arial"/>
          <w:sz w:val="16"/>
          <w:szCs w:val="16"/>
          <w:color w:val="auto"/>
        </w:rPr>
      </w:pPr>
    </w:p>
    <w:p>
      <w:pPr>
        <w:jc w:val="both"/>
        <w:ind w:firstLine="8"/>
        <w:spacing w:after="0" w:line="268" w:lineRule="auto"/>
        <w:tabs>
          <w:tab w:leader="none" w:pos="4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15. VOTING BY BALLOT. Voting on any question or in any election may be viva voce unless the presiding officer shall order or any shareholder shall demand that voting be by ballot.</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ARTICLE III</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b w:val="1"/>
          <w:bCs w:val="1"/>
          <w:i w:val="1"/>
          <w:iCs w:val="1"/>
          <w:color w:val="auto"/>
        </w:rPr>
        <w:t>TRUSTEES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less than a majority of Trustees on the Board of Trustees that fail to satisfy the definitions for independence as established from time to time in the Securities Exchange Act of 1934, the New York Stock Exchange’s Listed Company Manual and other laws, rules and regulations applicable to the Trust from time to time.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five (5) or more than ten (10).</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ectPr>
          <w:pgSz w:w="11900" w:h="16838" w:orient="portrait"/>
          <w:cols w:equalWidth="0" w:num="1">
            <w:col w:w="11240"/>
          </w:cols>
          <w:pgMar w:left="320" w:top="557" w:right="339" w:bottom="1440" w:gutter="0" w:footer="0" w:header="0"/>
        </w:sectPr>
      </w:pPr>
    </w:p>
    <w:bookmarkStart w:id="34" w:name="page35"/>
    <w:bookmarkEnd w:id="34"/>
    <w:p>
      <w:pPr>
        <w:jc w:val="both"/>
        <w:spacing w:after="0" w:line="311" w:lineRule="auto"/>
        <w:rPr>
          <w:sz w:val="20"/>
          <w:szCs w:val="20"/>
          <w:color w:val="auto"/>
        </w:rPr>
      </w:pPr>
      <w:r>
        <w:rPr>
          <w:rFonts w:ascii="Arial" w:cs="Arial" w:eastAsia="Arial" w:hAnsi="Arial"/>
          <w:sz w:val="16"/>
          <w:szCs w:val="16"/>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17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COMPENSATION; FINANCIAL ASSISTANCE.</w:t>
      </w:r>
    </w:p>
    <w:p>
      <w:pPr>
        <w:spacing w:after="0" w:line="225" w:lineRule="exact"/>
        <w:rPr>
          <w:sz w:val="20"/>
          <w:szCs w:val="20"/>
          <w:color w:val="auto"/>
        </w:rPr>
      </w:pPr>
    </w:p>
    <w:p>
      <w:pPr>
        <w:jc w:val="both"/>
        <w:ind w:firstLine="8"/>
        <w:spacing w:after="0" w:line="255" w:lineRule="auto"/>
        <w:tabs>
          <w:tab w:leader="none" w:pos="3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192" w:lineRule="exact"/>
        <w:rPr>
          <w:rFonts w:ascii="Arial" w:cs="Arial" w:eastAsia="Arial" w:hAnsi="Arial"/>
          <w:sz w:val="18"/>
          <w:szCs w:val="18"/>
          <w:color w:val="auto"/>
        </w:rPr>
      </w:pPr>
    </w:p>
    <w:p>
      <w:pPr>
        <w:jc w:val="both"/>
        <w:ind w:right="20" w:firstLine="8"/>
        <w:spacing w:after="0" w:line="263" w:lineRule="auto"/>
        <w:tabs>
          <w:tab w:leader="none" w:pos="3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ectPr>
          <w:pgSz w:w="11900" w:h="16838" w:orient="portrait"/>
          <w:cols w:equalWidth="0" w:num="1">
            <w:col w:w="11240"/>
          </w:cols>
          <w:pgMar w:left="320" w:top="557" w:right="339" w:bottom="1440" w:gutter="0" w:footer="0" w:header="0"/>
        </w:sectPr>
      </w:pPr>
    </w:p>
    <w:bookmarkStart w:id="35" w:name="page36"/>
    <w:bookmarkEnd w:id="35"/>
    <w:p>
      <w:pPr>
        <w:spacing w:after="0"/>
        <w:tabs>
          <w:tab w:leader="none" w:pos="9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REMOVAL OF TRUSTEES. The shareholders may, at any time, remove any Trustee in the manner provided in the Declaration of Trust.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14. SURETY BONDS. Unless required by law, no Trustee shall be obligated to give any bond or surety or other security for the performance of any of his duties.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 of Trustees.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18. CHAIRMAN OF THE BOARD OF TRUSTEES. The Board of Trustees may elect from among the Trustees a Chairman of the Board of Trustees by the affirmative vote of a majority of the full Board of Trustees taken at any regular or special meeting of the Trustees. The Chairman shall preside over the meetings of shareholders and the meetings of the Trustees at which he shall be present. The Chairman may be removed at any time by the affirmative vote of a majority of the full Board of Trustees taken at any regular or special meeting of the Trustees. The Chairman may resign from the position of Chairman at any time by written notice to the Board of Trustees effective upon execution and delivery to the Trust of such written notice or upon any future date specified in such notice, provided that such notice shall not constitute written notice to resign as a Trustee unless so designated.</w:t>
      </w:r>
    </w:p>
    <w:p>
      <w:pPr>
        <w:spacing w:after="0" w:line="16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i w:val="1"/>
          <w:iCs w:val="1"/>
          <w:color w:val="auto"/>
        </w:rPr>
        <w:t>ARTICLE IV</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i w:val="1"/>
          <w:iCs w:val="1"/>
          <w:color w:val="auto"/>
        </w:rPr>
        <w:t>COMMITTEES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Committee; (c) Executive Committee; and (d) Nominating and Corporate Governance Committee.</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Section 2. POWERS. The Trustees may delegate to committees appointed under Section 1 of this Article any of the powers of the Trustees, except as prohibited by law.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ectPr>
          <w:pgSz w:w="11900" w:h="16838" w:orient="portrait"/>
          <w:cols w:equalWidth="0" w:num="1">
            <w:col w:w="11240"/>
          </w:cols>
          <w:pgMar w:left="320" w:top="557"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184"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ARTICLE V</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OFFICERS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sectPr>
          <w:pgSz w:w="11900" w:h="16838" w:orient="portrait"/>
          <w:cols w:equalWidth="0" w:num="1">
            <w:col w:w="11240"/>
          </w:cols>
          <w:pgMar w:left="320" w:top="557"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6. CHIEF FINANCIAL OFFICER. The Trustees may designate a Chief Financial Officer from among the elected or appointed officers. The Chief Financial Officer shall have the responsibilities and duties as set forth by the Trustees or the Chief Executive Officer (or, if there is no Chief Executive Officer at such time, the President).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 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ectPr>
          <w:pgSz w:w="11900" w:h="16838" w:orient="portrait"/>
          <w:cols w:equalWidth="0" w:num="1">
            <w:col w:w="11240"/>
          </w:cols>
          <w:pgMar w:left="320" w:top="55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i w:val="1"/>
          <w:iCs w:val="1"/>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CONTRACTS, LOANS, CHECKS AND DEPOSITS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SHARES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ectPr>
          <w:pgSz w:w="11900" w:h="16838" w:orient="portrait"/>
          <w:cols w:equalWidth="0" w:num="1">
            <w:col w:w="11240"/>
          </w:cols>
          <w:pgMar w:left="320" w:top="557"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ACCOUNTING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Trustees shall have the power, from time to time, to fix the fiscal year of the Trust by a duly adopted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DISTRIBUTIONS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SEAL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ectPr>
          <w:pgSz w:w="11900" w:h="16838" w:orient="portrait"/>
          <w:cols w:equalWidth="0" w:num="1">
            <w:col w:w="11240"/>
          </w:cols>
          <w:pgMar w:left="320" w:top="773"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 AND ADVANCE OF EXPENSES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deliberate dishonesty;</w:t>
      </w:r>
    </w:p>
    <w:p>
      <w:pPr>
        <w:spacing w:after="0" w:line="6" w:lineRule="exact"/>
        <w:rPr>
          <w:sz w:val="20"/>
          <w:szCs w:val="20"/>
          <w:color w:val="auto"/>
        </w:rPr>
      </w:pPr>
    </w:p>
    <w:p>
      <w:pPr>
        <w:jc w:val="both"/>
        <w:ind w:firstLine="8"/>
        <w:spacing w:after="0" w:line="267" w:lineRule="auto"/>
        <w:tabs>
          <w:tab w:leader="none" w:pos="283" w:val="left"/>
        </w:tabs>
        <w:numPr>
          <w:ilvl w:val="0"/>
          <w:numId w:val="35"/>
        </w:numPr>
        <w:rPr>
          <w:rFonts w:ascii="Arial" w:cs="Arial" w:eastAsia="Arial" w:hAnsi="Arial"/>
          <w:sz w:val="17"/>
          <w:szCs w:val="17"/>
          <w:color w:val="auto"/>
        </w:rPr>
      </w:pPr>
      <w:r>
        <w:rPr>
          <w:rFonts w:ascii="Arial" w:cs="Arial" w:eastAsia="Arial" w:hAnsi="Arial"/>
          <w:sz w:val="17"/>
          <w:szCs w:val="17"/>
          <w:color w:val="auto"/>
        </w:rPr>
        <w:t>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WAIVER OF NOTICE</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XIV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w:t>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last paragraph of Section 10 of Article II, or increase the shareholder vote required under either of such sections.</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ARTICLE XV</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the Declaration of Trust shall include any amendments thereto.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Amended on October 29, 2003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Amended on May 5, 2004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February 17, 2006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May 6, 2009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November 2, 2016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February 5,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Amended on April 2, 2020</w:t>
      </w:r>
    </w:p>
    <w:p>
      <w:pPr>
        <w:sectPr>
          <w:pgSz w:w="11900" w:h="16838" w:orient="portrait"/>
          <w:cols w:equalWidth="0" w:num="1">
            <w:col w:w="10139"/>
          </w:cols>
          <w:pgMar w:left="320" w:top="557"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160" w:hanging="467"/>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80" w:right="140" w:hanging="467"/>
        <w:spacing w:after="0" w:line="308"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120" w:hanging="467"/>
        <w:spacing w:after="0" w:line="291"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40"/>
        <w:spacing w:after="0" w:line="263"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40" w:hanging="440"/>
        <w:spacing w:after="0" w:line="263"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40"/>
        <w:spacing w:after="0" w:line="334" w:lineRule="auto"/>
        <w:tabs>
          <w:tab w:leader="none" w:pos="14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160" w:hanging="440"/>
        <w:spacing w:after="0" w:line="263"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80" w:right="80" w:hanging="467"/>
        <w:spacing w:after="0" w:line="334"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380" w:hanging="440"/>
        <w:spacing w:after="0" w:line="334" w:lineRule="auto"/>
        <w:tabs>
          <w:tab w:leader="none" w:pos="14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80" w:hanging="440"/>
        <w:spacing w:after="0" w:line="277" w:lineRule="auto"/>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55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160" w:hanging="467"/>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80" w:right="140" w:hanging="467"/>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120" w:hanging="467"/>
        <w:spacing w:after="0" w:line="291"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4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40"/>
        <w:spacing w:after="0" w:line="334" w:lineRule="auto"/>
        <w:tabs>
          <w:tab w:leader="none" w:pos="14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160" w:hanging="440"/>
        <w:spacing w:after="0" w:line="263"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80" w:right="80" w:hanging="467"/>
        <w:spacing w:after="0" w:line="334"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380" w:hanging="440"/>
        <w:spacing w:after="0" w:line="334" w:lineRule="auto"/>
        <w:tabs>
          <w:tab w:leader="none" w:pos="14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80" w:hanging="440"/>
        <w:spacing w:after="0" w:line="277"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64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55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2020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240"/>
          </w:cols>
          <w:pgMar w:left="320" w:top="55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20" w:firstLine="432"/>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2020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64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01"/>
    </w:lvl>
  </w:abstractNum>
  <w:abstractNum w:abstractNumId="23">
    <w:nsid w:val="737B8DDC"/>
    <w:multiLevelType w:val="hybridMultilevel"/>
    <w:lvl w:ilvl="0">
      <w:lvlJc w:val="left"/>
      <w:lvlText w:val="%1"/>
      <w:numFmt w:val="decimal"/>
      <w:start w:val="104"/>
    </w:lvl>
  </w:abstractNum>
  <w:abstractNum w:abstractNumId="24">
    <w:nsid w:val="6CEAF087"/>
    <w:multiLevelType w:val="hybridMultilevel"/>
    <w:lvl w:ilvl="0">
      <w:lvlJc w:val="left"/>
      <w:lvlText w:val="(%1)"/>
      <w:numFmt w:val="lowerLetter"/>
      <w:start w:val="1"/>
    </w:lvl>
    <w:lvl w:ilvl="1">
      <w:lvlJc w:val="left"/>
      <w:lvlText w:val="(%2)"/>
      <w:numFmt w:val="decimal"/>
      <w:start w:val="1"/>
    </w:lvl>
  </w:abstractNum>
  <w:abstractNum w:abstractNumId="25">
    <w:nsid w:val="22221A70"/>
    <w:multiLevelType w:val="hybridMultilevel"/>
    <w:lvl w:ilvl="0">
      <w:lvlJc w:val="left"/>
      <w:lvlText w:val="%1"/>
      <w:numFmt w:val="lowerLetter"/>
      <w:start w:val="1"/>
    </w:lvl>
    <w:lvl w:ilvl="1">
      <w:lvlJc w:val="left"/>
      <w:lvlText w:val="(%2)"/>
      <w:numFmt w:val="decimal"/>
      <w:start w:val="2"/>
    </w:lvl>
  </w:abstractNum>
  <w:abstractNum w:abstractNumId="26">
    <w:nsid w:val="4516DDE9"/>
    <w:multiLevelType w:val="hybridMultilevel"/>
    <w:lvl w:ilvl="0">
      <w:lvlJc w:val="left"/>
      <w:lvlText w:val="%1"/>
      <w:numFmt w:val="lowerLetter"/>
      <w:start w:val="1"/>
    </w:lvl>
    <w:lvl w:ilvl="1">
      <w:lvlJc w:val="left"/>
      <w:lvlText w:val="(%2)"/>
      <w:numFmt w:val="decimal"/>
      <w:start w:val="1"/>
    </w:lvl>
  </w:abstractNum>
  <w:abstractNum w:abstractNumId="27">
    <w:nsid w:val="3006C83E"/>
    <w:multiLevelType w:val="hybridMultilevel"/>
    <w:lvl w:ilvl="0">
      <w:lvlJc w:val="left"/>
      <w:lvlText w:val="%1"/>
      <w:numFmt w:val="lowerLetter"/>
      <w:start w:val="1"/>
    </w:lvl>
    <w:lvl w:ilvl="1">
      <w:lvlJc w:val="left"/>
      <w:lvlText w:val="(%2)"/>
      <w:numFmt w:val="decimal"/>
      <w:start w:val="3"/>
    </w:lvl>
  </w:abstractNum>
  <w:abstractNum w:abstractNumId="28">
    <w:nsid w:val="614FD4A1"/>
    <w:multiLevelType w:val="hybridMultilevel"/>
    <w:lvl w:ilvl="0">
      <w:lvlJc w:val="left"/>
      <w:lvlText w:val="(%1)"/>
      <w:numFmt w:val="lowerLetter"/>
      <w:start w:val="2"/>
    </w:lvl>
    <w:lvl w:ilvl="1">
      <w:lvlJc w:val="left"/>
      <w:lvlText w:val="%2"/>
      <w:numFmt w:val="decimal"/>
      <w:start w:val="1"/>
    </w:lvl>
  </w:abstractNum>
  <w:abstractNum w:abstractNumId="29">
    <w:nsid w:val="419AC241"/>
    <w:multiLevelType w:val="hybridMultilevel"/>
    <w:lvl w:ilvl="0">
      <w:lvlJc w:val="left"/>
      <w:lvlText w:val="(%1)"/>
      <w:numFmt w:val="lowerLetter"/>
      <w:start w:val="61"/>
    </w:lvl>
    <w:lvl w:ilvl="1">
      <w:lvlJc w:val="left"/>
      <w:lvlText w:val="%2"/>
      <w:numFmt w:val="decimal"/>
      <w:start w:val="1"/>
    </w:lvl>
  </w:abstractNum>
  <w:abstractNum w:abstractNumId="30">
    <w:nsid w:val="5577F8E1"/>
    <w:multiLevelType w:val="hybridMultilevel"/>
    <w:lvl w:ilvl="0">
      <w:lvlJc w:val="left"/>
      <w:lvlText w:val="(%1)"/>
      <w:numFmt w:val="lowerLetter"/>
      <w:start w:val="3"/>
    </w:lvl>
    <w:lvl w:ilvl="1">
      <w:lvlJc w:val="left"/>
      <w:lvlText w:val="(%2)"/>
      <w:numFmt w:val="decimal"/>
      <w:start w:val="1"/>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Roman"/>
      <w:start w:val="2"/>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2020-05-06T15:29:30Z</dcterms:created>
  <dcterms:modified xsi:type="dcterms:W3CDTF">2020-05-06T15:29:30Z</dcterms:modified>
</cp:coreProperties>
</file>