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580" w:right="2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THE SECTION 13 OR 15(D) OF THE SECURITIES EXCHANGE ACT OF 1934</w:t>
      </w:r>
    </w:p>
    <w:p>
      <w:pPr>
        <w:spacing w:after="0" w:line="122"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March 31, 2007</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ind w:left="58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1836420</wp:posOffset>
            </wp:positionH>
            <wp:positionV relativeFrom="paragraph">
              <wp:posOffset>-10160</wp:posOffset>
            </wp:positionV>
            <wp:extent cx="8172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1-07533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FEDERAL REALTY INVESTMENT TRUST</w:t>
      </w:r>
    </w:p>
    <w:p>
      <w:pPr>
        <w:spacing w:after="0" w:line="4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Declaration of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080" w:type="dxa"/>
        <w:tblCellMar>
          <w:top w:w="0" w:type="dxa"/>
          <w:left w:w="0" w:type="dxa"/>
          <w:bottom w:w="0" w:type="dxa"/>
          <w:right w:w="0" w:type="dxa"/>
        </w:tblCellMar>
      </w:tblPr>
      <w:tr>
        <w:trPr>
          <w:trHeight w:val="218"/>
        </w:trPr>
        <w:tc>
          <w:tcPr>
            <w:tcW w:w="6420" w:type="dxa"/>
            <w:vAlign w:val="bottom"/>
          </w:tcPr>
          <w:p>
            <w:pPr>
              <w:jc w:val="center"/>
              <w:ind w:right="2782"/>
              <w:spacing w:after="0"/>
              <w:rPr>
                <w:sz w:val="20"/>
                <w:szCs w:val="20"/>
                <w:color w:val="auto"/>
              </w:rPr>
            </w:pPr>
            <w:r>
              <w:rPr>
                <w:rFonts w:ascii="Arial" w:cs="Arial" w:eastAsia="Arial" w:hAnsi="Arial"/>
                <w:sz w:val="18"/>
                <w:szCs w:val="18"/>
                <w:b w:val="1"/>
                <w:bCs w:val="1"/>
                <w:color w:val="auto"/>
                <w:w w:val="96"/>
              </w:rPr>
              <w:t>Maryland</w:t>
            </w:r>
          </w:p>
        </w:tc>
        <w:tc>
          <w:tcPr>
            <w:tcW w:w="2160" w:type="dxa"/>
            <w:vAlign w:val="bottom"/>
          </w:tcPr>
          <w:p>
            <w:pPr>
              <w:jc w:val="right"/>
              <w:ind w:right="482"/>
              <w:spacing w:after="0"/>
              <w:rPr>
                <w:sz w:val="20"/>
                <w:szCs w:val="20"/>
                <w:color w:val="auto"/>
              </w:rPr>
            </w:pPr>
            <w:r>
              <w:rPr>
                <w:rFonts w:ascii="Arial" w:cs="Arial" w:eastAsia="Arial" w:hAnsi="Arial"/>
                <w:sz w:val="18"/>
                <w:szCs w:val="18"/>
                <w:b w:val="1"/>
                <w:bCs w:val="1"/>
                <w:color w:val="auto"/>
              </w:rPr>
              <w:t>52-0782497</w:t>
            </w:r>
          </w:p>
        </w:tc>
      </w:tr>
      <w:tr>
        <w:trPr>
          <w:trHeight w:val="174"/>
        </w:trPr>
        <w:tc>
          <w:tcPr>
            <w:tcW w:w="6420" w:type="dxa"/>
            <w:vAlign w:val="bottom"/>
          </w:tcPr>
          <w:p>
            <w:pPr>
              <w:jc w:val="center"/>
              <w:ind w:right="2782"/>
              <w:spacing w:after="0"/>
              <w:rPr>
                <w:sz w:val="20"/>
                <w:szCs w:val="20"/>
                <w:color w:val="auto"/>
              </w:rPr>
            </w:pPr>
            <w:r>
              <w:rPr>
                <w:rFonts w:ascii="Arial" w:cs="Arial" w:eastAsia="Arial" w:hAnsi="Arial"/>
                <w:sz w:val="14"/>
                <w:szCs w:val="14"/>
                <w:b w:val="1"/>
                <w:bCs w:val="1"/>
                <w:color w:val="auto"/>
                <w:w w:val="87"/>
              </w:rPr>
              <w:t>(State of Organization)</w:t>
            </w:r>
          </w:p>
        </w:tc>
        <w:tc>
          <w:tcPr>
            <w:tcW w:w="2160" w:type="dxa"/>
            <w:vAlign w:val="bottom"/>
          </w:tcPr>
          <w:p>
            <w:pPr>
              <w:jc w:val="center"/>
              <w:ind w:left="12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393"/>
        </w:trPr>
        <w:tc>
          <w:tcPr>
            <w:tcW w:w="6420" w:type="dxa"/>
            <w:vAlign w:val="bottom"/>
          </w:tcPr>
          <w:p>
            <w:pPr>
              <w:jc w:val="center"/>
              <w:ind w:right="2762"/>
              <w:spacing w:after="0"/>
              <w:rPr>
                <w:sz w:val="20"/>
                <w:szCs w:val="20"/>
                <w:color w:val="auto"/>
              </w:rPr>
            </w:pPr>
            <w:r>
              <w:rPr>
                <w:rFonts w:ascii="Arial" w:cs="Arial" w:eastAsia="Arial" w:hAnsi="Arial"/>
                <w:sz w:val="18"/>
                <w:szCs w:val="18"/>
                <w:b w:val="1"/>
                <w:bCs w:val="1"/>
                <w:color w:val="auto"/>
                <w:w w:val="88"/>
              </w:rPr>
              <w:t>1626 East Jefferson Street, Rockville, Maryland</w:t>
            </w:r>
          </w:p>
        </w:tc>
        <w:tc>
          <w:tcPr>
            <w:tcW w:w="2160" w:type="dxa"/>
            <w:vAlign w:val="bottom"/>
          </w:tcPr>
          <w:p>
            <w:pPr>
              <w:jc w:val="right"/>
              <w:ind w:right="682"/>
              <w:spacing w:after="0"/>
              <w:rPr>
                <w:sz w:val="20"/>
                <w:szCs w:val="20"/>
                <w:color w:val="auto"/>
              </w:rPr>
            </w:pPr>
            <w:r>
              <w:rPr>
                <w:rFonts w:ascii="Arial" w:cs="Arial" w:eastAsia="Arial" w:hAnsi="Arial"/>
                <w:sz w:val="18"/>
                <w:szCs w:val="18"/>
                <w:b w:val="1"/>
                <w:bCs w:val="1"/>
                <w:color w:val="auto"/>
              </w:rPr>
              <w:t>20852</w:t>
            </w:r>
          </w:p>
        </w:tc>
      </w:tr>
      <w:tr>
        <w:trPr>
          <w:trHeight w:val="174"/>
        </w:trPr>
        <w:tc>
          <w:tcPr>
            <w:tcW w:w="6420" w:type="dxa"/>
            <w:vAlign w:val="bottom"/>
          </w:tcPr>
          <w:p>
            <w:pPr>
              <w:jc w:val="center"/>
              <w:ind w:right="276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2160" w:type="dxa"/>
            <w:vAlign w:val="bottom"/>
          </w:tcPr>
          <w:p>
            <w:pPr>
              <w:jc w:val="center"/>
              <w:ind w:left="142"/>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420" w:type="dxa"/>
            <w:vAlign w:val="bottom"/>
          </w:tcPr>
          <w:p>
            <w:pPr>
              <w:jc w:val="right"/>
              <w:ind w:right="1162"/>
              <w:spacing w:after="0"/>
              <w:rPr>
                <w:sz w:val="20"/>
                <w:szCs w:val="20"/>
                <w:color w:val="auto"/>
              </w:rPr>
            </w:pPr>
            <w:r>
              <w:rPr>
                <w:rFonts w:ascii="Arial" w:cs="Arial" w:eastAsia="Arial" w:hAnsi="Arial"/>
                <w:sz w:val="18"/>
                <w:szCs w:val="18"/>
                <w:b w:val="1"/>
                <w:bCs w:val="1"/>
                <w:color w:val="auto"/>
              </w:rPr>
              <w:t>(301) 998-8100</w:t>
            </w:r>
          </w:p>
        </w:tc>
        <w:tc>
          <w:tcPr>
            <w:tcW w:w="2160" w:type="dxa"/>
            <w:vAlign w:val="bottom"/>
          </w:tcPr>
          <w:p>
            <w:pPr>
              <w:spacing w:after="0"/>
              <w:rPr>
                <w:sz w:val="24"/>
                <w:szCs w:val="24"/>
                <w:color w:val="auto"/>
              </w:rPr>
            </w:pPr>
          </w:p>
        </w:tc>
      </w:tr>
      <w:tr>
        <w:trPr>
          <w:trHeight w:val="174"/>
        </w:trPr>
        <w:tc>
          <w:tcPr>
            <w:tcW w:w="6420" w:type="dxa"/>
            <w:vAlign w:val="bottom"/>
          </w:tcPr>
          <w:p>
            <w:pPr>
              <w:jc w:val="center"/>
              <w:ind w:left="276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21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both"/>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1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right="2660" w:firstLine="2940"/>
        <w:spacing w:after="0" w:line="33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The number of Registrant’s common shares outstanding on April 30, 2007 was 56,354,345.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355" w:right="37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8"/>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20" w:type="dxa"/>
            <w:vAlign w:val="bottom"/>
            <w:gridSpan w:val="9"/>
          </w:tcPr>
          <w:p>
            <w:pPr>
              <w:jc w:val="center"/>
              <w:ind w:right="1920"/>
              <w:spacing w:after="0"/>
              <w:rPr>
                <w:sz w:val="20"/>
                <w:szCs w:val="20"/>
                <w:color w:val="auto"/>
              </w:rPr>
            </w:pPr>
            <w:r>
              <w:rPr>
                <w:rFonts w:ascii="Arial" w:cs="Arial" w:eastAsia="Arial" w:hAnsi="Arial"/>
                <w:sz w:val="18"/>
                <w:szCs w:val="18"/>
                <w:b w:val="1"/>
                <w:bCs w:val="1"/>
                <w:color w:val="auto"/>
                <w:w w:val="99"/>
              </w:rPr>
              <w:t>FEDERAL REALTY INVESTMENT TRUST</w:t>
            </w:r>
          </w:p>
        </w:tc>
        <w:tc>
          <w:tcPr>
            <w:tcW w:w="1940" w:type="dxa"/>
            <w:vAlign w:val="bottom"/>
          </w:tcPr>
          <w:p>
            <w:pPr>
              <w:spacing w:after="0"/>
              <w:rPr>
                <w:sz w:val="19"/>
                <w:szCs w:val="19"/>
                <w:color w:val="auto"/>
              </w:rPr>
            </w:pPr>
          </w:p>
        </w:tc>
      </w:tr>
      <w:tr>
        <w:trPr>
          <w:trHeight w:val="366"/>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20" w:type="dxa"/>
            <w:vAlign w:val="bottom"/>
            <w:gridSpan w:val="9"/>
          </w:tcPr>
          <w:p>
            <w:pPr>
              <w:jc w:val="center"/>
              <w:ind w:right="1920"/>
              <w:spacing w:after="0"/>
              <w:rPr>
                <w:sz w:val="20"/>
                <w:szCs w:val="20"/>
                <w:color w:val="auto"/>
              </w:rPr>
            </w:pPr>
            <w:r>
              <w:rPr>
                <w:rFonts w:ascii="Arial" w:cs="Arial" w:eastAsia="Arial" w:hAnsi="Arial"/>
                <w:sz w:val="18"/>
                <w:szCs w:val="18"/>
                <w:b w:val="1"/>
                <w:bCs w:val="1"/>
                <w:color w:val="auto"/>
                <w:w w:val="97"/>
              </w:rPr>
              <w:t>QUARTERLY REPORT ON FORM 10-Q</w:t>
            </w:r>
          </w:p>
        </w:tc>
        <w:tc>
          <w:tcPr>
            <w:tcW w:w="1940" w:type="dxa"/>
            <w:vAlign w:val="bottom"/>
          </w:tcPr>
          <w:p>
            <w:pPr>
              <w:spacing w:after="0"/>
              <w:rPr>
                <w:sz w:val="24"/>
                <w:szCs w:val="24"/>
                <w:color w:val="auto"/>
              </w:rPr>
            </w:pPr>
          </w:p>
        </w:tc>
      </w:tr>
      <w:tr>
        <w:trPr>
          <w:trHeight w:val="228"/>
        </w:trPr>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620" w:type="dxa"/>
            <w:vAlign w:val="bottom"/>
            <w:gridSpan w:val="9"/>
          </w:tcPr>
          <w:p>
            <w:pPr>
              <w:jc w:val="center"/>
              <w:ind w:right="1900"/>
              <w:spacing w:after="0"/>
              <w:rPr>
                <w:sz w:val="20"/>
                <w:szCs w:val="20"/>
                <w:color w:val="auto"/>
              </w:rPr>
            </w:pPr>
            <w:r>
              <w:rPr>
                <w:rFonts w:ascii="Arial" w:cs="Arial" w:eastAsia="Arial" w:hAnsi="Arial"/>
                <w:sz w:val="18"/>
                <w:szCs w:val="18"/>
                <w:b w:val="1"/>
                <w:bCs w:val="1"/>
                <w:color w:val="auto"/>
                <w:w w:val="96"/>
              </w:rPr>
              <w:t>QUARTER ENDED MARCH 31, 2007</w:t>
            </w:r>
          </w:p>
        </w:tc>
        <w:tc>
          <w:tcPr>
            <w:tcW w:w="1940" w:type="dxa"/>
            <w:vAlign w:val="bottom"/>
          </w:tcPr>
          <w:p>
            <w:pPr>
              <w:spacing w:after="0"/>
              <w:rPr>
                <w:sz w:val="19"/>
                <w:szCs w:val="19"/>
                <w:color w:val="auto"/>
              </w:rPr>
            </w:pPr>
          </w:p>
        </w:tc>
      </w:tr>
      <w:tr>
        <w:trPr>
          <w:trHeight w:val="378"/>
        </w:trPr>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20" w:type="dxa"/>
            <w:vAlign w:val="bottom"/>
            <w:gridSpan w:val="8"/>
          </w:tcPr>
          <w:p>
            <w:pPr>
              <w:jc w:val="center"/>
              <w:ind w:right="2500"/>
              <w:spacing w:after="0"/>
              <w:rPr>
                <w:sz w:val="20"/>
                <w:szCs w:val="20"/>
                <w:color w:val="auto"/>
              </w:rPr>
            </w:pPr>
            <w:r>
              <w:rPr>
                <w:rFonts w:ascii="Arial" w:cs="Arial" w:eastAsia="Arial" w:hAnsi="Arial"/>
                <w:sz w:val="18"/>
                <w:szCs w:val="18"/>
                <w:b w:val="1"/>
                <w:bCs w:val="1"/>
                <w:color w:val="auto"/>
                <w:w w:val="96"/>
              </w:rPr>
              <w:t>TABLE OF CONTENTS</w:t>
            </w:r>
          </w:p>
        </w:tc>
        <w:tc>
          <w:tcPr>
            <w:tcW w:w="1940" w:type="dxa"/>
            <w:vAlign w:val="bottom"/>
          </w:tcPr>
          <w:p>
            <w:pPr>
              <w:spacing w:after="0"/>
              <w:rPr>
                <w:sz w:val="24"/>
                <w:szCs w:val="24"/>
                <w:color w:val="auto"/>
              </w:rPr>
            </w:pPr>
          </w:p>
        </w:tc>
      </w:tr>
      <w:tr>
        <w:trPr>
          <w:trHeight w:val="380"/>
        </w:trPr>
        <w:tc>
          <w:tcPr>
            <w:tcW w:w="282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PART I. FINANCIAL INFORMATION</w:t>
              </w:r>
            </w:hyperlink>
          </w:p>
        </w:tc>
        <w:tc>
          <w:tcPr>
            <w:tcW w:w="6660" w:type="dxa"/>
            <w:vAlign w:val="bottom"/>
            <w:gridSpan w:val="11"/>
          </w:tcPr>
          <w:p>
            <w:pPr>
              <w:spacing w:after="0"/>
              <w:rPr>
                <w:sz w:val="24"/>
                <w:szCs w:val="24"/>
                <w:color w:val="auto"/>
              </w:rPr>
            </w:pPr>
          </w:p>
        </w:tc>
        <w:tc>
          <w:tcPr>
            <w:tcW w:w="1940" w:type="dxa"/>
            <w:vAlign w:val="bottom"/>
          </w:tcPr>
          <w:p>
            <w:pPr>
              <w:spacing w:after="0"/>
              <w:rPr>
                <w:sz w:val="24"/>
                <w:szCs w:val="24"/>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8700" w:type="dxa"/>
            <w:vAlign w:val="bottom"/>
            <w:gridSpan w:val="20"/>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57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Consolidated Balance Sheets March 31, 2007 (unaudited) and December 31, 2006</w:t>
              </w:r>
            </w:hyperlink>
          </w:p>
        </w:tc>
        <w:tc>
          <w:tcPr>
            <w:tcW w:w="2920" w:type="dxa"/>
            <w:vAlign w:val="bottom"/>
            <w:gridSpan w:val="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80" w:type="dxa"/>
            <w:vAlign w:val="bottom"/>
          </w:tcPr>
          <w:p>
            <w:pPr>
              <w:spacing w:after="0"/>
              <w:rPr>
                <w:sz w:val="17"/>
                <w:szCs w:val="17"/>
                <w:color w:val="auto"/>
              </w:rPr>
            </w:pPr>
          </w:p>
        </w:tc>
        <w:tc>
          <w:tcPr>
            <w:tcW w:w="8700" w:type="dxa"/>
            <w:vAlign w:val="bottom"/>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Operations (unaudited) three months ended March 31, 2007 and 2006</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780" w:type="dxa"/>
            <w:vAlign w:val="bottom"/>
          </w:tcPr>
          <w:p>
            <w:pPr>
              <w:spacing w:after="0"/>
              <w:rPr>
                <w:sz w:val="17"/>
                <w:szCs w:val="17"/>
                <w:color w:val="auto"/>
              </w:rPr>
            </w:pPr>
          </w:p>
        </w:tc>
        <w:tc>
          <w:tcPr>
            <w:tcW w:w="6860" w:type="dxa"/>
            <w:vAlign w:val="bottom"/>
            <w:tcBorders>
              <w:top w:val="single" w:sz="8" w:color="0000EE"/>
            </w:tcBorders>
            <w:gridSpan w:val="18"/>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Consolidated Statement of Shareholders’ Equity (unaudited) three months ended March 31, 2007</w:t>
              </w:r>
            </w:hyperlink>
          </w:p>
        </w:tc>
        <w:tc>
          <w:tcPr>
            <w:tcW w:w="1840" w:type="dxa"/>
            <w:vAlign w:val="bottom"/>
            <w:gridSpan w:val="2"/>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8700" w:type="dxa"/>
            <w:vAlign w:val="bottom"/>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Cash Flows (unaudited) three months ended March 31, 2007 and 2006</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78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Notes to Consolidated Financial Statements</w:t>
              </w:r>
            </w:hyperlink>
          </w:p>
        </w:tc>
        <w:tc>
          <w:tcPr>
            <w:tcW w:w="3840" w:type="dxa"/>
            <w:vAlign w:val="bottom"/>
            <w:tcBorders>
              <w:top w:val="single" w:sz="8" w:color="0000EE"/>
            </w:tcBorders>
            <w:gridSpan w:val="8"/>
          </w:tcPr>
          <w:p>
            <w:pPr>
              <w:spacing w:after="0"/>
              <w:rPr>
                <w:sz w:val="17"/>
                <w:szCs w:val="17"/>
                <w:color w:val="auto"/>
              </w:rPr>
            </w:pPr>
          </w:p>
        </w:tc>
        <w:tc>
          <w:tcPr>
            <w:tcW w:w="1780" w:type="dxa"/>
            <w:vAlign w:val="bottom"/>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6">
              <w:r>
                <w:rPr>
                  <w:rFonts w:ascii="Arial" w:cs="Arial" w:eastAsia="Arial" w:hAnsi="Arial"/>
                  <w:sz w:val="18"/>
                  <w:szCs w:val="18"/>
                  <w:color w:val="0000EE"/>
                  <w:w w:val="88"/>
                </w:rPr>
                <w:t>Management’s Discussion and Analysis of Financial Condition and Results of Operations</w:t>
              </w:r>
            </w:hyperlink>
          </w:p>
        </w:tc>
        <w:tc>
          <w:tcPr>
            <w:tcW w:w="2400" w:type="dxa"/>
            <w:vAlign w:val="bottom"/>
            <w:gridSpan w:val="4"/>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2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Quantitative and Qualitative Disclosures about Market Risk</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500" w:type="dxa"/>
            <w:vAlign w:val="bottom"/>
            <w:gridSpan w:val="7"/>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252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29">
              <w:r>
                <w:rPr>
                  <w:rFonts w:ascii="Arial" w:cs="Arial" w:eastAsia="Arial" w:hAnsi="Arial"/>
                  <w:sz w:val="18"/>
                  <w:szCs w:val="18"/>
                  <w:color w:val="0000EE"/>
                  <w:w w:val="93"/>
                </w:rPr>
                <w:t>PART II. OTHER INFORMATION</w:t>
              </w:r>
            </w:hyperlink>
          </w:p>
        </w:tc>
        <w:tc>
          <w:tcPr>
            <w:tcW w:w="6960" w:type="dxa"/>
            <w:vAlign w:val="bottom"/>
            <w:gridSpan w:val="12"/>
          </w:tcPr>
          <w:p>
            <w:pPr>
              <w:spacing w:after="0"/>
              <w:rPr>
                <w:sz w:val="24"/>
                <w:szCs w:val="24"/>
                <w:color w:val="auto"/>
              </w:rPr>
            </w:pPr>
          </w:p>
        </w:tc>
        <w:tc>
          <w:tcPr>
            <w:tcW w:w="1940" w:type="dxa"/>
            <w:vAlign w:val="bottom"/>
          </w:tcPr>
          <w:p>
            <w:pPr>
              <w:spacing w:after="0"/>
              <w:rPr>
                <w:sz w:val="24"/>
                <w:szCs w:val="24"/>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29">
              <w:r>
                <w:rPr>
                  <w:rFonts w:ascii="Arial" w:cs="Arial" w:eastAsia="Arial" w:hAnsi="Arial"/>
                  <w:sz w:val="18"/>
                  <w:szCs w:val="18"/>
                  <w:color w:val="0000EE"/>
                  <w:w w:val="85"/>
                </w:rPr>
                <w:t>Legal Proceedings</w:t>
              </w:r>
            </w:hyperlink>
          </w:p>
        </w:tc>
        <w:tc>
          <w:tcPr>
            <w:tcW w:w="7400" w:type="dxa"/>
            <w:vAlign w:val="bottom"/>
            <w:gridSpan w:val="15"/>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700" w:type="dxa"/>
            <w:vAlign w:val="bottom"/>
            <w:gridSpan w:val="20"/>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60" w:type="dxa"/>
            <w:vAlign w:val="bottom"/>
            <w:gridSpan w:val="6"/>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4"/>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Unregistered Sales of Equity Securities and Use of Proceeds</w:t>
              </w:r>
            </w:hyperlink>
          </w:p>
        </w:tc>
        <w:tc>
          <w:tcPr>
            <w:tcW w:w="4460" w:type="dxa"/>
            <w:vAlign w:val="bottom"/>
            <w:gridSpan w:val="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870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Defaults Upon Senior Securities</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6"/>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Submission of Matters to a Vote of Security Holders</w:t>
              </w:r>
            </w:hyperlink>
          </w:p>
        </w:tc>
        <w:tc>
          <w:tcPr>
            <w:tcW w:w="5020" w:type="dxa"/>
            <w:vAlign w:val="bottom"/>
            <w:gridSpan w:val="8"/>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70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7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420" w:type="dxa"/>
            <w:vAlign w:val="bottom"/>
            <w:gridSpan w:val="16"/>
          </w:tcPr>
          <w:p>
            <w:pPr>
              <w:spacing w:after="0"/>
              <w:rPr>
                <w:sz w:val="17"/>
                <w:szCs w:val="17"/>
                <w:color w:val="auto"/>
              </w:rPr>
            </w:pPr>
          </w:p>
        </w:tc>
        <w:tc>
          <w:tcPr>
            <w:tcW w:w="194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7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120" w:type="dxa"/>
            <w:vAlign w:val="bottom"/>
            <w:gridSpan w:val="18"/>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9480" w:type="dxa"/>
            <w:vAlign w:val="bottom"/>
            <w:gridSpan w:val="21"/>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5"/>
        </w:trPr>
        <w:tc>
          <w:tcPr>
            <w:tcW w:w="78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5480" w:type="dxa"/>
            <w:vAlign w:val="bottom"/>
            <w:gridSpan w:val="14"/>
          </w:tcPr>
          <w:p>
            <w:pPr>
              <w:jc w:val="center"/>
              <w:ind w:left="3712"/>
              <w:spacing w:after="0"/>
              <w:rPr>
                <w:sz w:val="20"/>
                <w:szCs w:val="20"/>
                <w:color w:val="auto"/>
              </w:rPr>
            </w:pPr>
            <w:r>
              <w:rPr>
                <w:rFonts w:ascii="Arial" w:cs="Arial" w:eastAsia="Arial" w:hAnsi="Arial"/>
                <w:sz w:val="18"/>
                <w:szCs w:val="18"/>
                <w:color w:val="auto"/>
                <w:w w:val="79"/>
              </w:rPr>
              <w:t>2</w:t>
            </w:r>
          </w:p>
        </w:tc>
        <w:tc>
          <w:tcPr>
            <w:tcW w:w="5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1—FINANCIAL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9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following balance sheet as of December 31, 2006, which has been derived from audited financial statements, and the unaudited interim financial statements have been prepared pursuant to the rules and regulations of the Securities and Exchange Commission. Certain information and note disclosures normally included in annual financial statements prepared in accordance with generally accepted accounting principles (GAAP) have been omitted pursuant to those rules and regulations, although the company believes that the disclosures made are adequate to make the information not misleading. It is suggested that these financial statements be read in conjunction with the financial statements and notes thereto included in the company’s latest Annual Report on Form 10-K. In the opinion of management, all adjustments (consisting of normal, recurring adjustments) necessary for a fair presentation for the periods presented have been included. The results of operations for the three months ended March 31, 2007 are not necessarily indicative of the results that may be expected for the full year.</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32"/>
              <w:spacing w:after="0"/>
              <w:rPr>
                <w:sz w:val="20"/>
                <w:szCs w:val="20"/>
                <w:color w:val="auto"/>
              </w:rPr>
            </w:pPr>
            <w:r>
              <w:rPr>
                <w:rFonts w:ascii="Arial" w:cs="Arial" w:eastAsia="Arial" w:hAnsi="Arial"/>
                <w:sz w:val="14"/>
                <w:szCs w:val="14"/>
                <w:b w:val="1"/>
                <w:bCs w:val="1"/>
                <w:color w:val="auto"/>
                <w:w w:val="89"/>
              </w:rPr>
              <w:t>March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3"/>
              </w:rPr>
              <w:t>2007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ind w:left="60"/>
              <w:spacing w:after="0" w:line="130" w:lineRule="exact"/>
              <w:rPr>
                <w:sz w:val="20"/>
                <w:szCs w:val="20"/>
                <w:color w:val="auto"/>
              </w:rPr>
            </w:pPr>
            <w:r>
              <w:rPr>
                <w:rFonts w:ascii="Arial" w:cs="Arial" w:eastAsia="Arial" w:hAnsi="Arial"/>
                <w:sz w:val="14"/>
                <w:szCs w:val="14"/>
                <w:b w:val="1"/>
                <w:bCs w:val="1"/>
                <w:color w:val="auto"/>
                <w:w w:val="81"/>
              </w:rPr>
              <w:t>(In thousands,</w:t>
            </w:r>
          </w:p>
        </w:tc>
        <w:tc>
          <w:tcPr>
            <w:tcW w:w="500" w:type="dxa"/>
            <w:vAlign w:val="bottom"/>
            <w:gridSpan w:val="2"/>
          </w:tcPr>
          <w:p>
            <w:pPr>
              <w:ind w:left="60"/>
              <w:spacing w:after="0" w:line="130" w:lineRule="exact"/>
              <w:rPr>
                <w:sz w:val="20"/>
                <w:szCs w:val="20"/>
                <w:color w:val="auto"/>
              </w:rPr>
            </w:pPr>
            <w:r>
              <w:rPr>
                <w:rFonts w:ascii="Arial" w:cs="Arial" w:eastAsia="Arial" w:hAnsi="Arial"/>
                <w:sz w:val="14"/>
                <w:szCs w:val="14"/>
                <w:b w:val="1"/>
                <w:bCs w:val="1"/>
                <w:color w:val="auto"/>
                <w:w w:val="94"/>
              </w:rPr>
              <w:t>except</w:t>
            </w:r>
          </w:p>
        </w:tc>
        <w:tc>
          <w:tcPr>
            <w:tcW w:w="1040" w:type="dxa"/>
            <w:vAlign w:val="bottom"/>
            <w:gridSpan w:val="2"/>
          </w:tcPr>
          <w:p>
            <w:pPr>
              <w:spacing w:after="0" w:line="130" w:lineRule="exact"/>
              <w:rPr>
                <w:sz w:val="20"/>
                <w:szCs w:val="20"/>
                <w:color w:val="auto"/>
              </w:rPr>
            </w:pPr>
            <w:r>
              <w:rPr>
                <w:rFonts w:ascii="Arial" w:cs="Arial" w:eastAsia="Arial" w:hAnsi="Arial"/>
                <w:sz w:val="14"/>
                <w:szCs w:val="14"/>
                <w:b w:val="1"/>
                <w:bCs w:val="1"/>
                <w:color w:val="auto"/>
              </w:rPr>
              <w:t>per 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32"/>
              <w:spacing w:after="0"/>
              <w:rPr>
                <w:sz w:val="20"/>
                <w:szCs w:val="20"/>
                <w:color w:val="auto"/>
              </w:rPr>
            </w:pPr>
            <w:r>
              <w:rPr>
                <w:rFonts w:ascii="Arial" w:cs="Arial" w:eastAsia="Arial" w:hAnsi="Arial"/>
                <w:sz w:val="14"/>
                <w:szCs w:val="14"/>
                <w:b w:val="1"/>
                <w:bCs w:val="1"/>
                <w:color w:val="auto"/>
                <w:w w:val="89"/>
              </w:rPr>
              <w:t>(Unaudited)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Real estate, at cost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Operating</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3,318,605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3,084,731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Construction-in-progress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104,963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99,774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Assets held for sale (discontinued operations)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19,753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3,443,321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3,204,258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(763,575)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420"/>
              <w:spacing w:after="0"/>
              <w:rPr>
                <w:sz w:val="20"/>
                <w:szCs w:val="20"/>
                <w:color w:val="auto"/>
              </w:rPr>
            </w:pPr>
            <w:r>
              <w:rPr>
                <w:rFonts w:ascii="Arial" w:cs="Arial" w:eastAsia="Arial" w:hAnsi="Arial"/>
                <w:sz w:val="18"/>
                <w:szCs w:val="18"/>
                <w:color w:val="auto"/>
              </w:rPr>
              <w:t>Net real estate</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2,679,746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2,463,751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15,987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Accounts and notes receivable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50,996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47,493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Mortgage notes receivable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40,716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31,661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102,021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Debt issuance costs, net of accumulated amortization of $7,912 and $7,474, respectively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8,236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2,929,363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2,688,606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8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Mortgages payable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383,694</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311,037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Obligations under capital leases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149,067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Notes payable, including revolving credit facility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168,475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109,024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Senior notes and debentures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1,127,528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1,127,508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96,407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97,727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Dividends payable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32,663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Security deposits payable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11,065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liabilities and deferred credits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54,862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ind w:left="420"/>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6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2,023,761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1,882,337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Minority interests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38,623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Commitments and contingencies (Note 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Shareholders’ equity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Preferred stock, authorized 15,000,000 shares, $.01 par:</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0"/>
              </w:rPr>
              <w:t>5.417% Series 1 Cumulative Convertible Preferred Shares, (stated at liquidation preference $25 per share),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399,896 and 0 shares, respectively, issued and outstanding</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9,997</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w w:val="89"/>
              </w:rPr>
              <w:t>Common shares of beneficial interest, $.01 par, 100,000,000 shares authorized, 57,832,082 and 56,805,816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ind w:left="1060"/>
              <w:spacing w:after="0"/>
              <w:rPr>
                <w:sz w:val="20"/>
                <w:szCs w:val="20"/>
                <w:color w:val="auto"/>
              </w:rPr>
            </w:pPr>
            <w:r>
              <w:rPr>
                <w:rFonts w:ascii="Arial" w:cs="Arial" w:eastAsia="Arial" w:hAnsi="Arial"/>
                <w:sz w:val="18"/>
                <w:szCs w:val="18"/>
                <w:color w:val="auto"/>
              </w:rPr>
              <w:t>issued, respectively</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578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1,363,394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Accumulated dividends in excess of net income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52"/>
              <w:spacing w:after="0"/>
              <w:rPr>
                <w:sz w:val="20"/>
                <w:szCs w:val="20"/>
                <w:color w:val="auto"/>
              </w:rPr>
            </w:pPr>
            <w:r>
              <w:rPr>
                <w:rFonts w:ascii="Arial" w:cs="Arial" w:eastAsia="Arial" w:hAnsi="Arial"/>
                <w:sz w:val="18"/>
                <w:szCs w:val="18"/>
                <w:color w:val="auto"/>
              </w:rPr>
              <w:t>(476,652)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(467,369)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Treasury shares at cost, 1,485,279 shares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(28,807)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860"/>
              <w:spacing w:after="0"/>
              <w:rPr>
                <w:sz w:val="20"/>
                <w:szCs w:val="20"/>
                <w:color w:val="auto"/>
              </w:rPr>
            </w:pPr>
            <w:r>
              <w:rPr>
                <w:rFonts w:ascii="Arial" w:cs="Arial" w:eastAsia="Arial" w:hAnsi="Arial"/>
                <w:sz w:val="18"/>
                <w:szCs w:val="18"/>
                <w:color w:val="auto"/>
              </w:rPr>
              <w:t>Notes receivable from issuance of common shares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52"/>
              <w:spacing w:after="0"/>
              <w:rPr>
                <w:sz w:val="20"/>
                <w:szCs w:val="20"/>
                <w:color w:val="auto"/>
              </w:rPr>
            </w:pPr>
            <w:r>
              <w:rPr>
                <w:rFonts w:ascii="Arial" w:cs="Arial" w:eastAsia="Arial" w:hAnsi="Arial"/>
                <w:sz w:val="18"/>
                <w:szCs w:val="18"/>
                <w:color w:val="auto"/>
              </w:rPr>
              <w:t>(1,531)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866,979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20" w:type="dxa"/>
            <w:vAlign w:val="bottom"/>
            <w:gridSpan w:val="2"/>
          </w:tcPr>
          <w:p>
            <w:pPr>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12"/>
              <w:spacing w:after="0"/>
              <w:rPr>
                <w:sz w:val="20"/>
                <w:szCs w:val="20"/>
                <w:color w:val="auto"/>
              </w:rPr>
            </w:pPr>
            <w:r>
              <w:rPr>
                <w:rFonts w:ascii="Arial" w:cs="Arial" w:eastAsia="Arial" w:hAnsi="Arial"/>
                <w:sz w:val="18"/>
                <w:szCs w:val="18"/>
                <w:color w:val="auto"/>
              </w:rPr>
              <w:t>2,929,363</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2,688,606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vMerge w:val="restart"/>
          </w:tcPr>
          <w:p>
            <w:pPr>
              <w:jc w:val="center"/>
              <w:ind w:left="2692"/>
              <w:spacing w:after="0"/>
              <w:rPr>
                <w:sz w:val="20"/>
                <w:szCs w:val="20"/>
                <w:color w:val="auto"/>
              </w:rPr>
            </w:pPr>
            <w:r>
              <w:rPr>
                <w:rFonts w:ascii="Arial" w:cs="Arial" w:eastAsia="Arial" w:hAnsi="Arial"/>
                <w:sz w:val="18"/>
                <w:szCs w:val="18"/>
                <w:color w:val="auto"/>
                <w:w w:val="86"/>
              </w:rPr>
              <w:t>The accompanying notes are integral part of these consolidated statements.</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8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620" w:type="dxa"/>
            <w:vAlign w:val="bottom"/>
            <w:gridSpan w:val="2"/>
          </w:tcPr>
          <w:p>
            <w:pPr>
              <w:jc w:val="right"/>
              <w:ind w:right="2772"/>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 w:name="page5"/>
    <w:bookmarkEnd w:id="4"/>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0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3"/>
              <w:spacing w:after="0" w:line="143"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60" w:type="dxa"/>
            <w:vAlign w:val="bottom"/>
          </w:tcPr>
          <w:p>
            <w:pPr>
              <w:spacing w:after="0"/>
              <w:rPr>
                <w:sz w:val="12"/>
                <w:szCs w:val="12"/>
                <w:color w:val="auto"/>
              </w:rPr>
            </w:pP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300" w:type="dxa"/>
            <w:vAlign w:val="bottom"/>
            <w:gridSpan w:val="3"/>
          </w:tcPr>
          <w:p>
            <w:pPr>
              <w:spacing w:after="0"/>
              <w:rPr>
                <w:sz w:val="20"/>
                <w:szCs w:val="20"/>
                <w:color w:val="auto"/>
              </w:rPr>
            </w:pPr>
            <w:r>
              <w:rPr>
                <w:rFonts w:ascii="Arial" w:cs="Arial" w:eastAsia="Arial" w:hAnsi="Arial"/>
                <w:sz w:val="12"/>
                <w:szCs w:val="12"/>
                <w:b w:val="1"/>
                <w:bCs w:val="1"/>
                <w:color w:val="auto"/>
                <w:w w:val="73"/>
              </w:rPr>
              <w:t>except</w:t>
            </w:r>
          </w:p>
        </w:tc>
        <w:tc>
          <w:tcPr>
            <w:tcW w:w="10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9"/>
              </w:rPr>
              <w:t>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118,933</w:t>
            </w:r>
          </w:p>
        </w:tc>
        <w:tc>
          <w:tcPr>
            <w:tcW w:w="160" w:type="dxa"/>
            <w:vAlign w:val="bottom"/>
          </w:tcPr>
          <w:p>
            <w:pPr>
              <w:spacing w:after="0"/>
              <w:rPr>
                <w:sz w:val="18"/>
                <w:szCs w:val="18"/>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104,964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122,501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8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11,665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expense</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0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53,227</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47,357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interest income</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(29,317)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Minority interests</w:t>
            </w:r>
          </w:p>
        </w:tc>
        <w:tc>
          <w:tcPr>
            <w:tcW w:w="22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906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8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Results from discontinued operations</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90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23,136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on preferred stock</w:t>
            </w:r>
          </w:p>
        </w:tc>
        <w:tc>
          <w:tcPr>
            <w:tcW w:w="2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0"/>
        </w:trPr>
        <w:tc>
          <w:tcPr>
            <w:tcW w:w="908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9080" w:type="dxa"/>
            <w:vAlign w:val="bottom"/>
            <w:gridSpan w:val="2"/>
          </w:tcPr>
          <w:p>
            <w:pPr>
              <w:spacing w:after="0"/>
              <w:rPr>
                <w:sz w:val="20"/>
                <w:szCs w:val="20"/>
                <w:color w:val="auto"/>
              </w:rPr>
            </w:pPr>
            <w:r>
              <w:rPr>
                <w:rFonts w:ascii="Arial" w:cs="Arial" w:eastAsia="Arial" w:hAnsi="Arial"/>
                <w:sz w:val="18"/>
                <w:szCs w:val="18"/>
                <w:color w:val="auto"/>
              </w:rPr>
              <w:t>NET INCOME AVAILABLE FOR COMMON SHAREHOLDERS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23,100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28,162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9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8"/>
                <w:szCs w:val="18"/>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0.42</w:t>
            </w:r>
          </w:p>
        </w:tc>
        <w:tc>
          <w:tcPr>
            <w:tcW w:w="160" w:type="dxa"/>
            <w:vAlign w:val="bottom"/>
          </w:tcPr>
          <w:p>
            <w:pPr>
              <w:spacing w:after="0"/>
              <w:rPr>
                <w:sz w:val="19"/>
                <w:szCs w:val="19"/>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tcPr>
          <w:p>
            <w:pPr>
              <w:ind w:left="4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8"/>
                <w:szCs w:val="18"/>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0.41</w:t>
            </w:r>
          </w:p>
        </w:tc>
        <w:tc>
          <w:tcPr>
            <w:tcW w:w="160" w:type="dxa"/>
            <w:vAlign w:val="bottom"/>
          </w:tcPr>
          <w:p>
            <w:pPr>
              <w:spacing w:after="0"/>
              <w:rPr>
                <w:sz w:val="19"/>
                <w:szCs w:val="19"/>
                <w:color w:val="auto"/>
              </w:rPr>
            </w:pPr>
          </w:p>
        </w:tc>
        <w:tc>
          <w:tcPr>
            <w:tcW w:w="340" w:type="dxa"/>
            <w:vAlign w:val="bottom"/>
            <w:gridSpan w:val="2"/>
          </w:tcPr>
          <w:p>
            <w:pPr>
              <w:jc w:val="right"/>
              <w:ind w:right="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4"/>
                <w:szCs w:val="14"/>
                <w:b w:val="1"/>
                <w:bCs w:val="1"/>
                <w:color w:val="auto"/>
                <w:w w:val="90"/>
              </w:rPr>
              <w:t>For the Three Months Ended March 31, 2007</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Accumulated</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140"/>
              <w:spacing w:after="0" w:line="129" w:lineRule="exact"/>
              <w:rPr>
                <w:sz w:val="20"/>
                <w:szCs w:val="20"/>
                <w:color w:val="auto"/>
              </w:rPr>
            </w:pPr>
            <w:r>
              <w:rPr>
                <w:rFonts w:ascii="Arial" w:cs="Arial" w:eastAsia="Arial" w:hAnsi="Arial"/>
                <w:sz w:val="14"/>
                <w:szCs w:val="14"/>
                <w:b w:val="1"/>
                <w:bCs w:val="1"/>
                <w:color w:val="auto"/>
                <w:w w:val="84"/>
              </w:rPr>
              <w:t>Notes Receivable</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gridSpan w:val="4"/>
          </w:tcPr>
          <w:p>
            <w:pPr>
              <w:ind w:left="140"/>
              <w:spacing w:after="0"/>
              <w:rPr>
                <w:sz w:val="20"/>
                <w:szCs w:val="20"/>
                <w:color w:val="auto"/>
              </w:rPr>
            </w:pPr>
            <w:r>
              <w:rPr>
                <w:rFonts w:ascii="Arial" w:cs="Arial" w:eastAsia="Arial" w:hAnsi="Arial"/>
                <w:sz w:val="14"/>
                <w:szCs w:val="14"/>
                <w:b w:val="1"/>
                <w:bCs w:val="1"/>
                <w:color w:val="auto"/>
                <w:w w:val="97"/>
              </w:rPr>
              <w:t>Preferred Stock</w:t>
            </w:r>
          </w:p>
        </w:tc>
        <w:tc>
          <w:tcPr>
            <w:tcW w:w="80" w:type="dxa"/>
            <w:vAlign w:val="bottom"/>
          </w:tcPr>
          <w:p>
            <w:pPr>
              <w:spacing w:after="0"/>
              <w:rPr>
                <w:sz w:val="14"/>
                <w:szCs w:val="14"/>
                <w:color w:val="auto"/>
              </w:rPr>
            </w:pPr>
          </w:p>
        </w:tc>
        <w:tc>
          <w:tcPr>
            <w:tcW w:w="1360" w:type="dxa"/>
            <w:vAlign w:val="bottom"/>
            <w:gridSpan w:val="4"/>
          </w:tcPr>
          <w:p>
            <w:pPr>
              <w:ind w:left="200"/>
              <w:spacing w:after="0"/>
              <w:rPr>
                <w:sz w:val="20"/>
                <w:szCs w:val="20"/>
                <w:color w:val="auto"/>
              </w:rPr>
            </w:pPr>
            <w:r>
              <w:rPr>
                <w:rFonts w:ascii="Arial" w:cs="Arial" w:eastAsia="Arial" w:hAnsi="Arial"/>
                <w:sz w:val="14"/>
                <w:szCs w:val="14"/>
                <w:b w:val="1"/>
                <w:bCs w:val="1"/>
                <w:color w:val="auto"/>
              </w:rPr>
              <w:t>Common Shares</w:t>
            </w: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Additional</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Dividends</w:t>
            </w:r>
          </w:p>
        </w:tc>
        <w:tc>
          <w:tcPr>
            <w:tcW w:w="16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Treasury Shares</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from</w:t>
            </w:r>
          </w:p>
        </w:tc>
        <w:tc>
          <w:tcPr>
            <w:tcW w:w="16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2"/>
          </w:tcPr>
          <w:p>
            <w:pPr>
              <w:jc w:val="right"/>
              <w:ind w:right="320"/>
              <w:spacing w:after="0" w:line="116" w:lineRule="exact"/>
              <w:rPr>
                <w:sz w:val="20"/>
                <w:szCs w:val="20"/>
                <w:color w:val="auto"/>
              </w:rPr>
            </w:pPr>
            <w:r>
              <w:rPr>
                <w:rFonts w:ascii="Arial" w:cs="Arial" w:eastAsia="Arial" w:hAnsi="Arial"/>
                <w:sz w:val="12"/>
                <w:szCs w:val="12"/>
                <w:b w:val="1"/>
                <w:bCs w:val="1"/>
                <w:color w:val="auto"/>
              </w:rPr>
              <w:t>Paid-in</w:t>
            </w:r>
          </w:p>
        </w:tc>
        <w:tc>
          <w:tcPr>
            <w:tcW w:w="920" w:type="dxa"/>
            <w:vAlign w:val="bottom"/>
            <w:gridSpan w:val="2"/>
          </w:tcPr>
          <w:p>
            <w:pPr>
              <w:jc w:val="center"/>
              <w:ind w:right="140"/>
              <w:spacing w:after="0" w:line="116" w:lineRule="exact"/>
              <w:rPr>
                <w:sz w:val="20"/>
                <w:szCs w:val="20"/>
                <w:color w:val="auto"/>
              </w:rPr>
            </w:pPr>
            <w:r>
              <w:rPr>
                <w:rFonts w:ascii="Arial" w:cs="Arial" w:eastAsia="Arial" w:hAnsi="Arial"/>
                <w:sz w:val="12"/>
                <w:szCs w:val="12"/>
                <w:b w:val="1"/>
                <w:bCs w:val="1"/>
                <w:color w:val="auto"/>
                <w:w w:val="99"/>
              </w:rPr>
              <w:t>In Excess of</w:t>
            </w: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16" w:lineRule="exact"/>
              <w:rPr>
                <w:sz w:val="20"/>
                <w:szCs w:val="20"/>
                <w:color w:val="auto"/>
              </w:rPr>
            </w:pPr>
            <w:r>
              <w:rPr>
                <w:rFonts w:ascii="Arial" w:cs="Arial" w:eastAsia="Arial" w:hAnsi="Arial"/>
                <w:sz w:val="12"/>
                <w:szCs w:val="12"/>
                <w:b w:val="1"/>
                <w:bCs w:val="1"/>
                <w:color w:val="auto"/>
                <w:w w:val="96"/>
              </w:rPr>
              <w:t>Issuance of</w:t>
            </w:r>
          </w:p>
        </w:tc>
        <w:tc>
          <w:tcPr>
            <w:tcW w:w="880" w:type="dxa"/>
            <w:vAlign w:val="bottom"/>
            <w:gridSpan w:val="3"/>
          </w:tcPr>
          <w:p>
            <w:pPr>
              <w:spacing w:after="0" w:line="116" w:lineRule="exact"/>
              <w:rPr>
                <w:sz w:val="20"/>
                <w:szCs w:val="20"/>
                <w:color w:val="auto"/>
              </w:rPr>
            </w:pPr>
            <w:r>
              <w:rPr>
                <w:rFonts w:ascii="Arial" w:cs="Arial" w:eastAsia="Arial" w:hAnsi="Arial"/>
                <w:sz w:val="12"/>
                <w:szCs w:val="12"/>
                <w:b w:val="1"/>
                <w:bCs w:val="1"/>
                <w:color w:val="auto"/>
              </w:rPr>
              <w:t>Shareholders’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5"/>
                <w:szCs w:val="15"/>
                <w:color w:val="auto"/>
              </w:rPr>
            </w:pPr>
          </w:p>
        </w:tc>
        <w:tc>
          <w:tcPr>
            <w:tcW w:w="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5"/>
                <w:szCs w:val="15"/>
                <w:color w:val="auto"/>
              </w:rPr>
            </w:pP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5"/>
                <w:szCs w:val="15"/>
                <w:color w:val="auto"/>
              </w:rPr>
            </w:pPr>
          </w:p>
        </w:tc>
        <w:tc>
          <w:tcPr>
            <w:tcW w:w="800" w:type="dxa"/>
            <w:vAlign w:val="bottom"/>
            <w:tcBorders>
              <w:bottom w:val="single" w:sz="8" w:color="auto"/>
            </w:tcBorders>
          </w:tcPr>
          <w:p>
            <w:pPr>
              <w:jc w:val="right"/>
              <w:ind w:right="124"/>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Net Income</w:t>
            </w:r>
          </w:p>
        </w:tc>
        <w:tc>
          <w:tcPr>
            <w:tcW w:w="140" w:type="dxa"/>
            <w:vAlign w:val="bottom"/>
          </w:tcPr>
          <w:p>
            <w:pPr>
              <w:spacing w:after="0"/>
              <w:rPr>
                <w:sz w:val="15"/>
                <w:szCs w:val="15"/>
                <w:color w:val="auto"/>
              </w:rPr>
            </w:pPr>
          </w:p>
        </w:tc>
        <w:tc>
          <w:tcPr>
            <w:tcW w:w="76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Common Shares</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8"/>
              </w:rPr>
              <w:t>Equity</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gridSpan w:val="6"/>
          </w:tcPr>
          <w:p>
            <w:pPr>
              <w:jc w:val="right"/>
              <w:ind w:right="380"/>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9"/>
              </w:rPr>
              <w:t>BALANCE AT DECEMBER 31, 2006</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56,805,816</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568</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$1,281,217</w:t>
            </w:r>
          </w:p>
        </w:tc>
        <w:tc>
          <w:tcPr>
            <w:tcW w:w="1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0"/>
              </w:rPr>
              <w:t>$ (467,369) (1,485,279)</w:t>
            </w:r>
          </w:p>
        </w:tc>
        <w:tc>
          <w:tcPr>
            <w:tcW w:w="8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5"/>
              </w:rPr>
              <w:t>$ (28,807)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center"/>
              <w:ind w:left="236"/>
              <w:spacing w:after="0"/>
              <w:rPr>
                <w:sz w:val="20"/>
                <w:szCs w:val="20"/>
                <w:color w:val="auto"/>
              </w:rPr>
            </w:pPr>
            <w:r>
              <w:rPr>
                <w:rFonts w:ascii="Arial" w:cs="Arial" w:eastAsia="Arial" w:hAnsi="Arial"/>
                <w:sz w:val="18"/>
                <w:szCs w:val="18"/>
                <w:color w:val="auto"/>
                <w:w w:val="87"/>
              </w:rPr>
              <w:t>(1,531)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784,078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2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4"/>
                <w:szCs w:val="24"/>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23,136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80" w:type="dxa"/>
            <w:vAlign w:val="bottom"/>
            <w:gridSpan w:val="2"/>
          </w:tcPr>
          <w:p>
            <w:pPr>
              <w:jc w:val="center"/>
              <w:ind w:left="2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23,136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to common</w:t>
            </w: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shareholders</w:t>
            </w:r>
          </w:p>
        </w:tc>
        <w:tc>
          <w:tcPr>
            <w:tcW w:w="2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(32,383)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Dividends declared to preferred</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shareholders</w:t>
            </w:r>
          </w:p>
        </w:tc>
        <w:tc>
          <w:tcPr>
            <w:tcW w:w="2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center"/>
              <w:ind w:left="2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37,221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60" w:type="dxa"/>
            <w:vAlign w:val="bottom"/>
            <w:gridSpan w:val="4"/>
          </w:tcPr>
          <w:p>
            <w:pPr>
              <w:spacing w:after="0"/>
              <w:rPr>
                <w:sz w:val="20"/>
                <w:szCs w:val="20"/>
                <w:color w:val="auto"/>
              </w:rPr>
            </w:pPr>
            <w:r>
              <w:rPr>
                <w:rFonts w:ascii="Arial" w:cs="Arial" w:eastAsia="Arial" w:hAnsi="Arial"/>
                <w:sz w:val="18"/>
                <w:szCs w:val="18"/>
                <w:color w:val="auto"/>
              </w:rPr>
              <w:t>Shares issued under dividend reinvestment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rPr>
              <w:t>plan</w:t>
            </w:r>
          </w:p>
        </w:tc>
        <w:tc>
          <w:tcPr>
            <w:tcW w:w="2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8,387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720</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center"/>
              <w:ind w:left="2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9"/>
              </w:rPr>
              <w:t>Share-based compensation expense</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96,592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1</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1,822</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w w:val="96"/>
              </w:rPr>
              <w:t>Conversions and cash redemptions of</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40" w:type="dxa"/>
            <w:vAlign w:val="bottom"/>
          </w:tcPr>
          <w:p>
            <w:pPr>
              <w:ind w:left="200"/>
              <w:spacing w:after="0"/>
              <w:rPr>
                <w:sz w:val="20"/>
                <w:szCs w:val="20"/>
                <w:color w:val="auto"/>
              </w:rPr>
            </w:pPr>
            <w:r>
              <w:rPr>
                <w:rFonts w:ascii="Arial" w:cs="Arial" w:eastAsia="Arial" w:hAnsi="Arial"/>
                <w:sz w:val="18"/>
                <w:szCs w:val="18"/>
                <w:color w:val="auto"/>
                <w:w w:val="90"/>
              </w:rPr>
              <w:t>downREIT operating partnership units</w:t>
            </w:r>
          </w:p>
        </w:tc>
        <w:tc>
          <w:tcPr>
            <w:tcW w:w="240" w:type="dxa"/>
            <w:vAlign w:val="bottom"/>
          </w:tcPr>
          <w:p>
            <w:pPr>
              <w:spacing w:after="0"/>
              <w:rPr>
                <w:sz w:val="19"/>
                <w:szCs w:val="19"/>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center"/>
              <w:ind w:left="2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884,066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240"/>
              <w:spacing w:after="0"/>
              <w:rPr>
                <w:sz w:val="20"/>
                <w:szCs w:val="20"/>
                <w:color w:val="auto"/>
              </w:rPr>
            </w:pPr>
            <w:r>
              <w:rPr>
                <w:rFonts w:ascii="Arial" w:cs="Arial" w:eastAsia="Arial" w:hAnsi="Arial"/>
                <w:sz w:val="18"/>
                <w:szCs w:val="18"/>
                <w:color w:val="auto"/>
                <w:w w:val="79"/>
              </w:rPr>
              <w:t>9</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77,948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Preferred shares issued</w:t>
            </w:r>
          </w:p>
        </w:tc>
        <w:tc>
          <w:tcPr>
            <w:tcW w:w="920" w:type="dxa"/>
            <w:vAlign w:val="bottom"/>
            <w:gridSpan w:val="3"/>
          </w:tcPr>
          <w:p>
            <w:pPr>
              <w:jc w:val="center"/>
              <w:ind w:left="72"/>
              <w:spacing w:after="0"/>
              <w:rPr>
                <w:sz w:val="20"/>
                <w:szCs w:val="20"/>
                <w:color w:val="auto"/>
              </w:rPr>
            </w:pPr>
            <w:r>
              <w:rPr>
                <w:rFonts w:ascii="Arial" w:cs="Arial" w:eastAsia="Arial" w:hAnsi="Arial"/>
                <w:sz w:val="18"/>
                <w:szCs w:val="18"/>
                <w:color w:val="auto"/>
                <w:w w:val="86"/>
              </w:rPr>
              <w:t>399,896</w:t>
            </w:r>
          </w:p>
        </w:tc>
        <w:tc>
          <w:tcPr>
            <w:tcW w:w="8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Arial" w:cs="Arial" w:eastAsia="Arial" w:hAnsi="Arial"/>
                <w:sz w:val="18"/>
                <w:szCs w:val="18"/>
                <w:color w:val="auto"/>
                <w:w w:val="88"/>
              </w:rPr>
              <w:t>9,997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center"/>
              <w:ind w:left="276"/>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9,997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2007</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6"/>
              </w:rPr>
              <w:t>399,896</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9,997 57,832,082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8"/>
                <w:szCs w:val="18"/>
                <w:color w:val="auto"/>
                <w:w w:val="79"/>
              </w:rPr>
              <w:t>578</w:t>
            </w: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1,363,394</w:t>
            </w:r>
          </w:p>
        </w:tc>
        <w:tc>
          <w:tcPr>
            <w:tcW w:w="274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w w:val="91"/>
              </w:rPr>
              <w:t xml:space="preserve">$ (476,652) (1,485,279) </w:t>
            </w:r>
            <w:r>
              <w:rPr>
                <w:rFonts w:ascii="Arial" w:cs="Arial" w:eastAsia="Arial" w:hAnsi="Arial"/>
                <w:sz w:val="18"/>
                <w:szCs w:val="18"/>
                <w:u w:val="single" w:color="auto"/>
                <w:color w:val="auto"/>
                <w:w w:val="91"/>
              </w:rPr>
              <w:t>$</w:t>
            </w:r>
            <w:r>
              <w:rPr>
                <w:rFonts w:ascii="Arial" w:cs="Arial" w:eastAsia="Arial" w:hAnsi="Arial"/>
                <w:sz w:val="18"/>
                <w:szCs w:val="18"/>
                <w:color w:val="auto"/>
                <w:w w:val="91"/>
              </w:rPr>
              <w:t xml:space="preserve"> (28,807) $</w:t>
            </w:r>
          </w:p>
        </w:tc>
        <w:tc>
          <w:tcPr>
            <w:tcW w:w="980" w:type="dxa"/>
            <w:vAlign w:val="bottom"/>
            <w:gridSpan w:val="2"/>
            <w:shd w:val="clear" w:color="auto" w:fill="CCEEFF"/>
          </w:tcPr>
          <w:p>
            <w:pPr>
              <w:jc w:val="center"/>
              <w:ind w:left="236"/>
              <w:spacing w:after="0"/>
              <w:rPr>
                <w:sz w:val="20"/>
                <w:szCs w:val="20"/>
                <w:color w:val="auto"/>
              </w:rPr>
            </w:pPr>
            <w:r>
              <w:rPr>
                <w:rFonts w:ascii="Arial" w:cs="Arial" w:eastAsia="Arial" w:hAnsi="Arial"/>
                <w:sz w:val="18"/>
                <w:szCs w:val="18"/>
                <w:color w:val="auto"/>
                <w:w w:val="87"/>
              </w:rPr>
              <w:t>(1,531)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866,979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660" w:type="dxa"/>
            <w:vAlign w:val="bottom"/>
            <w:gridSpan w:val="17"/>
          </w:tcPr>
          <w:p>
            <w:pPr>
              <w:jc w:val="right"/>
              <w:ind w:right="160"/>
              <w:spacing w:after="0"/>
              <w:rPr>
                <w:sz w:val="20"/>
                <w:szCs w:val="20"/>
                <w:color w:val="auto"/>
              </w:rPr>
            </w:pPr>
            <w:r>
              <w:rPr>
                <w:rFonts w:ascii="Arial" w:cs="Arial" w:eastAsia="Arial" w:hAnsi="Arial"/>
                <w:sz w:val="18"/>
                <w:szCs w:val="18"/>
                <w:color w:val="auto"/>
                <w:w w:val="86"/>
              </w:rPr>
              <w:t>The accompanying notes are an integral part of these consolidated statements.</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ind w:left="20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7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3" w:lineRule="exact"/>
              <w:rPr>
                <w:sz w:val="20"/>
                <w:szCs w:val="20"/>
                <w:color w:val="auto"/>
              </w:rPr>
            </w:pPr>
            <w:r>
              <w:rPr>
                <w:rFonts w:ascii="Arial" w:cs="Arial" w:eastAsia="Arial" w:hAnsi="Arial"/>
                <w:sz w:val="14"/>
                <w:szCs w:val="14"/>
                <w:b w:val="1"/>
                <w:bCs w:val="1"/>
                <w:color w:val="auto"/>
              </w:rPr>
              <w:t>2007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640" w:type="dxa"/>
            <w:vAlign w:val="bottom"/>
          </w:tcPr>
          <w:p>
            <w:pPr>
              <w:jc w:val="right"/>
              <w:ind w:right="13"/>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right"/>
              <w:ind w:right="293"/>
              <w:spacing w:after="0" w:line="142" w:lineRule="exact"/>
              <w:rPr>
                <w:sz w:val="20"/>
                <w:szCs w:val="20"/>
                <w:color w:val="auto"/>
              </w:rPr>
            </w:pPr>
            <w:r>
              <w:rPr>
                <w:rFonts w:ascii="Arial" w:cs="Arial" w:eastAsia="Arial" w:hAnsi="Arial"/>
                <w:sz w:val="14"/>
                <w:szCs w:val="14"/>
                <w:b w:val="1"/>
                <w:bCs w:val="1"/>
                <w:color w:val="auto"/>
                <w:w w:val="71"/>
              </w:rPr>
              <w:t>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w w:val="88"/>
              </w:rPr>
              <w:t>$ 23,136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 including discontinued operations</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26,484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24,037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 on sale of real estate</w:t>
            </w: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Equity in income from real estate partnership</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Minority interests</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1,296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Other, net</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assets and liabilities net of effects of acquisitions and dispositions: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(Increase) decrease in accounts receivable</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prepaid expenses and other assets</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3,074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Increase (decrease) in accounts payable, security deposits and prepaid rent</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4,924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 accrued expenses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(757)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55,685</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47,401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Acquisition of real estate</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(24,593)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(20,847)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expenditures—development and redevelopment</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(25,983)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(20,206)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Capital expenditures—other</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(4,603)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 of real estate</w:t>
            </w: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Investment in real estate partnership</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(21,628)</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 from real estate partnership in excess of earnings</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Leasing costs</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(issuance) of mortgage and other notes receivable, net</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420"/>
              <w:spacing w:after="0"/>
              <w:rPr>
                <w:sz w:val="20"/>
                <w:szCs w:val="20"/>
                <w:color w:val="auto"/>
              </w:rPr>
            </w:pPr>
            <w:r>
              <w:rPr>
                <w:rFonts w:ascii="Arial" w:cs="Arial" w:eastAsia="Arial" w:hAnsi="Arial"/>
                <w:sz w:val="18"/>
                <w:szCs w:val="18"/>
                <w:color w:val="auto"/>
              </w:rPr>
              <w:t>Net cash used in investing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(78,594)</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(11,899)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borrowings under revolving credit facility, net of costs</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59,500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43,500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senior debentures</w:t>
            </w:r>
          </w:p>
        </w:tc>
        <w:tc>
          <w:tcPr>
            <w:tcW w:w="92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(40,500)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Repayment of mortgages, capital leases and notes payable</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(1,719)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common shares</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2,469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Dividends paid to common and preferred shareholders</w:t>
            </w:r>
          </w:p>
        </w:tc>
        <w:tc>
          <w:tcPr>
            <w:tcW w:w="920" w:type="dxa"/>
            <w:vAlign w:val="bottom"/>
            <w:gridSpan w:val="2"/>
          </w:tcPr>
          <w:p>
            <w:pPr>
              <w:jc w:val="right"/>
              <w:ind w:right="152"/>
              <w:spacing w:after="0"/>
              <w:rPr>
                <w:sz w:val="20"/>
                <w:szCs w:val="20"/>
                <w:color w:val="auto"/>
              </w:rPr>
            </w:pPr>
            <w:r>
              <w:rPr>
                <w:rFonts w:ascii="Arial" w:cs="Arial" w:eastAsia="Arial" w:hAnsi="Arial"/>
                <w:sz w:val="18"/>
                <w:szCs w:val="18"/>
                <w:color w:val="auto"/>
              </w:rPr>
              <w:t>(31,810)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(42,830)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to minority interests</w:t>
            </w:r>
          </w:p>
        </w:tc>
        <w:tc>
          <w:tcPr>
            <w:tcW w:w="9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(1,039)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420"/>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27,401</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(39,349)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rPr>
              <w:t>4,492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920" w:type="dxa"/>
            <w:vAlign w:val="bottom"/>
            <w:gridSpan w:val="2"/>
          </w:tcPr>
          <w:p>
            <w:pPr>
              <w:jc w:val="right"/>
              <w:ind w:right="212"/>
              <w:spacing w:after="0"/>
              <w:rPr>
                <w:sz w:val="20"/>
                <w:szCs w:val="20"/>
                <w:color w:val="auto"/>
              </w:rPr>
            </w:pPr>
            <w:r>
              <w:rPr>
                <w:rFonts w:ascii="Arial" w:cs="Arial" w:eastAsia="Arial" w:hAnsi="Arial"/>
                <w:sz w:val="18"/>
                <w:szCs w:val="18"/>
                <w:color w:val="auto"/>
              </w:rPr>
              <w:t>11,495</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8,639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920" w:type="dxa"/>
            <w:vAlign w:val="bottom"/>
            <w:gridSpan w:val="2"/>
            <w:shd w:val="clear" w:color="auto" w:fill="CCEEFF"/>
          </w:tcPr>
          <w:p>
            <w:pPr>
              <w:jc w:val="right"/>
              <w:ind w:right="212"/>
              <w:spacing w:after="0"/>
              <w:rPr>
                <w:sz w:val="20"/>
                <w:szCs w:val="20"/>
                <w:color w:val="auto"/>
              </w:rPr>
            </w:pPr>
            <w:r>
              <w:rPr>
                <w:rFonts w:ascii="Arial" w:cs="Arial" w:eastAsia="Arial" w:hAnsi="Arial"/>
                <w:sz w:val="18"/>
                <w:szCs w:val="18"/>
                <w:color w:val="auto"/>
                <w:w w:val="88"/>
              </w:rPr>
              <w:t>$ 15,987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7" w:name="page8"/>
    <w:bookmarkEnd w:id="7"/>
    <w:p>
      <w:pPr>
        <w:ind w:left="45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Federal Realty Investment Trust</w:t>
      </w:r>
    </w:p>
    <w:p>
      <w:pPr>
        <w:spacing w:after="0" w:line="171"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A—SUMMARY OF SIGNIFICANT ACCOUNTING POLICIES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Organization</w:t>
      </w:r>
    </w:p>
    <w:p>
      <w:pPr>
        <w:spacing w:after="0" w:line="9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Federal Realty Investment Trust (the “Trust”) is an equity real estate investment trust specializing in the ownership, management, development and redevelopment of retail and mixed-use properties. Our properties are located primarily in densely populated and affluent communities in strategic metropolitan markets in the Mid-Atlantic and Northeast regions of the United States, as well as in California.</w:t>
      </w:r>
    </w:p>
    <w:p>
      <w:pPr>
        <w:spacing w:after="0" w:line="140" w:lineRule="exact"/>
        <w:rPr>
          <w:sz w:val="20"/>
          <w:szCs w:val="20"/>
          <w:color w:val="auto"/>
        </w:rPr>
      </w:pPr>
    </w:p>
    <w:p>
      <w:pPr>
        <w:ind w:right="360"/>
        <w:spacing w:after="0" w:line="298" w:lineRule="auto"/>
        <w:rPr>
          <w:sz w:val="20"/>
          <w:szCs w:val="20"/>
          <w:color w:val="auto"/>
        </w:rPr>
      </w:pPr>
      <w:r>
        <w:rPr>
          <w:rFonts w:ascii="Arial" w:cs="Arial" w:eastAsia="Arial" w:hAnsi="Arial"/>
          <w:sz w:val="16"/>
          <w:szCs w:val="16"/>
          <w:color w:val="auto"/>
        </w:rPr>
        <w:t>We operate in a manner intended to enable us to qualify as a real estate investment trust (or REIT) for federal income tax purposes. A REIT that distributes at least 90% of its taxable income to its shareholders each year and meets certain other conditions is not taxed on that portion of its taxable income which is distributed to its shareholders. Therefore, federal income taxes on our REIT taxable income have been and are generally expected to be immaterial. We are obligated to pay state taxes, generally consisting of franchise or gross receipts taxes in certain states. Such state taxes also have not been material.</w:t>
      </w:r>
    </w:p>
    <w:p>
      <w:pPr>
        <w:spacing w:after="0" w:line="11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elected to treat certain of our subsidiaries as taxable REIT subsidiaries, each of which we refer to as a TRS. In general, a TRS may engage in any real estate business and certain non-real estate businesses, subject to certain limitations under the Internal Revenue Code of 1986 (the “Code”). A TRS is subject to federal and state income taxes. The sales of condominiums at Santana Row, which went from August 2005 through August 2006, were conducted through a TRS. Other than the sales of these condominiums, our TRS activities have not been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Our consolidated financial statements include the accounts of the Trust, its corporate subsidiaries, and all entities in which the Trust has a controlling interest or has been determined to be the primary beneficiary of a variable interest entity. The equity interests of other investors are reflected as minority interests. All significant intercompany transactions and balances are eliminated in consolidation. We account for our interests in joint ventures, which we do not control, using the equity method of accounting. Certain amounts in the 2006 consolidated financial statements have been reclassified to conform to current period presentation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Flows—Supplemental Disclosures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disclosures related to the 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88"/>
              </w:rPr>
              <w:t>Three Months Ended March 31,</w:t>
            </w:r>
          </w:p>
        </w:tc>
      </w:tr>
      <w:tr>
        <w:trPr>
          <w:trHeight w:val="142"/>
        </w:trPr>
        <w:tc>
          <w:tcPr>
            <w:tcW w:w="96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thousands)</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Total interest costs incurred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31,250</w:t>
            </w:r>
          </w:p>
        </w:tc>
        <w:tc>
          <w:tcPr>
            <w:tcW w:w="240" w:type="dxa"/>
            <w:vAlign w:val="bottom"/>
          </w:tcPr>
          <w:p>
            <w:pPr>
              <w:spacing w:after="0"/>
              <w:rPr>
                <w:sz w:val="18"/>
                <w:szCs w:val="18"/>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24,984</w:t>
            </w:r>
          </w:p>
        </w:tc>
        <w:tc>
          <w:tcPr>
            <w:tcW w:w="220" w:type="dxa"/>
            <w:vAlign w:val="bottom"/>
          </w:tcPr>
          <w:p>
            <w:pPr>
              <w:spacing w:after="0"/>
              <w:rPr>
                <w:sz w:val="18"/>
                <w:szCs w:val="18"/>
                <w:color w:val="auto"/>
              </w:rPr>
            </w:pP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Interest capitalized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(1,933)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w:t>
            </w:r>
          </w:p>
        </w:tc>
      </w:tr>
      <w:tr>
        <w:trPr>
          <w:trHeight w:val="222"/>
        </w:trPr>
        <w:tc>
          <w:tcPr>
            <w:tcW w:w="9080" w:type="dxa"/>
            <w:vAlign w:val="bottom"/>
            <w:gridSpan w:val="2"/>
          </w:tcPr>
          <w:p>
            <w:pPr>
              <w:ind w:left="88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24,280</w:t>
            </w:r>
          </w:p>
        </w:tc>
        <w:tc>
          <w:tcPr>
            <w:tcW w:w="22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1"/>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23,755</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17,543</w:t>
            </w:r>
          </w:p>
        </w:tc>
        <w:tc>
          <w:tcPr>
            <w:tcW w:w="22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Cash paid for income taxes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658</w:t>
            </w:r>
          </w:p>
        </w:tc>
        <w:tc>
          <w:tcPr>
            <w:tcW w:w="240" w:type="dxa"/>
            <w:vAlign w:val="bottom"/>
          </w:tcPr>
          <w:p>
            <w:pPr>
              <w:spacing w:after="0"/>
              <w:rPr>
                <w:sz w:val="18"/>
                <w:szCs w:val="18"/>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1,912(1)</w:t>
            </w: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TRANSACTIONS: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Mortgage loans assumed with acquisition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73,979</w:t>
            </w:r>
          </w:p>
        </w:tc>
        <w:tc>
          <w:tcPr>
            <w:tcW w:w="240" w:type="dxa"/>
            <w:vAlign w:val="bottom"/>
          </w:tcPr>
          <w:p>
            <w:pPr>
              <w:spacing w:after="0"/>
              <w:rPr>
                <w:sz w:val="18"/>
                <w:szCs w:val="18"/>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Common shares issued with acquisition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77,957</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gridSpan w:val="2"/>
          </w:tcPr>
          <w:p>
            <w:pPr>
              <w:ind w:left="440"/>
              <w:spacing w:after="0"/>
              <w:rPr>
                <w:sz w:val="20"/>
                <w:szCs w:val="20"/>
                <w:color w:val="auto"/>
              </w:rPr>
            </w:pPr>
            <w:r>
              <w:rPr>
                <w:rFonts w:ascii="Arial" w:cs="Arial" w:eastAsia="Arial" w:hAnsi="Arial"/>
                <w:sz w:val="18"/>
                <w:szCs w:val="18"/>
                <w:color w:val="auto"/>
              </w:rPr>
              <w:t>Preferred shares issued with acquisition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9,997</w:t>
            </w:r>
          </w:p>
        </w:tc>
        <w:tc>
          <w:tcPr>
            <w:tcW w:w="240" w:type="dxa"/>
            <w:vAlign w:val="bottom"/>
          </w:tcPr>
          <w:p>
            <w:pPr>
              <w:spacing w:after="0"/>
              <w:rPr>
                <w:sz w:val="18"/>
                <w:szCs w:val="18"/>
                <w:color w:val="auto"/>
              </w:rPr>
            </w:pPr>
          </w:p>
        </w:tc>
        <w:tc>
          <w:tcPr>
            <w:tcW w:w="4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DownREIT operating partnership units issued with acquisition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2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r>
      <w:tr>
        <w:trPr>
          <w:trHeight w:val="108"/>
        </w:trPr>
        <w:tc>
          <w:tcPr>
            <w:tcW w:w="960" w:type="dxa"/>
            <w:vAlign w:val="bottom"/>
            <w:tcBorders>
              <w:bottom w:val="single" w:sz="8" w:color="auto"/>
            </w:tcBorders>
          </w:tcPr>
          <w:p>
            <w:pPr>
              <w:spacing w:after="0"/>
              <w:rPr>
                <w:sz w:val="9"/>
                <w:szCs w:val="9"/>
                <w:color w:val="auto"/>
              </w:rPr>
            </w:pPr>
          </w:p>
        </w:tc>
        <w:tc>
          <w:tcPr>
            <w:tcW w:w="8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00" w:lineRule="exact"/>
        <w:rPr>
          <w:sz w:val="20"/>
          <w:szCs w:val="20"/>
          <w:color w:val="auto"/>
        </w:rPr>
      </w:pPr>
    </w:p>
    <w:p>
      <w:pPr>
        <w:ind w:left="460" w:right="200" w:hanging="452"/>
        <w:spacing w:after="0" w:line="268"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paid for income taxes for the three months ended March 31, 2006 includes $1.6 million related to the sales of condominiums at Santana Row which were conducted through a TRS.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Accounting for Income Taxes</w:t>
      </w:r>
    </w:p>
    <w:p>
      <w:pPr>
        <w:spacing w:after="0" w:line="96"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In July 2006, the Financial Accounting Standards Board (“FASB”) issued FASB Interpretation No. 48 (“FIN 48”), “Accounting for Uncertainty in Income Taxes”—an interpretation of FASB Statement No. 109, “Accounting for Income Taxes.” FIN 48 was issued to reduce the diversity in practice associated with certain aspects of recognition, disclosure and measurement related to accounting for uncertain income tax positions. We adopted FIN 48 effective January 1, 2007. The adoption of FIN 48 did not have a material impact on our financial position, results of operation, or cash flows. We recognize penalties and interest accrued related to unrecognized tax benefits as income tax expense. With few exceptions, we are no longer subject to U.S. federal, state, and local tax examinations by tax authorities for years before 2003. As of March 31, 2007, we had no material unrecognized tax benefits.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In September 2006, the FASB issued SFAS No. 157 “Fair Value Measurements.” SFAS No. 157 defines fair value, establishes a framework for measuring fair value in generally accepted accounting principles, and expands disclosures about fair value measurements. SFAS No. 157 applies to accounting pronouncements that require or permit fair value measurements, except for share-based payments under SFAS No. 123(R). We are required to adopt SFAS No. 157 effective January 1, 2008. We do not believe the adoption of SFAS No. 157 will have a material impact on our financial position, results of operations or cash flows.</w:t>
      </w:r>
    </w:p>
    <w:p>
      <w:pPr>
        <w:spacing w:after="0" w:line="98"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Including an Amendment of FASB Statement No. 115” (“SFAS No. 159”). This standard permits entities to choose to measure many financial instruments and certain other items at fair value and is effective for the first fiscal year beginning after November 15, 2007. We do not expect SFAS No. 159 to have a material impact on our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B—REAL ESTATE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acquisitions made by us and our consolidated affiliates during the three months ended March 31,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3"/>
              </w:rPr>
              <w:t>Gross</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960" w:type="dxa"/>
            <w:vAlign w:val="bottom"/>
          </w:tcPr>
          <w:p>
            <w:pPr>
              <w:spacing w:after="0"/>
              <w:rPr>
                <w:sz w:val="15"/>
                <w:szCs w:val="15"/>
                <w:color w:val="auto"/>
              </w:rPr>
            </w:pPr>
          </w:p>
        </w:tc>
        <w:tc>
          <w:tcPr>
            <w:tcW w:w="1860" w:type="dxa"/>
            <w:vAlign w:val="bottom"/>
          </w:tcPr>
          <w:p>
            <w:pPr>
              <w:ind w:left="320"/>
              <w:spacing w:after="0"/>
              <w:rPr>
                <w:sz w:val="20"/>
                <w:szCs w:val="20"/>
                <w:color w:val="auto"/>
              </w:rPr>
            </w:pPr>
            <w:r>
              <w:rPr>
                <w:rFonts w:ascii="Arial" w:cs="Arial" w:eastAsia="Arial" w:hAnsi="Arial"/>
                <w:sz w:val="14"/>
                <w:szCs w:val="14"/>
                <w:b w:val="1"/>
                <w:bCs w:val="1"/>
                <w:color w:val="auto"/>
              </w:rPr>
              <w:t>Date</w:t>
            </w:r>
          </w:p>
        </w:tc>
        <w:tc>
          <w:tcPr>
            <w:tcW w:w="380" w:type="dxa"/>
            <w:vAlign w:val="bottom"/>
          </w:tcPr>
          <w:p>
            <w:pPr>
              <w:spacing w:after="0"/>
              <w:rPr>
                <w:sz w:val="15"/>
                <w:szCs w:val="15"/>
                <w:color w:val="auto"/>
              </w:rPr>
            </w:pPr>
          </w:p>
        </w:tc>
        <w:tc>
          <w:tcPr>
            <w:tcW w:w="2720" w:type="dxa"/>
            <w:vAlign w:val="bottom"/>
          </w:tcPr>
          <w:p>
            <w:pPr>
              <w:ind w:left="1100"/>
              <w:spacing w:after="0"/>
              <w:rPr>
                <w:sz w:val="20"/>
                <w:szCs w:val="20"/>
                <w:color w:val="auto"/>
              </w:rPr>
            </w:pPr>
            <w:r>
              <w:rPr>
                <w:rFonts w:ascii="Arial" w:cs="Arial" w:eastAsia="Arial" w:hAnsi="Arial"/>
                <w:sz w:val="14"/>
                <w:szCs w:val="14"/>
                <w:b w:val="1"/>
                <w:bCs w:val="1"/>
                <w:color w:val="auto"/>
              </w:rPr>
              <w:t>Property</w:t>
            </w:r>
          </w:p>
        </w:tc>
        <w:tc>
          <w:tcPr>
            <w:tcW w:w="380" w:type="dxa"/>
            <w:vAlign w:val="bottom"/>
          </w:tcPr>
          <w:p>
            <w:pPr>
              <w:spacing w:after="0"/>
              <w:rPr>
                <w:sz w:val="15"/>
                <w:szCs w:val="15"/>
                <w:color w:val="auto"/>
              </w:rPr>
            </w:pPr>
          </w:p>
        </w:tc>
        <w:tc>
          <w:tcPr>
            <w:tcW w:w="2400" w:type="dxa"/>
            <w:vAlign w:val="bottom"/>
          </w:tcPr>
          <w:p>
            <w:pPr>
              <w:ind w:left="900"/>
              <w:spacing w:after="0"/>
              <w:rPr>
                <w:sz w:val="20"/>
                <w:szCs w:val="20"/>
                <w:color w:val="auto"/>
              </w:rPr>
            </w:pPr>
            <w:r>
              <w:rPr>
                <w:rFonts w:ascii="Arial" w:cs="Arial" w:eastAsia="Arial" w:hAnsi="Arial"/>
                <w:sz w:val="14"/>
                <w:szCs w:val="14"/>
                <w:b w:val="1"/>
                <w:bCs w:val="1"/>
                <w:color w:val="auto"/>
              </w:rPr>
              <w:t>City, State</w:t>
            </w:r>
          </w:p>
        </w:tc>
        <w:tc>
          <w:tcPr>
            <w:tcW w:w="38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Leasable Area</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Purchase Price</w:t>
            </w:r>
          </w:p>
        </w:tc>
      </w:tr>
      <w:tr>
        <w:trPr>
          <w:trHeight w:val="142"/>
        </w:trPr>
        <w:tc>
          <w:tcPr>
            <w:tcW w:w="960" w:type="dxa"/>
            <w:vAlign w:val="bottom"/>
            <w:tcBorders>
              <w:top w:val="single" w:sz="8" w:color="auto"/>
            </w:tcBorders>
          </w:tcPr>
          <w:p>
            <w:pPr>
              <w:spacing w:after="0"/>
              <w:rPr>
                <w:sz w:val="12"/>
                <w:szCs w:val="12"/>
                <w:color w:val="auto"/>
              </w:rPr>
            </w:pPr>
          </w:p>
        </w:tc>
        <w:tc>
          <w:tcPr>
            <w:tcW w:w="18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square feet)</w:t>
            </w:r>
          </w:p>
        </w:tc>
        <w:tc>
          <w:tcPr>
            <w:tcW w:w="380" w:type="dxa"/>
            <w:vAlign w:val="bottom"/>
          </w:tcPr>
          <w:p>
            <w:pPr>
              <w:spacing w:after="0"/>
              <w:rPr>
                <w:sz w:val="12"/>
                <w:szCs w:val="12"/>
                <w:color w:val="auto"/>
              </w:rPr>
            </w:pPr>
          </w:p>
        </w:tc>
        <w:tc>
          <w:tcPr>
            <w:tcW w:w="8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6"/>
              </w:rPr>
              <w:t>(In millions)</w:t>
            </w:r>
          </w:p>
        </w:tc>
        <w:tc>
          <w:tcPr>
            <w:tcW w:w="220" w:type="dxa"/>
            <w:vAlign w:val="bottom"/>
          </w:tcPr>
          <w:p>
            <w:pPr>
              <w:spacing w:after="0"/>
              <w:rPr>
                <w:sz w:val="12"/>
                <w:szCs w:val="12"/>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2007</w:t>
            </w: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1020 Revere Beach Parkway</w:t>
            </w:r>
          </w:p>
        </w:tc>
        <w:tc>
          <w:tcPr>
            <w:tcW w:w="2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Chelsea, MA</w:t>
            </w:r>
          </w:p>
        </w:tc>
        <w:tc>
          <w:tcPr>
            <w:tcW w:w="1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17,000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February 28, 2007</w:t>
            </w:r>
          </w:p>
        </w:tc>
        <w:tc>
          <w:tcPr>
            <w:tcW w:w="3100" w:type="dxa"/>
            <w:vAlign w:val="bottom"/>
            <w:gridSpan w:val="2"/>
          </w:tcPr>
          <w:p>
            <w:pPr>
              <w:ind w:left="380"/>
              <w:spacing w:after="0"/>
              <w:rPr>
                <w:sz w:val="20"/>
                <w:szCs w:val="20"/>
                <w:color w:val="auto"/>
              </w:rPr>
            </w:pPr>
            <w:r>
              <w:rPr>
                <w:rFonts w:ascii="Arial" w:cs="Arial" w:eastAsia="Arial" w:hAnsi="Arial"/>
                <w:sz w:val="18"/>
                <w:szCs w:val="18"/>
                <w:color w:val="auto"/>
              </w:rPr>
              <w:t>Crow Canyon Crest</w:t>
            </w:r>
          </w:p>
        </w:tc>
        <w:tc>
          <w:tcPr>
            <w:tcW w:w="2780" w:type="dxa"/>
            <w:vAlign w:val="bottom"/>
            <w:gridSpan w:val="2"/>
          </w:tcPr>
          <w:p>
            <w:pPr>
              <w:ind w:left="380"/>
              <w:spacing w:after="0"/>
              <w:rPr>
                <w:sz w:val="20"/>
                <w:szCs w:val="20"/>
                <w:color w:val="auto"/>
              </w:rPr>
            </w:pPr>
            <w:r>
              <w:rPr>
                <w:rFonts w:ascii="Arial" w:cs="Arial" w:eastAsia="Arial" w:hAnsi="Arial"/>
                <w:sz w:val="18"/>
                <w:szCs w:val="18"/>
                <w:color w:val="auto"/>
              </w:rPr>
              <w:t>San Ramon, CA</w:t>
            </w:r>
          </w:p>
        </w:tc>
        <w:tc>
          <w:tcPr>
            <w:tcW w:w="1640" w:type="dxa"/>
            <w:vAlign w:val="bottom"/>
            <w:gridSpan w:val="3"/>
          </w:tcPr>
          <w:p>
            <w:pPr>
              <w:jc w:val="right"/>
              <w:ind w:right="380"/>
              <w:spacing w:after="0"/>
              <w:rPr>
                <w:sz w:val="20"/>
                <w:szCs w:val="20"/>
                <w:color w:val="auto"/>
              </w:rPr>
            </w:pPr>
            <w:r>
              <w:rPr>
                <w:rFonts w:ascii="Arial" w:cs="Arial" w:eastAsia="Arial" w:hAnsi="Arial"/>
                <w:sz w:val="18"/>
                <w:szCs w:val="18"/>
                <w:color w:val="auto"/>
              </w:rPr>
              <w:t>17,000</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10.9(2)</w:t>
            </w: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8, 2007</w:t>
            </w: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The White Marsh Portfolio: (4)</w:t>
            </w:r>
          </w:p>
        </w:tc>
        <w:tc>
          <w:tcPr>
            <w:tcW w:w="2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White Marsh, MD</w:t>
            </w: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189.4(3)</w:t>
            </w:r>
          </w:p>
        </w:tc>
      </w:tr>
      <w:tr>
        <w:trPr>
          <w:trHeight w:val="216"/>
        </w:trPr>
        <w:tc>
          <w:tcPr>
            <w:tcW w:w="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THE AVENUE at White Marsh</w:t>
            </w:r>
          </w:p>
        </w:tc>
        <w:tc>
          <w:tcPr>
            <w:tcW w:w="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gridSpan w:val="3"/>
          </w:tcPr>
          <w:p>
            <w:pPr>
              <w:jc w:val="right"/>
              <w:ind w:right="380"/>
              <w:spacing w:after="0"/>
              <w:rPr>
                <w:sz w:val="20"/>
                <w:szCs w:val="20"/>
                <w:color w:val="auto"/>
              </w:rPr>
            </w:pPr>
            <w:r>
              <w:rPr>
                <w:rFonts w:ascii="Arial" w:cs="Arial" w:eastAsia="Arial" w:hAnsi="Arial"/>
                <w:sz w:val="18"/>
                <w:szCs w:val="18"/>
                <w:color w:val="auto"/>
              </w:rPr>
              <w:t>296,000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White Marsh Plaza</w:t>
            </w:r>
          </w:p>
        </w:tc>
        <w:tc>
          <w:tcPr>
            <w:tcW w:w="3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79,000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w w:val="88"/>
              </w:rPr>
              <w:t>The Shoppes at Nottingham Square</w:t>
            </w:r>
          </w:p>
        </w:tc>
        <w:tc>
          <w:tcPr>
            <w:tcW w:w="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640" w:type="dxa"/>
            <w:vAlign w:val="bottom"/>
            <w:gridSpan w:val="3"/>
          </w:tcPr>
          <w:p>
            <w:pPr>
              <w:jc w:val="right"/>
              <w:ind w:right="380"/>
              <w:spacing w:after="0"/>
              <w:rPr>
                <w:sz w:val="20"/>
                <w:szCs w:val="20"/>
                <w:color w:val="auto"/>
              </w:rPr>
            </w:pPr>
            <w:r>
              <w:rPr>
                <w:rFonts w:ascii="Arial" w:cs="Arial" w:eastAsia="Arial" w:hAnsi="Arial"/>
                <w:sz w:val="18"/>
                <w:szCs w:val="18"/>
                <w:color w:val="auto"/>
              </w:rPr>
              <w:t>186,000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Byron Station</w:t>
            </w:r>
          </w:p>
        </w:tc>
        <w:tc>
          <w:tcPr>
            <w:tcW w:w="3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13,000</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White Marsh Ground Leases</w:t>
            </w:r>
          </w:p>
        </w:tc>
        <w:tc>
          <w:tcPr>
            <w:tcW w:w="3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40,000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
        </w:trPr>
        <w:tc>
          <w:tcPr>
            <w:tcW w:w="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9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648,000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20" w:type="dxa"/>
            <w:vAlign w:val="bottom"/>
            <w:shd w:val="clear" w:color="auto" w:fill="CCEEFF"/>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r>
    </w:tbl>
    <w:p>
      <w:pPr>
        <w:spacing w:after="0" w:line="100" w:lineRule="exact"/>
        <w:rPr>
          <w:sz w:val="20"/>
          <w:szCs w:val="20"/>
          <w:color w:val="auto"/>
        </w:rPr>
      </w:pPr>
    </w:p>
    <w:p>
      <w:pPr>
        <w:ind w:left="460" w:right="100" w:hanging="452"/>
        <w:spacing w:after="0" w:line="25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building acquired is located adjacent to our Chelsea Commons property and is currently vacant. As such, no amounts were allocated to “above market leases” or “below market leases”.</w:t>
      </w:r>
    </w:p>
    <w:p>
      <w:pPr>
        <w:ind w:left="460" w:right="220" w:hanging="452"/>
        <w:spacing w:after="0" w:line="250"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part of the preliminary purchase price allocation, approximately $0.4 million and $1.8 million of the net assets acquired were allocated to other assets for “above market leases” and liabilities for “below market leases,” respectively.</w:t>
      </w: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preliminary allocation of the purchase price has been made and will be finalized after various valuation studies are complete.</w:t>
      </w:r>
    </w:p>
    <w:p>
      <w:pPr>
        <w:spacing w:after="0" w:line="9" w:lineRule="exact"/>
        <w:rPr>
          <w:rFonts w:ascii="Arial" w:cs="Arial" w:eastAsia="Arial" w:hAnsi="Arial"/>
          <w:sz w:val="18"/>
          <w:szCs w:val="18"/>
          <w:color w:val="auto"/>
        </w:rPr>
      </w:pPr>
    </w:p>
    <w:p>
      <w:pPr>
        <w:ind w:left="460" w:right="80" w:hanging="452"/>
        <w:spacing w:after="0" w:line="302"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White Marsh Portfolio was purchased using $11.5 million of cash plus a combination of common stock and convertible preferred stock, downREIT operating partnership units, and the assumption of mortgage loans through a merger with Nottingham Properties, Inc. The acquisition also included ground leases covering 50,000 square feet of office space which are not included in gross leasable area and approximately 405 hotel rooms.</w:t>
      </w:r>
    </w:p>
    <w:p>
      <w:pPr>
        <w:spacing w:after="0" w:line="10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April 5, 2007, we sold Bath Shopping Center, which is located in Bath, Maine for $21.8 million, resulting in a net gain of approximately $0.9 million. The property was acquired in August 2006 as part of a larger portfolio. The property has been classified as held for sale, and its operations are included in discontinued operations for all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C—REAL ESTATE PARTNERSHIP</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have entered into a joint venture arrangement (“the Partnership”) by forming a limited partnership with affiliates of Clarion Lion Properties Fund (“Clarion”), a discretionary fund created and advised by ING Clarion Partners. We own 30% of the equity in the Partnership, and Clarion owns 70%. We and Clarion both hold a 0.1% general partner interest in the Partnership, and our remaining interests in the Partnership are held in the form of limited partner interests. We are the manager of the Partnership and its properties, earning fees for acquisitions, dispositions, management, leasing, and financing. We also have the opportunity to receive performance based earnings through our partnership interest. We account for our interest in the Partnership using the equity method.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summarized operating results and the financial position of the Partnership:</w:t>
      </w:r>
    </w:p>
    <w:p>
      <w:pPr>
        <w:spacing w:after="0" w:line="207" w:lineRule="exact"/>
        <w:rPr>
          <w:sz w:val="20"/>
          <w:szCs w:val="20"/>
          <w:color w:val="auto"/>
        </w:rPr>
      </w:pPr>
    </w:p>
    <w:p>
      <w:pPr>
        <w:jc w:val="center"/>
        <w:ind w:left="10040"/>
        <w:spacing w:after="0"/>
        <w:rPr>
          <w:sz w:val="20"/>
          <w:szCs w:val="20"/>
          <w:color w:val="auto"/>
        </w:rPr>
      </w:pPr>
      <w:r>
        <w:rPr>
          <w:rFonts w:ascii="Arial" w:cs="Arial" w:eastAsia="Arial" w:hAnsi="Arial"/>
          <w:sz w:val="12"/>
          <w:szCs w:val="12"/>
          <w:b w:val="1"/>
          <w:bCs w:val="1"/>
          <w:color w:val="auto"/>
        </w:rPr>
        <w:t>Three Months Ended</w:t>
      </w:r>
    </w:p>
    <w:p>
      <w:pPr>
        <w:spacing w:after="0" w:line="24" w:lineRule="exact"/>
        <w:rPr>
          <w:sz w:val="20"/>
          <w:szCs w:val="20"/>
          <w:color w:val="auto"/>
        </w:rPr>
      </w:pPr>
    </w:p>
    <w:p>
      <w:pPr>
        <w:jc w:val="center"/>
        <w:ind w:left="1004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3"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3" w:lineRule="exact"/>
              <w:rPr>
                <w:sz w:val="20"/>
                <w:szCs w:val="20"/>
                <w:color w:val="auto"/>
              </w:rPr>
            </w:pPr>
            <w:r>
              <w:rPr>
                <w:rFonts w:ascii="Arial" w:cs="Arial" w:eastAsia="Arial" w:hAnsi="Arial"/>
                <w:sz w:val="14"/>
                <w:szCs w:val="14"/>
                <w:b w:val="1"/>
                <w:bCs w:val="1"/>
                <w:color w:val="auto"/>
                <w:w w:val="89"/>
              </w:rPr>
              <w:t>2006</w:t>
            </w:r>
          </w:p>
        </w:tc>
        <w:tc>
          <w:tcPr>
            <w:tcW w:w="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8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(In</w:t>
            </w:r>
          </w:p>
        </w:tc>
        <w:tc>
          <w:tcPr>
            <w:tcW w:w="820" w:type="dxa"/>
            <w:vAlign w:val="bottom"/>
            <w:gridSpan w:val="3"/>
          </w:tcPr>
          <w:p>
            <w:pPr>
              <w:jc w:val="center"/>
              <w:ind w:right="19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RESULTS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Revenue</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3,531</w:t>
            </w:r>
          </w:p>
        </w:tc>
        <w:tc>
          <w:tcPr>
            <w:tcW w:w="36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2,008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3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4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3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1,074</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2,954</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1,744</w:t>
            </w:r>
          </w:p>
        </w:tc>
        <w:tc>
          <w:tcPr>
            <w:tcW w:w="20" w:type="dxa"/>
            <w:vAlign w:val="bottom"/>
          </w:tcPr>
          <w:p>
            <w:pPr>
              <w:spacing w:after="0"/>
              <w:rPr>
                <w:sz w:val="18"/>
                <w:szCs w:val="18"/>
                <w:color w:val="auto"/>
              </w:rPr>
            </w:pPr>
          </w:p>
        </w:tc>
      </w:tr>
      <w:tr>
        <w:trPr>
          <w:trHeight w:val="222"/>
        </w:trPr>
        <w:tc>
          <w:tcPr>
            <w:tcW w:w="6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577</w:t>
            </w:r>
          </w:p>
        </w:tc>
        <w:tc>
          <w:tcPr>
            <w:tcW w:w="360" w:type="dxa"/>
            <w:vAlign w:val="bottom"/>
            <w:gridSpan w:val="2"/>
          </w:tcPr>
          <w:p>
            <w:pPr>
              <w:jc w:val="center"/>
              <w:ind w:left="97"/>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264</w:t>
            </w:r>
          </w:p>
        </w:tc>
      </w:tr>
      <w:tr>
        <w:trPr>
          <w:trHeight w:val="20"/>
        </w:trPr>
        <w:tc>
          <w:tcPr>
            <w:tcW w:w="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Our share of net income from real estate partnership</w:t>
            </w:r>
          </w:p>
        </w:tc>
        <w:tc>
          <w:tcPr>
            <w:tcW w:w="3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360" w:type="dxa"/>
            <w:vAlign w:val="bottom"/>
            <w:gridSpan w:val="2"/>
            <w:shd w:val="clear" w:color="auto" w:fill="CCEEFF"/>
          </w:tcPr>
          <w:p>
            <w:pPr>
              <w:jc w:val="center"/>
              <w:ind w:left="97"/>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18"/>
                <w:szCs w:val="18"/>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0" w:type="dxa"/>
            <w:vAlign w:val="bottom"/>
            <w:gridSpan w:val="3"/>
          </w:tcPr>
          <w:p>
            <w:pPr>
              <w:jc w:val="center"/>
              <w:ind w:right="272"/>
              <w:spacing w:after="0"/>
              <w:rPr>
                <w:sz w:val="20"/>
                <w:szCs w:val="20"/>
                <w:color w:val="auto"/>
              </w:rPr>
            </w:pPr>
            <w:r>
              <w:rPr>
                <w:rFonts w:ascii="Arial" w:cs="Arial" w:eastAsia="Arial" w:hAnsi="Arial"/>
                <w:sz w:val="14"/>
                <w:szCs w:val="14"/>
                <w:b w:val="1"/>
                <w:bCs w:val="1"/>
                <w:color w:val="auto"/>
                <w:w w:val="89"/>
              </w:rPr>
              <w:t>March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75"/>
        </w:trPr>
        <w:tc>
          <w:tcPr>
            <w:tcW w:w="63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ind w:left="400"/>
              <w:spacing w:after="0" w:line="143" w:lineRule="exact"/>
              <w:rPr>
                <w:sz w:val="20"/>
                <w:szCs w:val="20"/>
                <w:color w:val="auto"/>
              </w:rPr>
            </w:pPr>
            <w:r>
              <w:rPr>
                <w:rFonts w:ascii="Arial" w:cs="Arial" w:eastAsia="Arial" w:hAnsi="Arial"/>
                <w:sz w:val="14"/>
                <w:szCs w:val="14"/>
                <w:b w:val="1"/>
                <w:bCs w:val="1"/>
                <w:color w:val="auto"/>
                <w:w w:val="93"/>
              </w:rPr>
              <w:t>(In</w:t>
            </w:r>
          </w:p>
        </w:tc>
        <w:tc>
          <w:tcPr>
            <w:tcW w:w="1140" w:type="dxa"/>
            <w:vAlign w:val="bottom"/>
            <w:gridSpan w:val="3"/>
          </w:tcPr>
          <w:p>
            <w:pPr>
              <w:jc w:val="right"/>
              <w:ind w:right="394"/>
              <w:spacing w:after="0" w:line="143" w:lineRule="exact"/>
              <w:rPr>
                <w:sz w:val="20"/>
                <w:szCs w:val="20"/>
                <w:color w:val="auto"/>
              </w:rPr>
            </w:pPr>
            <w:r>
              <w:rPr>
                <w:rFonts w:ascii="Arial" w:cs="Arial" w:eastAsia="Arial" w:hAnsi="Arial"/>
                <w:sz w:val="14"/>
                <w:szCs w:val="14"/>
                <w:b w:val="1"/>
                <w:bCs w:val="1"/>
                <w:color w:val="auto"/>
                <w:w w:val="84"/>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BALANCE SHEETS</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Real estate, net</w:t>
            </w: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194,655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123,478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3,448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 assets</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5,996</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204,099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129,658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Mortgages payable</w:t>
            </w: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77,425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77,425</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9,799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Partners’ capital</w:t>
            </w: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w w:val="86"/>
              </w:rPr>
              <w:t>116,875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3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 and partners’ capital</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w w:val="86"/>
              </w:rPr>
              <w:t>204,099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129,658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Our share of unconsolidated debt</w:t>
            </w:r>
          </w:p>
        </w:tc>
        <w:tc>
          <w:tcPr>
            <w:tcW w:w="3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00" w:type="dxa"/>
            <w:vAlign w:val="bottom"/>
            <w:vMerge w:val="continue"/>
          </w:tcPr>
          <w:p>
            <w:pPr>
              <w:spacing w:after="0"/>
              <w:rPr>
                <w:sz w:val="18"/>
                <w:szCs w:val="18"/>
                <w:color w:val="auto"/>
              </w:rPr>
            </w:pPr>
          </w:p>
        </w:tc>
        <w:tc>
          <w:tcPr>
            <w:tcW w:w="3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72"/>
              <w:spacing w:after="0"/>
              <w:rPr>
                <w:sz w:val="20"/>
                <w:szCs w:val="20"/>
                <w:color w:val="auto"/>
              </w:rPr>
            </w:pPr>
            <w:r>
              <w:rPr>
                <w:rFonts w:ascii="Arial" w:cs="Arial" w:eastAsia="Arial" w:hAnsi="Arial"/>
                <w:sz w:val="18"/>
                <w:szCs w:val="18"/>
                <w:color w:val="auto"/>
              </w:rPr>
              <w:t>23,228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23,228</w:t>
            </w:r>
          </w:p>
        </w:tc>
        <w:tc>
          <w:tcPr>
            <w:tcW w:w="0" w:type="dxa"/>
            <w:vAlign w:val="bottom"/>
          </w:tcPr>
          <w:p>
            <w:pPr>
              <w:spacing w:after="0"/>
              <w:rPr>
                <w:sz w:val="1"/>
                <w:szCs w:val="1"/>
                <w:color w:val="auto"/>
              </w:rPr>
            </w:pPr>
          </w:p>
        </w:tc>
      </w:tr>
      <w:tr>
        <w:trPr>
          <w:trHeight w:val="218"/>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Our investment in real estate partnership</w:t>
            </w:r>
          </w:p>
        </w:tc>
        <w:tc>
          <w:tcPr>
            <w:tcW w:w="3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31,661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both"/>
        <w:ind w:right="720"/>
        <w:spacing w:after="0" w:line="259" w:lineRule="auto"/>
        <w:rPr>
          <w:sz w:val="20"/>
          <w:szCs w:val="20"/>
          <w:color w:val="auto"/>
        </w:rPr>
      </w:pPr>
      <w:r>
        <w:rPr>
          <w:rFonts w:ascii="Arial" w:cs="Arial" w:eastAsia="Arial" w:hAnsi="Arial"/>
          <w:sz w:val="18"/>
          <w:szCs w:val="18"/>
          <w:color w:val="auto"/>
        </w:rPr>
        <w:t>For mortgages payable totaling $36.7 million that are secured by three properties owned by subsidiaries of the Partnership, we are the guarantor for the obligations of the joint venture which are commonly referred to as “non-recourse carve-outs.” We are not guaranteeing repayment of the debt itself. The Partnership indemnifies us for any loss we incur under these guarantees.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a summary of acquisitions made by the Partnership, during the three months ended March 31,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960" w:type="dxa"/>
            <w:vAlign w:val="bottom"/>
          </w:tcPr>
          <w:p>
            <w:pPr>
              <w:spacing w:after="0"/>
              <w:rPr>
                <w:sz w:val="14"/>
                <w:szCs w:val="14"/>
                <w:color w:val="auto"/>
              </w:rPr>
            </w:pPr>
          </w:p>
        </w:tc>
        <w:tc>
          <w:tcPr>
            <w:tcW w:w="2720" w:type="dxa"/>
            <w:vAlign w:val="bottom"/>
          </w:tcPr>
          <w:p>
            <w:pPr>
              <w:ind w:left="740"/>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4"/>
                <w:szCs w:val="14"/>
                <w:color w:val="auto"/>
              </w:rPr>
            </w:pPr>
          </w:p>
        </w:tc>
        <w:tc>
          <w:tcPr>
            <w:tcW w:w="3460" w:type="dxa"/>
            <w:vAlign w:val="bottom"/>
          </w:tcPr>
          <w:p>
            <w:pPr>
              <w:ind w:left="1480"/>
              <w:spacing w:after="0"/>
              <w:rPr>
                <w:sz w:val="20"/>
                <w:szCs w:val="20"/>
                <w:color w:val="auto"/>
              </w:rPr>
            </w:pPr>
            <w:r>
              <w:rPr>
                <w:rFonts w:ascii="Arial" w:cs="Arial" w:eastAsia="Arial" w:hAnsi="Arial"/>
                <w:sz w:val="14"/>
                <w:szCs w:val="14"/>
                <w:b w:val="1"/>
                <w:bCs w:val="1"/>
                <w:color w:val="auto"/>
              </w:rPr>
              <w:t>Property</w:t>
            </w:r>
          </w:p>
        </w:tc>
        <w:tc>
          <w:tcPr>
            <w:tcW w:w="320" w:type="dxa"/>
            <w:vAlign w:val="bottom"/>
          </w:tcPr>
          <w:p>
            <w:pPr>
              <w:spacing w:after="0"/>
              <w:rPr>
                <w:sz w:val="14"/>
                <w:szCs w:val="14"/>
                <w:color w:val="auto"/>
              </w:rPr>
            </w:pPr>
          </w:p>
        </w:tc>
        <w:tc>
          <w:tcPr>
            <w:tcW w:w="1240" w:type="dxa"/>
            <w:vAlign w:val="bottom"/>
          </w:tcPr>
          <w:p>
            <w:pPr>
              <w:ind w:left="320"/>
              <w:spacing w:after="0"/>
              <w:rPr>
                <w:sz w:val="20"/>
                <w:szCs w:val="20"/>
                <w:color w:val="auto"/>
              </w:rPr>
            </w:pPr>
            <w:r>
              <w:rPr>
                <w:rFonts w:ascii="Arial" w:cs="Arial" w:eastAsia="Arial" w:hAnsi="Arial"/>
                <w:sz w:val="14"/>
                <w:szCs w:val="14"/>
                <w:b w:val="1"/>
                <w:bCs w:val="1"/>
                <w:color w:val="auto"/>
              </w:rPr>
              <w:t>City, State</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96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32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15, 2007</w:t>
            </w:r>
          </w:p>
        </w:tc>
        <w:tc>
          <w:tcPr>
            <w:tcW w:w="3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Free State Shopping Center</w:t>
            </w:r>
          </w:p>
        </w:tc>
        <w:tc>
          <w:tcPr>
            <w:tcW w:w="1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Bowie, MD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February 20, 2007</w:t>
            </w:r>
          </w:p>
        </w:tc>
        <w:tc>
          <w:tcPr>
            <w:tcW w:w="3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Lake Barcroft Shopping Center(1)</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w w:val="90"/>
              </w:rPr>
              <w:t>Falls Church, VA</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9,000</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2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00" w:hanging="452"/>
        <w:spacing w:after="0" w:line="259"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April 10, 2007, the Partnership entered into a mortgage note for approximately $4.2 million. The mortgage note is secured by the Lake Barcroft property which was acquired in February 2007 and is adjacent to and operated as part of Barcroft Plaza. The note matures on July 1, 2016, bears interest at 5.71% per annum and requires monthly payments of interest only.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the White Marsh portfolio on March 8, 2007, we assumed four mortgage notes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60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Property</w:t>
            </w:r>
          </w:p>
        </w:tc>
        <w:tc>
          <w:tcPr>
            <w:tcW w:w="640" w:type="dxa"/>
            <w:vAlign w:val="bottom"/>
          </w:tcPr>
          <w:p>
            <w:pPr>
              <w:spacing w:after="0"/>
              <w:rPr>
                <w:sz w:val="14"/>
                <w:szCs w:val="14"/>
                <w:color w:val="auto"/>
              </w:rPr>
            </w:pPr>
          </w:p>
        </w:tc>
        <w:tc>
          <w:tcPr>
            <w:tcW w:w="114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4"/>
                <w:szCs w:val="14"/>
                <w:color w:val="auto"/>
              </w:rPr>
            </w:pPr>
          </w:p>
        </w:tc>
        <w:tc>
          <w:tcPr>
            <w:tcW w:w="336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Maturity Date</w:t>
            </w:r>
          </w:p>
        </w:tc>
        <w:tc>
          <w:tcPr>
            <w:tcW w:w="6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vMerge w:val="continue"/>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8"/>
              <w:spacing w:after="0" w:line="148" w:lineRule="exact"/>
              <w:rPr>
                <w:sz w:val="20"/>
                <w:szCs w:val="20"/>
                <w:color w:val="auto"/>
              </w:rPr>
            </w:pPr>
            <w:r>
              <w:rPr>
                <w:rFonts w:ascii="Arial" w:cs="Arial" w:eastAsia="Arial" w:hAnsi="Arial"/>
                <w:sz w:val="14"/>
                <w:szCs w:val="14"/>
                <w:b w:val="1"/>
                <w:bCs w:val="1"/>
                <w:color w:val="auto"/>
              </w:rPr>
              <w:t>(1)</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360" w:type="dxa"/>
            <w:vAlign w:val="bottom"/>
            <w:tcBorders>
              <w:bottom w:val="single" w:sz="8" w:color="auto"/>
            </w:tcBorders>
            <w:vMerge w:val="continue"/>
          </w:tcPr>
          <w:p>
            <w:pPr>
              <w:spacing w:after="0"/>
              <w:rPr>
                <w:sz w:val="13"/>
                <w:szCs w:val="13"/>
                <w:color w:val="auto"/>
              </w:rPr>
            </w:pPr>
          </w:p>
        </w:tc>
        <w:tc>
          <w:tcPr>
            <w:tcW w:w="640" w:type="dxa"/>
            <w:vAlign w:val="bottom"/>
          </w:tcPr>
          <w:p>
            <w:pPr>
              <w:spacing w:after="0"/>
              <w:rPr>
                <w:sz w:val="13"/>
                <w:szCs w:val="13"/>
                <w:color w:val="auto"/>
              </w:rPr>
            </w:pPr>
          </w:p>
        </w:tc>
        <w:tc>
          <w:tcPr>
            <w:tcW w:w="1620" w:type="dxa"/>
            <w:vAlign w:val="bottom"/>
            <w:tcBorders>
              <w:bottom w:val="single" w:sz="8" w:color="auto"/>
            </w:tcBorders>
          </w:tcPr>
          <w:p>
            <w:pPr>
              <w:spacing w:after="0" w:line="148" w:lineRule="exact"/>
              <w:rPr>
                <w:sz w:val="20"/>
                <w:szCs w:val="20"/>
                <w:color w:val="auto"/>
              </w:rPr>
            </w:pPr>
            <w:r>
              <w:rPr>
                <w:rFonts w:ascii="Arial" w:cs="Arial" w:eastAsia="Arial" w:hAnsi="Arial"/>
                <w:sz w:val="14"/>
                <w:szCs w:val="14"/>
                <w:b w:val="1"/>
                <w:bCs w:val="1"/>
                <w:color w:val="auto"/>
                <w:w w:val="87"/>
              </w:rPr>
              <w:t>Stated Annual Interest Rate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shd w:val="clear" w:color="auto" w:fill="CCEEFF"/>
          </w:tcPr>
          <w:p>
            <w:pPr>
              <w:spacing w:after="0"/>
              <w:rPr>
                <w:sz w:val="12"/>
                <w:szCs w:val="12"/>
                <w:color w:val="auto"/>
              </w:rPr>
            </w:pPr>
          </w:p>
        </w:tc>
        <w:tc>
          <w:tcPr>
            <w:tcW w:w="26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20" w:type="dxa"/>
            <w:vAlign w:val="bottom"/>
            <w:shd w:val="clear" w:color="auto" w:fill="CCEEFF"/>
          </w:tcPr>
          <w:p>
            <w:pPr>
              <w:spacing w:after="0"/>
              <w:rPr>
                <w:sz w:val="12"/>
                <w:szCs w:val="12"/>
                <w:color w:val="auto"/>
              </w:rPr>
            </w:pPr>
          </w:p>
        </w:tc>
        <w:tc>
          <w:tcPr>
            <w:tcW w:w="33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THE AVENUE at White Marsh</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61.9</w:t>
            </w:r>
          </w:p>
        </w:tc>
        <w:tc>
          <w:tcPr>
            <w:tcW w:w="380" w:type="dxa"/>
            <w:vAlign w:val="bottom"/>
          </w:tcPr>
          <w:p>
            <w:pPr>
              <w:spacing w:after="0"/>
              <w:rPr>
                <w:sz w:val="18"/>
                <w:szCs w:val="18"/>
                <w:color w:val="auto"/>
              </w:rPr>
            </w:pPr>
          </w:p>
        </w:tc>
        <w:tc>
          <w:tcPr>
            <w:tcW w:w="3680" w:type="dxa"/>
            <w:vAlign w:val="bottom"/>
            <w:gridSpan w:val="2"/>
          </w:tcPr>
          <w:p>
            <w:pPr>
              <w:ind w:left="320"/>
              <w:spacing w:after="0"/>
              <w:rPr>
                <w:sz w:val="20"/>
                <w:szCs w:val="20"/>
                <w:color w:val="auto"/>
              </w:rPr>
            </w:pPr>
            <w:r>
              <w:rPr>
                <w:rFonts w:ascii="Arial" w:cs="Arial" w:eastAsia="Arial" w:hAnsi="Arial"/>
                <w:sz w:val="18"/>
                <w:szCs w:val="18"/>
                <w:color w:val="auto"/>
              </w:rPr>
              <w:t>January 1, 2015</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5.46%</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April 1, 2013</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3680" w:type="dxa"/>
            <w:vAlign w:val="bottom"/>
            <w:gridSpan w:val="2"/>
          </w:tcPr>
          <w:p>
            <w:pPr>
              <w:ind w:left="320"/>
              <w:spacing w:after="0"/>
              <w:rPr>
                <w:sz w:val="20"/>
                <w:szCs w:val="20"/>
                <w:color w:val="auto"/>
              </w:rPr>
            </w:pPr>
            <w:r>
              <w:rPr>
                <w:rFonts w:ascii="Arial" w:cs="Arial" w:eastAsia="Arial" w:hAnsi="Arial"/>
                <w:sz w:val="18"/>
                <w:szCs w:val="18"/>
                <w:color w:val="auto"/>
              </w:rPr>
              <w:t>April 1, 2013</w:t>
            </w:r>
          </w:p>
        </w:tc>
        <w:tc>
          <w:tcPr>
            <w:tcW w:w="2400" w:type="dxa"/>
            <w:vAlign w:val="bottom"/>
            <w:gridSpan w:val="3"/>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Byron Station</w:t>
            </w:r>
          </w:p>
        </w:tc>
        <w:tc>
          <w:tcPr>
            <w:tcW w:w="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shd w:val="clear" w:color="auto" w:fill="CCEEFF"/>
          </w:tcPr>
          <w:p>
            <w:pPr>
              <w:spacing w:after="0"/>
              <w:rPr>
                <w:sz w:val="18"/>
                <w:szCs w:val="18"/>
                <w:color w:val="auto"/>
              </w:rPr>
            </w:pPr>
          </w:p>
        </w:tc>
        <w:tc>
          <w:tcPr>
            <w:tcW w:w="3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December 31, 2008</w:t>
            </w:r>
          </w:p>
        </w:tc>
        <w:tc>
          <w:tcPr>
            <w:tcW w:w="2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2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face amount of the mortgage notes is $73.6 million. However, in accordance with GAAP, these mortgage notes were recorded at their fair value of $74.0 million.</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With the exception of one of the mortgage notes on White Marsh Plaza, all of the mortgage notes assumed require monthly payments of principal and interest.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$4.5 million mortgage note on White Marsh Plaza is interest only through the maturity date.</w:t>
      </w:r>
    </w:p>
    <w:p>
      <w:pPr>
        <w:spacing w:after="0" w:line="16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three months ended March 31, 2007, the maximum amount of borrowings outstanding under our revolving credit facility was $164.0 million and the weighted average amount of borrowings outstanding was $136.4 million. Our revolving credit facility had a weighed average interest rate, before amortization of debt fees, of 5.7% for the three months ended March 31, 2007.</w:t>
      </w:r>
    </w:p>
    <w:p>
      <w:pPr>
        <w:spacing w:after="0" w:line="140"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credit facility and certain notes require us to comply with various financial covenants, including the maintenance of minimum shareholder’s equity and debt coverage ratios and a maximum ratio of debt to net worth. At March 31, 2007, we were in compliance with all loan covenants.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E—COMMITMENTS AND CONTINGENCIES</w:t>
      </w:r>
    </w:p>
    <w:p>
      <w:pPr>
        <w:spacing w:after="0" w:line="9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currently a party to various legal proceedings. Other than as described below, we do not believe that the ultimate outcome of these matters, either individually or in the aggregate, could have a material adverse effect on our financial position or overall trends in results of operations; however, litigation is subject to inherent uncertainties. Also under our leases, tenants are typically obligated to indemnify us from and against all liabilities, costs and expenses imposed upon or asserted against us (1) as owner of the properties due to certain matters relating to the operation of the properties by the tenant, and (2) where appropriate, due to certain matters relating to the ownership of the properties prior to their acquisition by us.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1" w:name="page12"/>
    <w:bookmarkEnd w:id="11"/>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also involved in a litigation matter relating to a shopping center in New Jersey where a former tenant has alleged that we, through our management agent, engaged in fraud by failing to disclose a condemnation action at the property that was pending when the lease was signed. A trial as to liability only has been concluded but no decision is expected to be rendered for 60-120 days. If we are found liable, a trial will be held to determine the amount of damages. Based on the evidence and information available to us, we believe there is a reasonable possibility that we will be successful against the litigation, however, if a verdict is rendered against us, we will seek indemnification from the third party management company that negotiated the lease on our behalf. We cannot assess with any certainty at this time the potential damages for which we would be liable if a verdict is rendered against us or the potential amounts we would recover against the third party management company; however, if a verdict is rendered against us, there may be a material adverse impact on our net income in the period during which our indemnification claim is pending.</w:t>
      </w:r>
    </w:p>
    <w:p>
      <w:pPr>
        <w:spacing w:after="0" w:line="11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We also have one litigation matter filed against us in May 2003 which alleges that a one page document entitled “Final Proposal,” which included language that it was subject to approval of formal documentation, constituted a ground lease of a parcel of property located adjacent to our Santana Row property and gave the plaintiff the option to require that we acquire the property at a price determined in accordance with a formula included in the “Final Proposal.” The plaintiff is seeking an unspecified amount of monetary damages. A trial as to liability only was held on June 27, 2006 and a jury rendered a verdict against us. A trial date on the issue of damages has been set for March 2008. The complaint did not specify the amount of damages claimed and we cannot make a reasonable estimate of potential damages until experts are retained and additional discovery is completed on the damages issue. The additional discovery is not expected to commence until June 2007. No appeal of the judgment can be taken until the trial on damages has been completed. If we are not successful in overturning the jury verdict, there likely will be a material adverse impact on our net income in the period in which it is both probable that we will have to pay the damages and such damages can be reasonably estimated.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F—SHAREHOLDERS’ EQUITY</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March 8, 2007, as part of the consideration to acquire the White Marsh portfolio, we issued (i) 884,066 common shares at $88.18 per share, par value $0.01 per share, (ii) 399,896 shares of 5.417% Series 1 Cumulative Convertible Preferred Shares (“Series 1 Preferred Shares”) at the liquidation preference of $25 per share, par value $0.01 per share, and (iii) 185,504 downREIT operating partnership units at $88.18 per share. The Series 1 Preferred Shares will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dividends declared and paid per share: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w w:val="99"/>
              </w:rPr>
              <w:t>Three Months Ended March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5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Declared</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Paid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Declared</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Paid</w:t>
            </w:r>
          </w:p>
        </w:tc>
        <w:tc>
          <w:tcPr>
            <w:tcW w:w="220" w:type="dxa"/>
            <w:vAlign w:val="bottom"/>
          </w:tcPr>
          <w:p>
            <w:pPr>
              <w:spacing w:after="0"/>
              <w:rPr>
                <w:sz w:val="12"/>
                <w:szCs w:val="12"/>
                <w:color w:val="auto"/>
              </w:rPr>
            </w:pPr>
          </w:p>
        </w:tc>
      </w:tr>
      <w:tr>
        <w:trPr>
          <w:trHeight w:val="142"/>
        </w:trPr>
        <w:tc>
          <w:tcPr>
            <w:tcW w:w="96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3"/>
              </w:rPr>
              <w:t>(In</w:t>
            </w:r>
          </w:p>
        </w:tc>
        <w:tc>
          <w:tcPr>
            <w:tcW w:w="840" w:type="dxa"/>
            <w:vAlign w:val="bottom"/>
            <w:gridSpan w:val="4"/>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0.575</w:t>
            </w:r>
          </w:p>
        </w:tc>
        <w:tc>
          <w:tcPr>
            <w:tcW w:w="4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right="72"/>
              <w:spacing w:after="0"/>
              <w:rPr>
                <w:sz w:val="20"/>
                <w:szCs w:val="20"/>
                <w:color w:val="auto"/>
              </w:rPr>
            </w:pPr>
            <w:r>
              <w:rPr>
                <w:rFonts w:ascii="Arial" w:cs="Arial" w:eastAsia="Arial" w:hAnsi="Arial"/>
                <w:sz w:val="18"/>
                <w:szCs w:val="18"/>
                <w:color w:val="auto"/>
                <w:w w:val="84"/>
              </w:rPr>
              <w:t>0.575</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0.755(1)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0.755(1)</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5.417% Series 1 Cumulative Convertible Preferred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ind w:left="20"/>
              <w:spacing w:after="0"/>
              <w:rPr>
                <w:sz w:val="20"/>
                <w:szCs w:val="20"/>
                <w:color w:val="auto"/>
              </w:rPr>
            </w:pPr>
            <w:r>
              <w:rPr>
                <w:rFonts w:ascii="Arial" w:cs="Arial" w:eastAsia="Arial" w:hAnsi="Arial"/>
                <w:sz w:val="18"/>
                <w:szCs w:val="18"/>
                <w:color w:val="auto"/>
              </w:rPr>
              <w:t>0.090(2)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center"/>
              <w:ind w:right="32"/>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r>
      <w:tr>
        <w:trPr>
          <w:trHeight w:val="216"/>
        </w:trPr>
        <w:tc>
          <w:tcPr>
            <w:tcW w:w="7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 Series B Cumulative Preferred (3)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center"/>
              <w:ind w:right="32"/>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0.531</w:t>
            </w:r>
          </w:p>
        </w:tc>
        <w:tc>
          <w:tcPr>
            <w:tcW w:w="220" w:type="dxa"/>
            <w:vAlign w:val="bottom"/>
            <w:shd w:val="clear" w:color="auto" w:fill="CCEEFF"/>
          </w:tcPr>
          <w:p>
            <w:pPr>
              <w:spacing w:after="0"/>
              <w:rPr>
                <w:sz w:val="18"/>
                <w:szCs w:val="18"/>
                <w:color w:val="auto"/>
              </w:rPr>
            </w:pPr>
          </w:p>
        </w:tc>
      </w:tr>
      <w:tr>
        <w:trPr>
          <w:trHeight w:val="108"/>
        </w:trPr>
        <w:tc>
          <w:tcPr>
            <w:tcW w:w="960" w:type="dxa"/>
            <w:vAlign w:val="bottom"/>
            <w:tcBorders>
              <w:bottom w:val="single" w:sz="8" w:color="auto"/>
            </w:tcBorders>
          </w:tcPr>
          <w:p>
            <w:pPr>
              <w:spacing w:after="0"/>
              <w:rPr>
                <w:sz w:val="9"/>
                <w:szCs w:val="9"/>
                <w:color w:val="auto"/>
              </w:rPr>
            </w:pPr>
          </w:p>
        </w:tc>
        <w:tc>
          <w:tcPr>
            <w:tcW w:w="6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r>
    </w:tbl>
    <w:p>
      <w:pPr>
        <w:spacing w:after="0" w:line="10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regular dividend declared and paid of $0.555 and special dividend of $0.200 resulting from the sales of condominiums at Santana Row.</w:t>
      </w:r>
    </w:p>
    <w:p>
      <w:pPr>
        <w:spacing w:after="0" w:line="38" w:lineRule="exact"/>
        <w:rPr>
          <w:rFonts w:ascii="Arial" w:cs="Arial" w:eastAsia="Arial" w:hAnsi="Arial"/>
          <w:sz w:val="16"/>
          <w:szCs w:val="16"/>
          <w:color w:val="auto"/>
        </w:rPr>
      </w:pPr>
    </w:p>
    <w:p>
      <w:pPr>
        <w:ind w:left="460" w:right="16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Series 1 Preferred Shares were issued on March 8, 2007. The dividend declared on the Series 1 Preferred Shares is for the period from March 8, 2007 through and including March 31, 2007.</w:t>
      </w:r>
    </w:p>
    <w:p>
      <w:pPr>
        <w:ind w:left="460" w:right="26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November 27, 2006, the Trust redeemed all 5,400,000 outstanding shares of its Series B Cumulative Redeemable Preferred Shares. Dividends on the Series B Preferred Shares ceased to accrue on November 27, 2006.</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G—COMPONENTS OF RENTAL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components of rental income are as follows:</w:t>
      </w:r>
    </w:p>
    <w:p>
      <w:pPr>
        <w:spacing w:after="0" w:line="207"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8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98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3"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5"/>
              <w:spacing w:after="0" w:line="143"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r>
      <w:tr>
        <w:trPr>
          <w:trHeight w:val="142"/>
        </w:trPr>
        <w:tc>
          <w:tcPr>
            <w:tcW w:w="9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37"/>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3"/>
          </w:tcPr>
          <w:p>
            <w:pPr>
              <w:jc w:val="center"/>
              <w:ind w:right="315"/>
              <w:spacing w:after="0" w:line="142" w:lineRule="exact"/>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2"/>
                <w:szCs w:val="12"/>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Minimum rents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800" w:type="dxa"/>
            <w:vAlign w:val="bottom"/>
          </w:tcPr>
          <w:p>
            <w:pPr>
              <w:ind w:left="440"/>
              <w:spacing w:after="0"/>
              <w:rPr>
                <w:sz w:val="20"/>
                <w:szCs w:val="20"/>
                <w:color w:val="auto"/>
              </w:rPr>
            </w:pPr>
            <w:r>
              <w:rPr>
                <w:rFonts w:ascii="Arial" w:cs="Arial" w:eastAsia="Arial" w:hAnsi="Arial"/>
                <w:sz w:val="18"/>
                <w:szCs w:val="18"/>
                <w:color w:val="auto"/>
              </w:rPr>
              <w:t>Retail and commercial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88,059</w:t>
            </w:r>
          </w:p>
        </w:tc>
        <w:tc>
          <w:tcPr>
            <w:tcW w:w="220" w:type="dxa"/>
            <w:vAlign w:val="bottom"/>
          </w:tcPr>
          <w:p>
            <w:pPr>
              <w:spacing w:after="0"/>
              <w:rPr>
                <w:sz w:val="18"/>
                <w:szCs w:val="18"/>
                <w:color w:val="auto"/>
              </w:rPr>
            </w:pPr>
          </w:p>
        </w:tc>
        <w:tc>
          <w:tcPr>
            <w:tcW w:w="1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78,988</w:t>
            </w:r>
          </w:p>
        </w:tc>
        <w:tc>
          <w:tcPr>
            <w:tcW w:w="20" w:type="dxa"/>
            <w:vAlign w:val="bottom"/>
          </w:tcPr>
          <w:p>
            <w:pPr>
              <w:spacing w:after="0"/>
              <w:rPr>
                <w:sz w:val="18"/>
                <w:szCs w:val="18"/>
                <w:color w:val="auto"/>
              </w:rPr>
            </w:pPr>
          </w:p>
        </w:tc>
      </w:tr>
      <w:tr>
        <w:trPr>
          <w:trHeight w:val="216"/>
        </w:trPr>
        <w:tc>
          <w:tcPr>
            <w:tcW w:w="9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2,494</w:t>
            </w:r>
          </w:p>
        </w:tc>
        <w:tc>
          <w:tcPr>
            <w:tcW w:w="20" w:type="dxa"/>
            <w:vAlign w:val="bottom"/>
          </w:tcPr>
          <w:p>
            <w:pPr>
              <w:spacing w:after="0"/>
              <w:rPr>
                <w:sz w:val="18"/>
                <w:szCs w:val="18"/>
                <w:color w:val="auto"/>
              </w:rPr>
            </w:pPr>
          </w:p>
        </w:tc>
      </w:tr>
      <w:tr>
        <w:trPr>
          <w:trHeight w:val="216"/>
        </w:trPr>
        <w:tc>
          <w:tcPr>
            <w:tcW w:w="9800" w:type="dxa"/>
            <w:vAlign w:val="bottom"/>
          </w:tcPr>
          <w:p>
            <w:pPr>
              <w:spacing w:after="0"/>
              <w:rPr>
                <w:sz w:val="20"/>
                <w:szCs w:val="20"/>
                <w:color w:val="auto"/>
              </w:rPr>
            </w:pPr>
            <w:r>
              <w:rPr>
                <w:rFonts w:ascii="Arial" w:cs="Arial" w:eastAsia="Arial" w:hAnsi="Arial"/>
                <w:sz w:val="18"/>
                <w:szCs w:val="18"/>
                <w:color w:val="auto"/>
              </w:rPr>
              <w:t>Cost reimbursement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23,937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20,309</w:t>
            </w:r>
          </w:p>
        </w:tc>
        <w:tc>
          <w:tcPr>
            <w:tcW w:w="20" w:type="dxa"/>
            <w:vAlign w:val="bottom"/>
          </w:tcPr>
          <w:p>
            <w:pPr>
              <w:spacing w:after="0"/>
              <w:rPr>
                <w:sz w:val="18"/>
                <w:szCs w:val="18"/>
                <w:color w:val="auto"/>
              </w:rPr>
            </w:pPr>
          </w:p>
        </w:tc>
      </w:t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Percentage rent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w:t>
            </w:r>
          </w:p>
        </w:tc>
        <w:tc>
          <w:tcPr>
            <w:tcW w:w="20" w:type="dxa"/>
            <w:vAlign w:val="bottom"/>
          </w:tcPr>
          <w:p>
            <w:pPr>
              <w:spacing w:after="0"/>
              <w:rPr>
                <w:sz w:val="18"/>
                <w:szCs w:val="18"/>
                <w:color w:val="auto"/>
              </w:rPr>
            </w:pPr>
          </w:p>
        </w:tc>
      </w:tr>
      <w:tr>
        <w:trPr>
          <w:trHeight w:val="223"/>
        </w:trPr>
        <w:tc>
          <w:tcPr>
            <w:tcW w:w="98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1,239</w:t>
            </w:r>
          </w:p>
        </w:tc>
        <w:tc>
          <w:tcPr>
            <w:tcW w:w="20" w:type="dxa"/>
            <w:vAlign w:val="bottom"/>
          </w:tcPr>
          <w:p>
            <w:pPr>
              <w:spacing w:after="0"/>
              <w:rPr>
                <w:sz w:val="19"/>
                <w:szCs w:val="19"/>
                <w:color w:val="auto"/>
              </w:rPr>
            </w:pPr>
          </w:p>
        </w:tc>
      </w:tr>
      <w:tr>
        <w:trPr>
          <w:trHeight w:val="216"/>
        </w:trPr>
        <w:tc>
          <w:tcPr>
            <w:tcW w:w="9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86"/>
              </w:rPr>
              <w:t>118,933</w:t>
            </w:r>
          </w:p>
        </w:tc>
        <w:tc>
          <w:tcPr>
            <w:tcW w:w="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104,964</w:t>
            </w:r>
          </w:p>
        </w:tc>
        <w:tc>
          <w:tcPr>
            <w:tcW w:w="20" w:type="dxa"/>
            <w:vAlign w:val="bottom"/>
          </w:tcPr>
          <w:p>
            <w:pPr>
              <w:spacing w:after="0"/>
              <w:rPr>
                <w:sz w:val="18"/>
                <w:szCs w:val="18"/>
                <w:color w:val="auto"/>
              </w:rPr>
            </w:pPr>
          </w:p>
        </w:tc>
      </w:tr>
      <w:tr>
        <w:trPr>
          <w:trHeight w:val="20"/>
        </w:trPr>
        <w:tc>
          <w:tcPr>
            <w:tcW w:w="9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Minimum rents include $1.9 million and $1.4 million for the three months ended March 31, 2007 and 2006, respectively, to recognize minimum rents on a straight-line basis. In addition, minimum rents include $0.9 million and $0.5 million for the three months ended March 31, 2007 and 2006, respectively, to recognize income from the amortization of in-place leases in accordance with SFAS No. 141. Residential minimum rents consist of the entire rental amounts at Rollingwood Apartments, the Crest at Congressional Plaza Apartments and residential units at Santana Row, excluding those units sold as condominiums and included in discontinued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H—SHARE-BASED COMPENSATION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share-based compensation expense included in net income is as follows:</w:t>
      </w:r>
    </w:p>
    <w:p>
      <w:pPr>
        <w:spacing w:after="0" w:line="207" w:lineRule="exact"/>
        <w:rPr>
          <w:sz w:val="20"/>
          <w:szCs w:val="20"/>
          <w:color w:val="auto"/>
        </w:rPr>
      </w:pPr>
    </w:p>
    <w:p>
      <w:pPr>
        <w:jc w:val="center"/>
        <w:ind w:left="10000"/>
        <w:spacing w:after="0"/>
        <w:rPr>
          <w:sz w:val="20"/>
          <w:szCs w:val="20"/>
          <w:color w:val="auto"/>
        </w:rPr>
      </w:pPr>
      <w:r>
        <w:rPr>
          <w:rFonts w:ascii="Arial" w:cs="Arial" w:eastAsia="Arial" w:hAnsi="Arial"/>
          <w:sz w:val="14"/>
          <w:szCs w:val="14"/>
          <w:b w:val="1"/>
          <w:bCs w:val="1"/>
          <w:color w:val="auto"/>
        </w:rPr>
        <w:t>Three Months</w:t>
      </w:r>
    </w:p>
    <w:p>
      <w:pPr>
        <w:jc w:val="center"/>
        <w:ind w:left="10000"/>
        <w:spacing w:after="0" w:line="223" w:lineRule="auto"/>
        <w:rPr>
          <w:sz w:val="20"/>
          <w:szCs w:val="20"/>
          <w:color w:val="auto"/>
        </w:rPr>
      </w:pPr>
      <w:r>
        <w:rPr>
          <w:rFonts w:ascii="Arial" w:cs="Arial" w:eastAsia="Arial" w:hAnsi="Arial"/>
          <w:sz w:val="14"/>
          <w:szCs w:val="14"/>
          <w:b w:val="1"/>
          <w:bCs w:val="1"/>
          <w:color w:val="auto"/>
        </w:rPr>
        <w:t>Ended</w:t>
      </w:r>
    </w:p>
    <w:p>
      <w:pPr>
        <w:jc w:val="center"/>
        <w:ind w:left="1000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100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8"/>
              <w:spacing w:after="0" w:line="143"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6"/>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r>
      <w:tr>
        <w:trPr>
          <w:trHeight w:val="142"/>
        </w:trPr>
        <w:tc>
          <w:tcPr>
            <w:tcW w:w="10060" w:type="dxa"/>
            <w:vAlign w:val="bottom"/>
          </w:tcPr>
          <w:p>
            <w:pPr>
              <w:spacing w:after="0"/>
              <w:rPr>
                <w:sz w:val="12"/>
                <w:szCs w:val="12"/>
                <w:color w:val="auto"/>
              </w:rPr>
            </w:pPr>
          </w:p>
        </w:tc>
        <w:tc>
          <w:tcPr>
            <w:tcW w:w="500" w:type="dxa"/>
            <w:vAlign w:val="bottom"/>
          </w:tcPr>
          <w:p>
            <w:pPr>
              <w:jc w:val="right"/>
              <w:ind w:right="18"/>
              <w:spacing w:after="0" w:line="142" w:lineRule="exact"/>
              <w:rPr>
                <w:sz w:val="20"/>
                <w:szCs w:val="20"/>
                <w:color w:val="auto"/>
              </w:rPr>
            </w:pPr>
            <w:r>
              <w:rPr>
                <w:rFonts w:ascii="Arial" w:cs="Arial" w:eastAsia="Arial" w:hAnsi="Arial"/>
                <w:sz w:val="14"/>
                <w:szCs w:val="14"/>
                <w:b w:val="1"/>
                <w:bCs w:val="1"/>
                <w:color w:val="auto"/>
              </w:rPr>
              <w:t>(In</w:t>
            </w:r>
          </w:p>
        </w:tc>
        <w:tc>
          <w:tcPr>
            <w:tcW w:w="800" w:type="dxa"/>
            <w:vAlign w:val="bottom"/>
            <w:gridSpan w:val="2"/>
          </w:tcPr>
          <w:p>
            <w:pPr>
              <w:jc w:val="right"/>
              <w:ind w:right="156"/>
              <w:spacing w:after="0" w:line="142" w:lineRule="exact"/>
              <w:rPr>
                <w:sz w:val="20"/>
                <w:szCs w:val="20"/>
                <w:color w:val="auto"/>
              </w:rPr>
            </w:pPr>
            <w:r>
              <w:rPr>
                <w:rFonts w:ascii="Arial" w:cs="Arial" w:eastAsia="Arial" w:hAnsi="Arial"/>
                <w:sz w:val="14"/>
                <w:szCs w:val="14"/>
                <w:b w:val="1"/>
                <w:bCs w:val="1"/>
                <w:color w:val="auto"/>
                <w:w w:val="71"/>
              </w:rPr>
              <w:t>thousands)</w:t>
            </w:r>
          </w:p>
        </w:tc>
        <w:tc>
          <w:tcPr>
            <w:tcW w:w="60" w:type="dxa"/>
            <w:vAlign w:val="bottom"/>
          </w:tcPr>
          <w:p>
            <w:pPr>
              <w:spacing w:after="0"/>
              <w:rPr>
                <w:sz w:val="12"/>
                <w:szCs w:val="12"/>
                <w:color w:val="auto"/>
              </w:rPr>
            </w:pP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incurred</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10060" w:type="dxa"/>
            <w:vAlign w:val="bottom"/>
          </w:tcPr>
          <w:p>
            <w:pPr>
              <w:ind w:left="440"/>
              <w:spacing w:after="0"/>
              <w:rPr>
                <w:sz w:val="20"/>
                <w:szCs w:val="20"/>
                <w:color w:val="auto"/>
              </w:rPr>
            </w:pPr>
            <w:r>
              <w:rPr>
                <w:rFonts w:ascii="Arial" w:cs="Arial" w:eastAsia="Arial" w:hAnsi="Arial"/>
                <w:sz w:val="18"/>
                <w:szCs w:val="18"/>
                <w:color w:val="auto"/>
              </w:rPr>
              <w:t>Common shares</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$1,574</w:t>
            </w:r>
          </w:p>
        </w:tc>
        <w:tc>
          <w:tcPr>
            <w:tcW w:w="3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$1,221</w:t>
            </w:r>
          </w:p>
        </w:tc>
        <w:tc>
          <w:tcPr>
            <w:tcW w:w="60" w:type="dxa"/>
            <w:vAlign w:val="bottom"/>
          </w:tcPr>
          <w:p>
            <w:pPr>
              <w:spacing w:after="0"/>
              <w:rPr>
                <w:sz w:val="18"/>
                <w:szCs w:val="18"/>
                <w:color w:val="auto"/>
              </w:rPr>
            </w:pPr>
          </w:p>
        </w:tc>
      </w:tr>
      <w:tr>
        <w:trPr>
          <w:trHeight w:val="216"/>
        </w:trPr>
        <w:tc>
          <w:tcPr>
            <w:tcW w:w="10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3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60" w:type="dxa"/>
            <w:vAlign w:val="bottom"/>
            <w:shd w:val="clear" w:color="auto" w:fill="CCEEFF"/>
          </w:tcPr>
          <w:p>
            <w:pPr>
              <w:spacing w:after="0"/>
              <w:rPr>
                <w:sz w:val="18"/>
                <w:szCs w:val="18"/>
                <w:color w:val="auto"/>
              </w:rPr>
            </w:pPr>
          </w:p>
        </w:tc>
      </w:tr>
      <w:tr>
        <w:trPr>
          <w:trHeight w:val="221"/>
        </w:trPr>
        <w:tc>
          <w:tcPr>
            <w:tcW w:w="10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1,823</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1,452</w:t>
            </w:r>
          </w:p>
        </w:tc>
        <w:tc>
          <w:tcPr>
            <w:tcW w:w="60" w:type="dxa"/>
            <w:vAlign w:val="bottom"/>
          </w:tcPr>
          <w:p>
            <w:pPr>
              <w:spacing w:after="0"/>
              <w:rPr>
                <w:sz w:val="19"/>
                <w:szCs w:val="19"/>
                <w:color w:val="auto"/>
              </w:rPr>
            </w:pPr>
          </w:p>
        </w:tc>
      </w:tr>
      <w:tr>
        <w:trPr>
          <w:trHeight w:val="218"/>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Capitalized share-based compensation</w:t>
            </w:r>
          </w:p>
        </w:tc>
        <w:tc>
          <w:tcPr>
            <w:tcW w:w="80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(202)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22"/>
        </w:trPr>
        <w:tc>
          <w:tcPr>
            <w:tcW w:w="100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1,621</w:t>
            </w:r>
          </w:p>
        </w:tc>
        <w:tc>
          <w:tcPr>
            <w:tcW w:w="3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1,300</w:t>
            </w:r>
          </w:p>
        </w:tc>
        <w:tc>
          <w:tcPr>
            <w:tcW w:w="60" w:type="dxa"/>
            <w:vAlign w:val="bottom"/>
          </w:tcPr>
          <w:p>
            <w:pPr>
              <w:spacing w:after="0"/>
              <w:rPr>
                <w:sz w:val="19"/>
                <w:szCs w:val="19"/>
                <w:color w:val="auto"/>
              </w:rPr>
            </w:pPr>
          </w:p>
        </w:tc>
      </w:tr>
      <w:tr>
        <w:trPr>
          <w:trHeight w:val="20"/>
        </w:trPr>
        <w:tc>
          <w:tcPr>
            <w:tcW w:w="100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I—EARNINGS PER SHARE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between basic and diluted earnings per share:</w:t>
      </w:r>
    </w:p>
    <w:p>
      <w:pPr>
        <w:spacing w:after="0" w:line="207"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8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53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3" w:lineRule="exact"/>
              <w:rPr>
                <w:sz w:val="20"/>
                <w:szCs w:val="20"/>
                <w:color w:val="auto"/>
              </w:rPr>
            </w:pPr>
            <w:r>
              <w:rPr>
                <w:rFonts w:ascii="Arial" w:cs="Arial" w:eastAsia="Arial" w:hAnsi="Arial"/>
                <w:sz w:val="14"/>
                <w:szCs w:val="14"/>
                <w:b w:val="1"/>
                <w:bCs w:val="1"/>
                <w:color w:val="auto"/>
              </w:rPr>
              <w:t>2007</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2"/>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3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580" w:type="dxa"/>
            <w:vAlign w:val="bottom"/>
          </w:tcPr>
          <w:p>
            <w:pPr>
              <w:jc w:val="right"/>
              <w:ind w:right="22"/>
              <w:spacing w:after="0" w:line="129" w:lineRule="exact"/>
              <w:rPr>
                <w:sz w:val="20"/>
                <w:szCs w:val="20"/>
                <w:color w:val="auto"/>
              </w:rPr>
            </w:pPr>
            <w:r>
              <w:rPr>
                <w:rFonts w:ascii="Arial" w:cs="Arial" w:eastAsia="Arial" w:hAnsi="Arial"/>
                <w:sz w:val="14"/>
                <w:szCs w:val="14"/>
                <w:b w:val="1"/>
                <w:bCs w:val="1"/>
                <w:color w:val="auto"/>
              </w:rPr>
              <w:t>(In</w:t>
            </w:r>
          </w:p>
        </w:tc>
        <w:tc>
          <w:tcPr>
            <w:tcW w:w="880" w:type="dxa"/>
            <w:vAlign w:val="bottom"/>
            <w:gridSpan w:val="3"/>
          </w:tcPr>
          <w:p>
            <w:pPr>
              <w:jc w:val="right"/>
              <w:ind w:right="242"/>
              <w:spacing w:after="0" w:line="129" w:lineRule="exact"/>
              <w:rPr>
                <w:sz w:val="20"/>
                <w:szCs w:val="20"/>
                <w:color w:val="auto"/>
              </w:rPr>
            </w:pPr>
            <w:r>
              <w:rPr>
                <w:rFonts w:ascii="Arial" w:cs="Arial" w:eastAsia="Arial" w:hAnsi="Arial"/>
                <w:sz w:val="14"/>
                <w:szCs w:val="14"/>
                <w:b w:val="1"/>
                <w:bCs w:val="1"/>
                <w:color w:val="auto"/>
                <w:w w:val="72"/>
              </w:rPr>
              <w:t>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3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5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0"/>
              </w:rPr>
              <w:t>except per share data)</w:t>
            </w:r>
          </w:p>
        </w:tc>
        <w:tc>
          <w:tcPr>
            <w:tcW w:w="0" w:type="dxa"/>
            <w:vAlign w:val="bottom"/>
          </w:tcPr>
          <w:p>
            <w:pPr>
              <w:spacing w:after="0"/>
              <w:rPr>
                <w:sz w:val="1"/>
                <w:szCs w:val="1"/>
                <w:color w:val="auto"/>
              </w:rPr>
            </w:pPr>
          </w:p>
        </w:tc>
      </w:tr>
      <w:tr>
        <w:trPr>
          <w:trHeight w:val="217"/>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Income from continuing operations</w:t>
            </w:r>
          </w:p>
        </w:tc>
        <w:tc>
          <w:tcPr>
            <w:tcW w:w="5320" w:type="dxa"/>
            <w:vAlign w:val="bottom"/>
            <w:gridSpan w:val="3"/>
          </w:tcPr>
          <w:p>
            <w:pPr>
              <w:jc w:val="right"/>
              <w:ind w:right="92"/>
              <w:spacing w:after="0"/>
              <w:rPr>
                <w:sz w:val="20"/>
                <w:szCs w:val="20"/>
                <w:color w:val="auto"/>
              </w:rPr>
            </w:pPr>
            <w:r>
              <w:rPr>
                <w:rFonts w:ascii="Arial" w:cs="Arial" w:eastAsia="Arial" w:hAnsi="Arial"/>
                <w:sz w:val="18"/>
                <w:szCs w:val="18"/>
                <w:color w:val="auto"/>
              </w:rPr>
              <w:t>$23,248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$ 22,415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dividends</w:t>
            </w:r>
          </w:p>
        </w:tc>
        <w:tc>
          <w:tcPr>
            <w:tcW w:w="4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(36)</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21"/>
        </w:trPr>
        <w:tc>
          <w:tcPr>
            <w:tcW w:w="5320" w:type="dxa"/>
            <w:vAlign w:val="bottom"/>
          </w:tcPr>
          <w:p>
            <w:pPr>
              <w:spacing w:after="0"/>
              <w:rPr>
                <w:sz w:val="20"/>
                <w:szCs w:val="20"/>
                <w:color w:val="auto"/>
              </w:rPr>
            </w:pPr>
            <w:r>
              <w:rPr>
                <w:rFonts w:ascii="Arial" w:cs="Arial" w:eastAsia="Arial" w:hAnsi="Arial"/>
                <w:sz w:val="18"/>
                <w:szCs w:val="18"/>
                <w:color w:val="auto"/>
                <w:w w:val="94"/>
              </w:rPr>
              <w:t>Income from continuing operations available for common shareholders</w:t>
            </w:r>
          </w:p>
        </w:tc>
        <w:tc>
          <w:tcPr>
            <w:tcW w:w="45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discontinued operations</w:t>
            </w:r>
          </w:p>
        </w:tc>
        <w:tc>
          <w:tcPr>
            <w:tcW w:w="45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(112)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Net income available for common shareholders, basic and dilutive</w:t>
            </w:r>
          </w:p>
        </w:tc>
        <w:tc>
          <w:tcPr>
            <w:tcW w:w="4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20" w:type="dxa"/>
            <w:vAlign w:val="bottom"/>
            <w:vMerge w:val="continue"/>
          </w:tcPr>
          <w:p>
            <w:pPr>
              <w:spacing w:after="0"/>
              <w:rPr>
                <w:sz w:val="19"/>
                <w:szCs w:val="19"/>
                <w:color w:val="auto"/>
              </w:rPr>
            </w:pPr>
          </w:p>
        </w:tc>
        <w:tc>
          <w:tcPr>
            <w:tcW w:w="5320" w:type="dxa"/>
            <w:vAlign w:val="bottom"/>
            <w:gridSpan w:val="3"/>
          </w:tcPr>
          <w:p>
            <w:pPr>
              <w:jc w:val="right"/>
              <w:ind w:right="9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23,100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$ 28,162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20" w:type="dxa"/>
            <w:vAlign w:val="bottom"/>
          </w:tcPr>
          <w:p>
            <w:pPr>
              <w:spacing w:after="0"/>
              <w:rPr>
                <w:sz w:val="20"/>
                <w:szCs w:val="20"/>
                <w:color w:val="auto"/>
              </w:rPr>
            </w:pPr>
            <w:r>
              <w:rPr>
                <w:rFonts w:ascii="Arial" w:cs="Arial" w:eastAsia="Arial" w:hAnsi="Arial"/>
                <w:sz w:val="18"/>
                <w:szCs w:val="18"/>
                <w:color w:val="auto"/>
              </w:rPr>
              <w:t>Weighted average common shares outstanding—basic</w:t>
            </w:r>
          </w:p>
        </w:tc>
        <w:tc>
          <w:tcPr>
            <w:tcW w:w="5320" w:type="dxa"/>
            <w:vAlign w:val="bottom"/>
            <w:gridSpan w:val="3"/>
          </w:tcPr>
          <w:p>
            <w:pPr>
              <w:jc w:val="right"/>
              <w:ind w:right="92"/>
              <w:spacing w:after="0"/>
              <w:rPr>
                <w:sz w:val="20"/>
                <w:szCs w:val="20"/>
                <w:color w:val="auto"/>
              </w:rPr>
            </w:pPr>
            <w:r>
              <w:rPr>
                <w:rFonts w:ascii="Arial" w:cs="Arial" w:eastAsia="Arial" w:hAnsi="Arial"/>
                <w:sz w:val="18"/>
                <w:szCs w:val="18"/>
                <w:color w:val="auto"/>
              </w:rPr>
              <w:t>55,422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52,731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5320" w:type="dxa"/>
            <w:vAlign w:val="bottom"/>
          </w:tcPr>
          <w:p>
            <w:pPr>
              <w:spacing w:after="0"/>
              <w:rPr>
                <w:sz w:val="24"/>
                <w:szCs w:val="24"/>
                <w:color w:val="auto"/>
              </w:rPr>
            </w:pPr>
          </w:p>
        </w:tc>
        <w:tc>
          <w:tcPr>
            <w:tcW w:w="4580" w:type="dxa"/>
            <w:vAlign w:val="bottom"/>
          </w:tcPr>
          <w:p>
            <w:pPr>
              <w:jc w:val="right"/>
              <w:ind w:right="4012"/>
              <w:spacing w:after="0"/>
              <w:rPr>
                <w:sz w:val="20"/>
                <w:szCs w:val="20"/>
                <w:color w:val="auto"/>
              </w:rPr>
            </w:pPr>
            <w:r>
              <w:rPr>
                <w:rFonts w:ascii="Arial" w:cs="Arial" w:eastAsia="Arial" w:hAnsi="Arial"/>
                <w:sz w:val="18"/>
                <w:szCs w:val="18"/>
                <w:color w:val="auto"/>
              </w:rPr>
              <w:t>13</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 w:name="page14"/>
    <w:bookmarkEnd w:id="13"/>
    <w:p>
      <w:pPr>
        <w:jc w:val="center"/>
        <w:ind w:left="97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Three Months Ended</w:t>
      </w:r>
    </w:p>
    <w:p>
      <w:pPr>
        <w:spacing w:after="0" w:line="1"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96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3" w:lineRule="exact"/>
              <w:rPr>
                <w:sz w:val="20"/>
                <w:szCs w:val="20"/>
                <w:color w:val="auto"/>
              </w:rPr>
            </w:pPr>
            <w:r>
              <w:rPr>
                <w:rFonts w:ascii="Arial" w:cs="Arial" w:eastAsia="Arial" w:hAnsi="Arial"/>
                <w:sz w:val="14"/>
                <w:szCs w:val="14"/>
                <w:b w:val="1"/>
                <w:bCs w:val="1"/>
                <w:color w:val="auto"/>
                <w:w w:val="96"/>
              </w:rPr>
              <w:t>2007</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3"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r>
      <w:tr>
        <w:trPr>
          <w:trHeight w:val="129"/>
        </w:trPr>
        <w:tc>
          <w:tcPr>
            <w:tcW w:w="96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3"/>
          </w:tcPr>
          <w:p>
            <w:pPr>
              <w:jc w:val="right"/>
              <w:ind w:right="334"/>
              <w:spacing w:after="0" w:line="129" w:lineRule="exact"/>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11"/>
                <w:szCs w:val="11"/>
                <w:color w:val="auto"/>
              </w:rPr>
            </w:pPr>
          </w:p>
        </w:tc>
      </w:tr>
      <w:tr>
        <w:trPr>
          <w:trHeight w:val="174"/>
        </w:trPr>
        <w:tc>
          <w:tcPr>
            <w:tcW w:w="96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w w:val="90"/>
              </w:rPr>
              <w:t>except per share data)</w:t>
            </w:r>
          </w:p>
        </w:tc>
      </w:tr>
      <w:tr>
        <w:trPr>
          <w:trHeight w:val="217"/>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80" w:type="dxa"/>
            <w:vAlign w:val="bottom"/>
            <w:gridSpan w:val="2"/>
          </w:tcPr>
          <w:p>
            <w:pPr>
              <w:ind w:left="440"/>
              <w:spacing w:after="0"/>
              <w:rPr>
                <w:sz w:val="20"/>
                <w:szCs w:val="20"/>
                <w:color w:val="auto"/>
              </w:rPr>
            </w:pPr>
            <w:r>
              <w:rPr>
                <w:rFonts w:ascii="Arial" w:cs="Arial" w:eastAsia="Arial" w:hAnsi="Arial"/>
                <w:sz w:val="18"/>
                <w:szCs w:val="18"/>
                <w:color w:val="auto"/>
              </w:rPr>
              <w:t>Stock options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413</w:t>
            </w:r>
          </w:p>
        </w:tc>
        <w:tc>
          <w:tcPr>
            <w:tcW w:w="20" w:type="dxa"/>
            <w:vAlign w:val="bottom"/>
          </w:tcPr>
          <w:p>
            <w:pPr>
              <w:spacing w:after="0"/>
              <w:rPr>
                <w:sz w:val="18"/>
                <w:szCs w:val="18"/>
                <w:color w:val="auto"/>
              </w:rPr>
            </w:pPr>
          </w:p>
        </w:tc>
      </w:tr>
      <w:tr>
        <w:trPr>
          <w:trHeight w:val="216"/>
        </w:trPr>
        <w:tc>
          <w:tcPr>
            <w:tcW w:w="9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Unvested stock</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r>
      <w:tr>
        <w:trPr>
          <w:trHeight w:val="222"/>
        </w:trPr>
        <w:tc>
          <w:tcPr>
            <w:tcW w:w="978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outstanding—dilutive (1)</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55,921</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53,254</w:t>
            </w:r>
          </w:p>
        </w:tc>
      </w:tr>
      <w:tr>
        <w:trPr>
          <w:trHeight w:val="20"/>
        </w:trPr>
        <w:tc>
          <w:tcPr>
            <w:tcW w:w="96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BASIC</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0.42</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8"/>
                <w:szCs w:val="18"/>
                <w:color w:val="auto"/>
              </w:rPr>
            </w:pP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8"/>
                <w:szCs w:val="18"/>
                <w:color w:val="auto"/>
              </w:rPr>
            </w:pPr>
          </w:p>
        </w:tc>
      </w:tr>
      <w:tr>
        <w:trPr>
          <w:trHeight w:val="222"/>
        </w:trPr>
        <w:tc>
          <w:tcPr>
            <w:tcW w:w="9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0.42</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r>
      <w:tr>
        <w:trPr>
          <w:trHeight w:val="20"/>
        </w:trPr>
        <w:tc>
          <w:tcPr>
            <w:tcW w:w="96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780" w:type="dxa"/>
            <w:vAlign w:val="bottom"/>
            <w:gridSpan w:val="2"/>
          </w:tcPr>
          <w:p>
            <w:pPr>
              <w:spacing w:after="0"/>
              <w:rPr>
                <w:sz w:val="20"/>
                <w:szCs w:val="20"/>
                <w:color w:val="auto"/>
              </w:rPr>
            </w:pPr>
            <w:r>
              <w:rPr>
                <w:rFonts w:ascii="Arial" w:cs="Arial" w:eastAsia="Arial" w:hAnsi="Arial"/>
                <w:sz w:val="18"/>
                <w:szCs w:val="18"/>
                <w:color w:val="auto"/>
              </w:rPr>
              <w:t>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4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8"/>
                <w:szCs w:val="18"/>
                <w:color w:val="auto"/>
              </w:rPr>
            </w:pPr>
          </w:p>
        </w:tc>
      </w:tr>
      <w:tr>
        <w:trPr>
          <w:trHeight w:val="216"/>
        </w:trPr>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8"/>
                <w:szCs w:val="18"/>
                <w:color w:val="auto"/>
              </w:rPr>
            </w:pPr>
          </w:p>
        </w:tc>
      </w:tr>
      <w:tr>
        <w:trPr>
          <w:trHeight w:val="222"/>
        </w:trPr>
        <w:tc>
          <w:tcPr>
            <w:tcW w:w="9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0.41</w:t>
            </w: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0.53</w:t>
            </w:r>
          </w:p>
        </w:tc>
      </w:tr>
      <w:tr>
        <w:trPr>
          <w:trHeight w:val="20"/>
        </w:trPr>
        <w:tc>
          <w:tcPr>
            <w:tcW w:w="96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8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jc w:val="both"/>
        <w:ind w:left="460" w:right="160" w:hanging="452"/>
        <w:spacing w:after="0" w:line="259"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conversion of downREIT operating partnership units and Series 1 Preferred Stock are anti-dilutive for all periods presented. Accordingly, downREIT operating partnership units and Series 1 Preferred Stock have been excluded from the weighted average common shares used to compute diluted earnings per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5"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 J—SEGMENT INFORMATION</w:t>
      </w:r>
    </w:p>
    <w:p>
      <w:pPr>
        <w:spacing w:after="0" w:line="9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We operate our portfolio of properties in two geographic operating regions: East and West, which constitute our segments under Statement of Financial Accounting Standard No. 131, “Disclosures about Segments of an Enterprise and Related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operations by geographic region is presented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w w:val="88"/>
              </w:rPr>
              <w:t>Three Months Ended March 31, 2007</w:t>
            </w: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East</w:t>
            </w:r>
          </w:p>
        </w:tc>
        <w:tc>
          <w:tcPr>
            <w:tcW w:w="30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West</w:t>
            </w:r>
          </w:p>
        </w:tc>
        <w:tc>
          <w:tcPr>
            <w:tcW w:w="1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5"/>
          </w:tcPr>
          <w:p>
            <w:pPr>
              <w:jc w:val="right"/>
              <w:ind w:right="313"/>
              <w:spacing w:after="0" w:line="142" w:lineRule="exact"/>
              <w:rPr>
                <w:sz w:val="20"/>
                <w:szCs w:val="20"/>
                <w:color w:val="auto"/>
              </w:rPr>
            </w:pPr>
            <w:r>
              <w:rPr>
                <w:rFonts w:ascii="Arial" w:cs="Arial" w:eastAsia="Arial" w:hAnsi="Arial"/>
                <w:sz w:val="14"/>
                <w:szCs w:val="14"/>
                <w:b w:val="1"/>
                <w:bCs w:val="1"/>
                <w:color w:val="auto"/>
                <w:w w:val="71"/>
              </w:rPr>
              <w:t>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93,434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25,499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72"/>
              <w:spacing w:after="0"/>
              <w:rPr>
                <w:sz w:val="20"/>
                <w:szCs w:val="20"/>
                <w:color w:val="auto"/>
              </w:rPr>
            </w:pPr>
            <w:r>
              <w:rPr>
                <w:rFonts w:ascii="Arial" w:cs="Arial" w:eastAsia="Arial" w:hAnsi="Arial"/>
                <w:sz w:val="18"/>
                <w:szCs w:val="18"/>
                <w:color w:val="auto"/>
              </w:rPr>
              <w:t>(19,075)</w:t>
            </w:r>
          </w:p>
        </w:tc>
        <w:tc>
          <w:tcPr>
            <w:tcW w:w="100" w:type="dxa"/>
            <w:vAlign w:val="bottom"/>
          </w:tcPr>
          <w:p>
            <w:pPr>
              <w:spacing w:after="0"/>
              <w:rPr>
                <w:sz w:val="18"/>
                <w:szCs w:val="18"/>
                <w:color w:val="auto"/>
              </w:rPr>
            </w:pPr>
          </w:p>
        </w:tc>
        <w:tc>
          <w:tcPr>
            <w:tcW w:w="740" w:type="dxa"/>
            <w:vAlign w:val="bottom"/>
            <w:gridSpan w:val="3"/>
          </w:tcPr>
          <w:p>
            <w:pPr>
              <w:jc w:val="right"/>
              <w:ind w:right="58"/>
              <w:spacing w:after="0"/>
              <w:rPr>
                <w:sz w:val="20"/>
                <w:szCs w:val="20"/>
                <w:color w:val="auto"/>
              </w:rPr>
            </w:pPr>
            <w:r>
              <w:rPr>
                <w:rFonts w:ascii="Arial" w:cs="Arial" w:eastAsia="Arial" w:hAnsi="Arial"/>
                <w:sz w:val="18"/>
                <w:szCs w:val="18"/>
                <w:color w:val="auto"/>
              </w:rPr>
              <w:t>(6,573)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(25,648)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72"/>
              <w:spacing w:after="0"/>
              <w:rPr>
                <w:sz w:val="20"/>
                <w:szCs w:val="20"/>
                <w:color w:val="auto"/>
              </w:rPr>
            </w:pPr>
            <w:r>
              <w:rPr>
                <w:rFonts w:ascii="Arial" w:cs="Arial" w:eastAsia="Arial" w:hAnsi="Arial"/>
                <w:sz w:val="18"/>
                <w:szCs w:val="18"/>
                <w:color w:val="auto"/>
              </w:rPr>
              <w:t>(9,540)</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58"/>
              <w:spacing w:after="0"/>
              <w:rPr>
                <w:sz w:val="20"/>
                <w:szCs w:val="20"/>
                <w:color w:val="auto"/>
              </w:rPr>
            </w:pPr>
            <w:r>
              <w:rPr>
                <w:rFonts w:ascii="Arial" w:cs="Arial" w:eastAsia="Arial" w:hAnsi="Arial"/>
                <w:sz w:val="18"/>
                <w:szCs w:val="18"/>
                <w:color w:val="auto"/>
              </w:rPr>
              <w:t>(2,125)</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(11,665)</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67,184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18,004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(5,604)</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72"/>
              <w:spacing w:after="0"/>
              <w:rPr>
                <w:sz w:val="20"/>
                <w:szCs w:val="20"/>
                <w:color w:val="auto"/>
              </w:rPr>
            </w:pPr>
            <w:r>
              <w:rPr>
                <w:rFonts w:ascii="Arial" w:cs="Arial" w:eastAsia="Arial" w:hAnsi="Arial"/>
                <w:sz w:val="18"/>
                <w:szCs w:val="18"/>
                <w:color w:val="auto"/>
              </w:rPr>
              <w:t>(18,765)</w:t>
            </w:r>
          </w:p>
        </w:tc>
        <w:tc>
          <w:tcPr>
            <w:tcW w:w="100" w:type="dxa"/>
            <w:vAlign w:val="bottom"/>
          </w:tcPr>
          <w:p>
            <w:pPr>
              <w:spacing w:after="0"/>
              <w:rPr>
                <w:sz w:val="18"/>
                <w:szCs w:val="18"/>
                <w:color w:val="auto"/>
              </w:rPr>
            </w:pPr>
          </w:p>
        </w:tc>
        <w:tc>
          <w:tcPr>
            <w:tcW w:w="740" w:type="dxa"/>
            <w:vAlign w:val="bottom"/>
            <w:gridSpan w:val="3"/>
          </w:tcPr>
          <w:p>
            <w:pPr>
              <w:jc w:val="right"/>
              <w:ind w:right="58"/>
              <w:spacing w:after="0"/>
              <w:rPr>
                <w:sz w:val="20"/>
                <w:szCs w:val="20"/>
                <w:color w:val="auto"/>
              </w:rPr>
            </w:pPr>
            <w:r>
              <w:rPr>
                <w:rFonts w:ascii="Arial" w:cs="Arial" w:eastAsia="Arial" w:hAnsi="Arial"/>
                <w:sz w:val="18"/>
                <w:szCs w:val="18"/>
                <w:color w:val="auto"/>
              </w:rPr>
              <w:t>(7,358)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(26,357)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(29,317)</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(29,317)</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48,728</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(34,871)</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9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48,728</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10,687</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(36,279)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23,136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3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1,935,597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882,241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111,525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2,929,363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1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9"/>
          </w:tcPr>
          <w:p>
            <w:pPr>
              <w:jc w:val="right"/>
              <w:ind w:right="20"/>
              <w:spacing w:after="0"/>
              <w:rPr>
                <w:sz w:val="20"/>
                <w:szCs w:val="20"/>
                <w:color w:val="auto"/>
              </w:rPr>
            </w:pPr>
            <w:r>
              <w:rPr>
                <w:rFonts w:ascii="Arial" w:cs="Arial" w:eastAsia="Arial" w:hAnsi="Arial"/>
                <w:sz w:val="14"/>
                <w:szCs w:val="14"/>
                <w:b w:val="1"/>
                <w:bCs w:val="1"/>
                <w:color w:val="auto"/>
                <w:w w:val="88"/>
              </w:rPr>
              <w:t>Three Months Ended March 31, 2006</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East</w:t>
            </w:r>
          </w:p>
        </w:tc>
        <w:tc>
          <w:tcPr>
            <w:tcW w:w="2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West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13"/>
              <w:spacing w:after="0"/>
              <w:rPr>
                <w:sz w:val="20"/>
                <w:szCs w:val="20"/>
                <w:color w:val="auto"/>
              </w:rPr>
            </w:pPr>
            <w:r>
              <w:rPr>
                <w:rFonts w:ascii="Arial" w:cs="Arial" w:eastAsia="Arial" w:hAnsi="Arial"/>
                <w:sz w:val="12"/>
                <w:szCs w:val="12"/>
                <w:b w:val="1"/>
                <w:bCs w:val="1"/>
                <w:color w:val="auto"/>
                <w:w w:val="80"/>
              </w:rPr>
              <w:t>thousands)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81,230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23,734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property income</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98"/>
              <w:spacing w:after="0"/>
              <w:rPr>
                <w:sz w:val="20"/>
                <w:szCs w:val="20"/>
                <w:color w:val="auto"/>
              </w:rPr>
            </w:pPr>
            <w:r>
              <w:rPr>
                <w:rFonts w:ascii="Arial" w:cs="Arial" w:eastAsia="Arial" w:hAnsi="Arial"/>
                <w:sz w:val="18"/>
                <w:szCs w:val="18"/>
                <w:color w:val="auto"/>
              </w:rPr>
              <w:t>832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609</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Rental expenses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52"/>
              <w:spacing w:after="0"/>
              <w:rPr>
                <w:sz w:val="20"/>
                <w:szCs w:val="20"/>
                <w:color w:val="auto"/>
              </w:rPr>
            </w:pPr>
            <w:r>
              <w:rPr>
                <w:rFonts w:ascii="Arial" w:cs="Arial" w:eastAsia="Arial" w:hAnsi="Arial"/>
                <w:sz w:val="18"/>
                <w:szCs w:val="18"/>
                <w:color w:val="auto"/>
              </w:rPr>
              <w:t>(15,406)</w:t>
            </w:r>
          </w:p>
        </w:tc>
        <w:tc>
          <w:tcPr>
            <w:tcW w:w="100" w:type="dxa"/>
            <w:vAlign w:val="bottom"/>
          </w:tcPr>
          <w:p>
            <w:pPr>
              <w:spacing w:after="0"/>
              <w:rPr>
                <w:sz w:val="18"/>
                <w:szCs w:val="18"/>
                <w:color w:val="auto"/>
              </w:rPr>
            </w:pPr>
          </w:p>
        </w:tc>
        <w:tc>
          <w:tcPr>
            <w:tcW w:w="740" w:type="dxa"/>
            <w:vAlign w:val="bottom"/>
            <w:gridSpan w:val="3"/>
          </w:tcPr>
          <w:p>
            <w:pPr>
              <w:jc w:val="right"/>
              <w:ind w:right="38"/>
              <w:spacing w:after="0"/>
              <w:rPr>
                <w:sz w:val="20"/>
                <w:szCs w:val="20"/>
                <w:color w:val="auto"/>
              </w:rPr>
            </w:pPr>
            <w:r>
              <w:rPr>
                <w:rFonts w:ascii="Arial" w:cs="Arial" w:eastAsia="Arial" w:hAnsi="Arial"/>
                <w:sz w:val="18"/>
                <w:szCs w:val="18"/>
                <w:color w:val="auto"/>
              </w:rPr>
              <w:t>(6,659)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Real estate taxes</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38"/>
              <w:spacing w:after="0"/>
              <w:rPr>
                <w:sz w:val="20"/>
                <w:szCs w:val="20"/>
                <w:color w:val="auto"/>
              </w:rPr>
            </w:pPr>
            <w:r>
              <w:rPr>
                <w:rFonts w:ascii="Arial" w:cs="Arial" w:eastAsia="Arial" w:hAnsi="Arial"/>
                <w:sz w:val="18"/>
                <w:szCs w:val="18"/>
                <w:color w:val="auto"/>
              </w:rPr>
              <w:t>(2,116)</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40"/>
              <w:spacing w:after="0"/>
              <w:rPr>
                <w:sz w:val="20"/>
                <w:szCs w:val="20"/>
                <w:color w:val="auto"/>
              </w:rPr>
            </w:pPr>
            <w:r>
              <w:rPr>
                <w:rFonts w:ascii="Arial" w:cs="Arial" w:eastAsia="Arial" w:hAnsi="Arial"/>
                <w:sz w:val="18"/>
                <w:szCs w:val="18"/>
                <w:color w:val="auto"/>
              </w:rPr>
              <w:t>Property operating income</w:t>
            </w: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vMerge w:val="continue"/>
          </w:tcPr>
          <w:p>
            <w:pPr>
              <w:spacing w:after="0"/>
              <w:rPr>
                <w:sz w:val="19"/>
                <w:szCs w:val="19"/>
                <w:color w:val="auto"/>
              </w:rPr>
            </w:pP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59,364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98"/>
              <w:spacing w:after="0"/>
              <w:rPr>
                <w:sz w:val="20"/>
                <w:szCs w:val="20"/>
                <w:color w:val="auto"/>
              </w:rPr>
            </w:pPr>
            <w:r>
              <w:rPr>
                <w:rFonts w:ascii="Arial" w:cs="Arial" w:eastAsia="Arial" w:hAnsi="Arial"/>
                <w:sz w:val="18"/>
                <w:szCs w:val="18"/>
                <w:color w:val="auto"/>
              </w:rPr>
              <w:t>16,400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75,764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(4,501)</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152"/>
              <w:spacing w:after="0"/>
              <w:rPr>
                <w:sz w:val="20"/>
                <w:szCs w:val="20"/>
                <w:color w:val="auto"/>
              </w:rPr>
            </w:pPr>
            <w:r>
              <w:rPr>
                <w:rFonts w:ascii="Arial" w:cs="Arial" w:eastAsia="Arial" w:hAnsi="Arial"/>
                <w:sz w:val="18"/>
                <w:szCs w:val="18"/>
                <w:color w:val="auto"/>
              </w:rPr>
              <w:t>(16,461)</w:t>
            </w:r>
          </w:p>
        </w:tc>
        <w:tc>
          <w:tcPr>
            <w:tcW w:w="100" w:type="dxa"/>
            <w:vAlign w:val="bottom"/>
          </w:tcPr>
          <w:p>
            <w:pPr>
              <w:spacing w:after="0"/>
              <w:rPr>
                <w:sz w:val="18"/>
                <w:szCs w:val="18"/>
                <w:color w:val="auto"/>
              </w:rPr>
            </w:pPr>
          </w:p>
        </w:tc>
        <w:tc>
          <w:tcPr>
            <w:tcW w:w="740" w:type="dxa"/>
            <w:vAlign w:val="bottom"/>
            <w:gridSpan w:val="3"/>
          </w:tcPr>
          <w:p>
            <w:pPr>
              <w:jc w:val="right"/>
              <w:ind w:right="38"/>
              <w:spacing w:after="0"/>
              <w:rPr>
                <w:sz w:val="20"/>
                <w:szCs w:val="20"/>
                <w:color w:val="auto"/>
              </w:rPr>
            </w:pPr>
            <w:r>
              <w:rPr>
                <w:rFonts w:ascii="Arial" w:cs="Arial" w:eastAsia="Arial" w:hAnsi="Arial"/>
                <w:sz w:val="18"/>
                <w:szCs w:val="18"/>
                <w:color w:val="auto"/>
              </w:rPr>
              <w:t>(7,228)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(23,906)</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rPr>
              <w:t>25</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Interest expense</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7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(24,280)</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(24,280)</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Income from real estate partnership</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440"/>
              <w:spacing w:after="0"/>
              <w:rPr>
                <w:sz w:val="20"/>
                <w:szCs w:val="20"/>
                <w:color w:val="auto"/>
              </w:rPr>
            </w:pPr>
            <w:r>
              <w:rPr>
                <w:rFonts w:ascii="Arial" w:cs="Arial" w:eastAsia="Arial" w:hAnsi="Arial"/>
                <w:sz w:val="18"/>
                <w:szCs w:val="18"/>
                <w:color w:val="auto"/>
                <w:w w:val="99"/>
              </w:rPr>
              <w:t>Income from continuing operations before minority interests</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43,141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98"/>
              <w:spacing w:after="0"/>
              <w:rPr>
                <w:sz w:val="20"/>
                <w:szCs w:val="20"/>
                <w:color w:val="auto"/>
              </w:rPr>
            </w:pPr>
            <w:r>
              <w:rPr>
                <w:rFonts w:ascii="Arial" w:cs="Arial" w:eastAsia="Arial" w:hAnsi="Arial"/>
                <w:sz w:val="18"/>
                <w:szCs w:val="18"/>
                <w:color w:val="auto"/>
              </w:rPr>
              <w:t>9,197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(28,850)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interests</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78"/>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(1,073)</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(Loss) income from discontinued operations</w:t>
            </w: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jc w:val="right"/>
              <w:ind w:right="29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gridSpan w:val="3"/>
          </w:tcPr>
          <w:p>
            <w:pPr>
              <w:jc w:val="right"/>
              <w:ind w:right="17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4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60" w:type="dxa"/>
            <w:vAlign w:val="bottom"/>
          </w:tcPr>
          <w:p>
            <w:pPr>
              <w:ind w:left="440"/>
              <w:spacing w:after="0"/>
              <w:rPr>
                <w:sz w:val="20"/>
                <w:szCs w:val="20"/>
                <w:color w:val="auto"/>
              </w:rPr>
            </w:pPr>
            <w:r>
              <w:rPr>
                <w:rFonts w:ascii="Arial" w:cs="Arial" w:eastAsia="Arial" w:hAnsi="Arial"/>
                <w:sz w:val="18"/>
                <w:szCs w:val="18"/>
                <w:color w:val="auto"/>
              </w:rPr>
              <w:t>Net income</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43,141</w:t>
            </w:r>
          </w:p>
        </w:tc>
        <w:tc>
          <w:tcPr>
            <w:tcW w:w="2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3"/>
          </w:tcPr>
          <w:p>
            <w:pPr>
              <w:jc w:val="right"/>
              <w:ind w:right="98"/>
              <w:spacing w:after="0"/>
              <w:rPr>
                <w:sz w:val="20"/>
                <w:szCs w:val="20"/>
                <w:color w:val="auto"/>
              </w:rPr>
            </w:pPr>
            <w:r>
              <w:rPr>
                <w:rFonts w:ascii="Arial" w:cs="Arial" w:eastAsia="Arial" w:hAnsi="Arial"/>
                <w:sz w:val="18"/>
                <w:szCs w:val="18"/>
                <w:color w:val="auto"/>
              </w:rPr>
              <w:t>9,197</w:t>
            </w:r>
          </w:p>
        </w:tc>
        <w:tc>
          <w:tcPr>
            <w:tcW w:w="2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(21,307)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at end of period</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1,393,356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3"/>
            <w:shd w:val="clear" w:color="auto" w:fill="CCEEFF"/>
          </w:tcPr>
          <w:p>
            <w:pPr>
              <w:jc w:val="right"/>
              <w:ind w:right="98"/>
              <w:spacing w:after="0"/>
              <w:rPr>
                <w:sz w:val="20"/>
                <w:szCs w:val="20"/>
                <w:color w:val="auto"/>
              </w:rPr>
            </w:pPr>
            <w:r>
              <w:rPr>
                <w:rFonts w:ascii="Arial" w:cs="Arial" w:eastAsia="Arial" w:hAnsi="Arial"/>
                <w:sz w:val="18"/>
                <w:szCs w:val="18"/>
                <w:color w:val="auto"/>
                <w:w w:val="86"/>
              </w:rPr>
              <w:t>888,261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66,252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2,347,869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440" w:type="dxa"/>
            <w:vAlign w:val="bottom"/>
            <w:vMerge w:val="restart"/>
          </w:tcPr>
          <w:p>
            <w:pPr>
              <w:jc w:val="right"/>
              <w:ind w:right="1712"/>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516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 w:name="page16"/>
    <w:bookmarkEnd w:id="15"/>
    <w:p>
      <w:pPr>
        <w:ind w:right="1300"/>
        <w:spacing w:after="0" w:line="34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 MANAGEMENT’S DISCUSSION AND ANALYSIS OF FINANCIAL CONDITION AND RESULTS OF OPERATIONS Forward-Looking Statements</w:t>
      </w:r>
    </w:p>
    <w:p>
      <w:pPr>
        <w:spacing w:after="0" w:line="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following discussion should be read in conjunction with the consolidated interim financial statements and notes thereto appearing in Item 1 of this report and the more detailed information contained in our Annual Report on Form 10-K for the year ended December 31, 2006 filed with the Securities and Exchange Commission on March 1, 2007.</w:t>
      </w:r>
    </w:p>
    <w:p>
      <w:pPr>
        <w:spacing w:after="0" w:line="14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Section 21E of the Securities Exchange Act of 1934 and the Private Securities Litigation Reform Act of 1995. When we refer to forward-looking statements or information, sometimes we use words such as “may,” “will,” “could,” “should,” “plans,” “intends,” “expects,” “believes,” “estimates,” “anticipates” and “continues.” Forward-looking statements are not historical facts or guarantees of future performance and involve certain known and unknown risks, uncertainties, and other factors, many of which are outside our control, that could cause actual results to differ materially from those we describe.</w:t>
      </w:r>
    </w:p>
    <w:p>
      <w:pPr>
        <w:spacing w:after="0" w:line="11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Given these uncertainties, readers are cautioned not to place undue reliance on any forward-looking statements that we make, including those in this Quarterly Report on Form 10-Q. Except as may be required by law, we make no promise to update any of the forward-looking statements as a result of new information, future events or otherwise. You should carefully review the risks and the risk factors included in our Annual Report on Form 10-K for the year ended December 31, 2006, before making any investments in us.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We are an equity real estate investment trust (“REIT”) specializing in the ownership, management, development and redevelopment of high quality retail and mixed-use properties. As of March 31, 2007, we owned or had a majority interest in community and neighborhood shopping centers and mixed-use properties which are operated as 91 predominantly retail real estate projects comprising approximately 19.6 million square feet, located primarily in densely populated and affluent communities in strategic metropolitan markets in the Northeast and Mid-Atlantic regions of the United States, as well as in California. In total, the real estate projects were 96.6% leased at March 31, 2007. A joint venture in which we own a 30% interest owned six neighborhood shopping centers totaling approximately 0.9 million square feet as of March 31, 2007. In total, the joint venture properties in which we own an interest were 98.3% leased at March 31, 2007. We have paid quarterly dividends to our shareholders continuously since our founding in 1962 and have increased our dividends per common share for 39 consecutive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Property Acquisitions and Dispositions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summary of acquisitions made by us and our consolidated affiliates during the three months ended March 31,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8"/>
        </w:trPr>
        <w:tc>
          <w:tcPr>
            <w:tcW w:w="960" w:type="dxa"/>
            <w:vAlign w:val="bottom"/>
          </w:tcPr>
          <w:p>
            <w:pPr>
              <w:spacing w:after="0"/>
              <w:rPr>
                <w:sz w:val="14"/>
                <w:szCs w:val="14"/>
                <w:color w:val="auto"/>
              </w:rPr>
            </w:pPr>
          </w:p>
        </w:tc>
        <w:tc>
          <w:tcPr>
            <w:tcW w:w="2660" w:type="dxa"/>
            <w:vAlign w:val="bottom"/>
          </w:tcPr>
          <w:p>
            <w:pPr>
              <w:ind w:left="720"/>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4"/>
                <w:szCs w:val="14"/>
                <w:color w:val="auto"/>
              </w:rPr>
            </w:pPr>
          </w:p>
        </w:tc>
        <w:tc>
          <w:tcPr>
            <w:tcW w:w="3460" w:type="dxa"/>
            <w:vAlign w:val="bottom"/>
          </w:tcPr>
          <w:p>
            <w:pPr>
              <w:ind w:left="1460"/>
              <w:spacing w:after="0"/>
              <w:rPr>
                <w:sz w:val="20"/>
                <w:szCs w:val="20"/>
                <w:color w:val="auto"/>
              </w:rPr>
            </w:pPr>
            <w:r>
              <w:rPr>
                <w:rFonts w:ascii="Arial" w:cs="Arial" w:eastAsia="Arial" w:hAnsi="Arial"/>
                <w:sz w:val="14"/>
                <w:szCs w:val="14"/>
                <w:b w:val="1"/>
                <w:bCs w:val="1"/>
                <w:color w:val="auto"/>
              </w:rPr>
              <w:t>Property</w:t>
            </w:r>
          </w:p>
        </w:tc>
        <w:tc>
          <w:tcPr>
            <w:tcW w:w="320" w:type="dxa"/>
            <w:vAlign w:val="bottom"/>
          </w:tcPr>
          <w:p>
            <w:pPr>
              <w:spacing w:after="0"/>
              <w:rPr>
                <w:sz w:val="14"/>
                <w:szCs w:val="14"/>
                <w:color w:val="auto"/>
              </w:rPr>
            </w:pPr>
          </w:p>
        </w:tc>
        <w:tc>
          <w:tcPr>
            <w:tcW w:w="1300" w:type="dxa"/>
            <w:vAlign w:val="bottom"/>
          </w:tcPr>
          <w:p>
            <w:pPr>
              <w:ind w:left="340"/>
              <w:spacing w:after="0"/>
              <w:rPr>
                <w:sz w:val="20"/>
                <w:szCs w:val="20"/>
                <w:color w:val="auto"/>
              </w:rPr>
            </w:pPr>
            <w:r>
              <w:rPr>
                <w:rFonts w:ascii="Arial" w:cs="Arial" w:eastAsia="Arial" w:hAnsi="Arial"/>
                <w:sz w:val="14"/>
                <w:szCs w:val="14"/>
                <w:b w:val="1"/>
                <w:bCs w:val="1"/>
                <w:color w:val="auto"/>
              </w:rPr>
              <w:t>City, State</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4"/>
              </w:rPr>
              <w:t>Purchase Price</w:t>
            </w:r>
          </w:p>
        </w:tc>
      </w:tr>
      <w:tr>
        <w:trPr>
          <w:trHeight w:val="149"/>
        </w:trPr>
        <w:tc>
          <w:tcPr>
            <w:tcW w:w="96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32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30, 2007</w:t>
            </w:r>
          </w:p>
        </w:tc>
        <w:tc>
          <w:tcPr>
            <w:tcW w:w="3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1020 Revere Beach Parkway</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rPr>
              <w:t>Chelsea, MA</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February 28, 2007</w:t>
            </w:r>
          </w:p>
        </w:tc>
        <w:tc>
          <w:tcPr>
            <w:tcW w:w="3780" w:type="dxa"/>
            <w:vAlign w:val="bottom"/>
            <w:gridSpan w:val="2"/>
          </w:tcPr>
          <w:p>
            <w:pPr>
              <w:ind w:left="320"/>
              <w:spacing w:after="0"/>
              <w:rPr>
                <w:sz w:val="20"/>
                <w:szCs w:val="20"/>
                <w:color w:val="auto"/>
              </w:rPr>
            </w:pPr>
            <w:r>
              <w:rPr>
                <w:rFonts w:ascii="Arial" w:cs="Arial" w:eastAsia="Arial" w:hAnsi="Arial"/>
                <w:sz w:val="18"/>
                <w:szCs w:val="18"/>
                <w:color w:val="auto"/>
              </w:rPr>
              <w:t>Crow Canyon Crest</w:t>
            </w:r>
          </w:p>
        </w:tc>
        <w:tc>
          <w:tcPr>
            <w:tcW w:w="320" w:type="dxa"/>
            <w:vAlign w:val="bottom"/>
          </w:tcPr>
          <w:p>
            <w:pPr>
              <w:spacing w:after="0"/>
              <w:rPr>
                <w:sz w:val="18"/>
                <w:szCs w:val="18"/>
                <w:color w:val="auto"/>
              </w:rPr>
            </w:pPr>
          </w:p>
        </w:tc>
        <w:tc>
          <w:tcPr>
            <w:tcW w:w="1300" w:type="dxa"/>
            <w:vAlign w:val="bottom"/>
          </w:tcPr>
          <w:p>
            <w:pPr>
              <w:spacing w:after="0"/>
              <w:rPr>
                <w:sz w:val="20"/>
                <w:szCs w:val="20"/>
                <w:color w:val="auto"/>
              </w:rPr>
            </w:pPr>
            <w:r>
              <w:rPr>
                <w:rFonts w:ascii="Arial" w:cs="Arial" w:eastAsia="Arial" w:hAnsi="Arial"/>
                <w:sz w:val="18"/>
                <w:szCs w:val="18"/>
                <w:color w:val="auto"/>
                <w:w w:val="98"/>
              </w:rPr>
              <w:t>San Ramon, CA</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17,000</w:t>
            </w:r>
          </w:p>
        </w:tc>
        <w:tc>
          <w:tcPr>
            <w:tcW w:w="6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8, 2007</w:t>
            </w:r>
          </w:p>
        </w:tc>
        <w:tc>
          <w:tcPr>
            <w:tcW w:w="3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The White Marsh Portfolio: (1)</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20"/>
                <w:szCs w:val="20"/>
                <w:color w:val="auto"/>
              </w:rPr>
            </w:pPr>
            <w:r>
              <w:rPr>
                <w:rFonts w:ascii="Arial" w:cs="Arial" w:eastAsia="Arial" w:hAnsi="Arial"/>
                <w:sz w:val="18"/>
                <w:szCs w:val="18"/>
                <w:color w:val="auto"/>
                <w:w w:val="92"/>
              </w:rPr>
              <w:t>White Marsh, MD</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THE AVENUE at White Marsh</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296,000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White Marsh Plaza</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The Shoppes at Nottingham Square</w:t>
            </w: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186,000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9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Byron Station</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9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White Marsh Ground Leases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96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37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648,000</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w:t>
            </w:r>
          </w:p>
        </w:tc>
        <w:tc>
          <w:tcPr>
            <w:tcW w:w="20" w:type="dxa"/>
            <w:vAlign w:val="bottom"/>
          </w:tcPr>
          <w:p>
            <w:pPr>
              <w:spacing w:after="0"/>
              <w:rPr>
                <w:sz w:val="18"/>
                <w:szCs w:val="18"/>
                <w:color w:val="auto"/>
              </w:rPr>
            </w:pPr>
          </w:p>
        </w:tc>
      </w:tr>
      <w:tr>
        <w:trPr>
          <w:trHeight w:val="20"/>
        </w:trPr>
        <w:tc>
          <w:tcPr>
            <w:tcW w:w="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ind w:left="460" w:right="80" w:hanging="452"/>
        <w:spacing w:after="0" w:line="30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White Marsh Portfolio was purchased using $11.5 million of cash plus a combination of common stock and convertible preferred stock, downREIT operating partnership units, and the assumption of mortgage loans through a merger with Nottingham Properties, Inc. The acquisition also included ground leases covering 50,000 square feet of office space which are not included in gross leasable area and approximately 405 hotel rooms.</w:t>
      </w:r>
    </w:p>
    <w:p>
      <w:pPr>
        <w:spacing w:after="0" w:line="10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April 5, 2007, we sold Bath Shopping Center, which is located in Bath, Maine for $21.8 million, resulting in a net gain of approximately $0.9 million. The property was acquired in August 2006 as part of a larger portfolio. The property has been classified as held for sale, and its operations are included in discontinued operations for all periods presented.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6" w:name="page17"/>
    <w:bookmarkEnd w:id="1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provides a summary of acquisitions made by our unconsolidated real estate partnership during the three months ended March 31, 2007:</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680" w:type="dxa"/>
            <w:vAlign w:val="bottom"/>
          </w:tcPr>
          <w:p>
            <w:pPr>
              <w:ind w:left="1700"/>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4"/>
                <w:szCs w:val="14"/>
                <w:color w:val="auto"/>
              </w:rPr>
            </w:pPr>
          </w:p>
        </w:tc>
        <w:tc>
          <w:tcPr>
            <w:tcW w:w="3460" w:type="dxa"/>
            <w:vAlign w:val="bottom"/>
          </w:tcPr>
          <w:p>
            <w:pPr>
              <w:ind w:left="1480"/>
              <w:spacing w:after="0"/>
              <w:rPr>
                <w:sz w:val="20"/>
                <w:szCs w:val="20"/>
                <w:color w:val="auto"/>
              </w:rPr>
            </w:pPr>
            <w:r>
              <w:rPr>
                <w:rFonts w:ascii="Arial" w:cs="Arial" w:eastAsia="Arial" w:hAnsi="Arial"/>
                <w:sz w:val="14"/>
                <w:szCs w:val="14"/>
                <w:b w:val="1"/>
                <w:bCs w:val="1"/>
                <w:color w:val="auto"/>
              </w:rPr>
              <w:t>Property</w:t>
            </w:r>
          </w:p>
        </w:tc>
        <w:tc>
          <w:tcPr>
            <w:tcW w:w="320" w:type="dxa"/>
            <w:vAlign w:val="bottom"/>
          </w:tcPr>
          <w:p>
            <w:pPr>
              <w:spacing w:after="0"/>
              <w:rPr>
                <w:sz w:val="14"/>
                <w:szCs w:val="14"/>
                <w:color w:val="auto"/>
              </w:rPr>
            </w:pPr>
          </w:p>
        </w:tc>
        <w:tc>
          <w:tcPr>
            <w:tcW w:w="1240" w:type="dxa"/>
            <w:vAlign w:val="bottom"/>
          </w:tcPr>
          <w:p>
            <w:pPr>
              <w:ind w:left="320"/>
              <w:spacing w:after="0"/>
              <w:rPr>
                <w:sz w:val="20"/>
                <w:szCs w:val="20"/>
                <w:color w:val="auto"/>
              </w:rPr>
            </w:pPr>
            <w:r>
              <w:rPr>
                <w:rFonts w:ascii="Arial" w:cs="Arial" w:eastAsia="Arial" w:hAnsi="Arial"/>
                <w:sz w:val="14"/>
                <w:szCs w:val="14"/>
                <w:b w:val="1"/>
                <w:bCs w:val="1"/>
                <w:color w:val="auto"/>
              </w:rPr>
              <w:t>City, State</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Leasable Area</w:t>
            </w: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84"/>
              </w:rPr>
              <w:t>Purchase Price</w:t>
            </w:r>
          </w:p>
        </w:tc>
        <w:tc>
          <w:tcPr>
            <w:tcW w:w="0" w:type="dxa"/>
            <w:vAlign w:val="bottom"/>
          </w:tcPr>
          <w:p>
            <w:pPr>
              <w:spacing w:after="0"/>
              <w:rPr>
                <w:sz w:val="1"/>
                <w:szCs w:val="1"/>
                <w:color w:val="auto"/>
              </w:rPr>
            </w:pPr>
          </w:p>
        </w:tc>
      </w:tr>
      <w:tr>
        <w:trPr>
          <w:trHeight w:val="149"/>
        </w:trPr>
        <w:tc>
          <w:tcPr>
            <w:tcW w:w="36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(In square feet)</w:t>
            </w:r>
          </w:p>
        </w:tc>
        <w:tc>
          <w:tcPr>
            <w:tcW w:w="320" w:type="dxa"/>
            <w:vAlign w:val="bottom"/>
          </w:tcPr>
          <w:p>
            <w:pPr>
              <w:spacing w:after="0"/>
              <w:rPr>
                <w:sz w:val="12"/>
                <w:szCs w:val="12"/>
                <w:color w:val="auto"/>
              </w:rPr>
            </w:pPr>
          </w:p>
        </w:tc>
        <w:tc>
          <w:tcPr>
            <w:tcW w:w="860" w:type="dxa"/>
            <w:vAlign w:val="bottom"/>
            <w:tcBorders>
              <w:top w:val="single" w:sz="8" w:color="auto"/>
            </w:tcBorders>
            <w:gridSpan w:val="2"/>
          </w:tcPr>
          <w:p>
            <w:pPr>
              <w:jc w:val="right"/>
              <w:spacing w:after="0" w:line="149" w:lineRule="exact"/>
              <w:rPr>
                <w:sz w:val="20"/>
                <w:szCs w:val="20"/>
                <w:color w:val="auto"/>
              </w:rPr>
            </w:pPr>
            <w:r>
              <w:rPr>
                <w:rFonts w:ascii="Arial" w:cs="Arial" w:eastAsia="Arial" w:hAnsi="Arial"/>
                <w:sz w:val="14"/>
                <w:szCs w:val="14"/>
                <w:b w:val="1"/>
                <w:bCs w:val="1"/>
                <w:color w:val="auto"/>
                <w:w w:val="96"/>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February 15, 2007</w:t>
            </w:r>
          </w:p>
        </w:tc>
        <w:tc>
          <w:tcPr>
            <w:tcW w:w="3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Free State Shopping Center</w:t>
            </w:r>
          </w:p>
        </w:tc>
        <w:tc>
          <w:tcPr>
            <w:tcW w:w="1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Bowie, MD</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278,000</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February 20, 2007</w:t>
            </w:r>
          </w:p>
        </w:tc>
        <w:tc>
          <w:tcPr>
            <w:tcW w:w="3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Lake Barcroft Shopping Center</w:t>
            </w:r>
          </w:p>
        </w:tc>
        <w:tc>
          <w:tcPr>
            <w:tcW w:w="1560" w:type="dxa"/>
            <w:vAlign w:val="bottom"/>
            <w:gridSpan w:val="2"/>
          </w:tcPr>
          <w:p>
            <w:pPr>
              <w:ind w:left="320"/>
              <w:spacing w:after="0"/>
              <w:rPr>
                <w:sz w:val="20"/>
                <w:szCs w:val="20"/>
                <w:color w:val="auto"/>
              </w:rPr>
            </w:pPr>
            <w:r>
              <w:rPr>
                <w:rFonts w:ascii="Arial" w:cs="Arial" w:eastAsia="Arial" w:hAnsi="Arial"/>
                <w:sz w:val="18"/>
                <w:szCs w:val="18"/>
                <w:color w:val="auto"/>
                <w:w w:val="90"/>
              </w:rPr>
              <w:t>Falls Church, VA</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9,000</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287,000</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Significant Debt, Equity and Other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 acquisition of the White Marsh portfolio on March 8, 2007, we assumed four mortgage notes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26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Property</w:t>
            </w:r>
          </w:p>
        </w:tc>
        <w:tc>
          <w:tcPr>
            <w:tcW w:w="660" w:type="dxa"/>
            <w:vAlign w:val="bottom"/>
          </w:tcPr>
          <w:p>
            <w:pPr>
              <w:spacing w:after="0"/>
              <w:rPr>
                <w:sz w:val="14"/>
                <w:szCs w:val="14"/>
                <w:color w:val="auto"/>
              </w:rPr>
            </w:pP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3420" w:type="dxa"/>
            <w:vAlign w:val="bottom"/>
            <w:vMerge w:val="restart"/>
          </w:tcPr>
          <w:p>
            <w:pPr>
              <w:ind w:left="1300"/>
              <w:spacing w:after="0"/>
              <w:rPr>
                <w:sz w:val="20"/>
                <w:szCs w:val="20"/>
                <w:color w:val="auto"/>
              </w:rPr>
            </w:pPr>
            <w:r>
              <w:rPr>
                <w:rFonts w:ascii="Arial" w:cs="Arial" w:eastAsia="Arial" w:hAnsi="Arial"/>
                <w:sz w:val="14"/>
                <w:szCs w:val="14"/>
                <w:b w:val="1"/>
                <w:bCs w:val="1"/>
                <w:color w:val="auto"/>
              </w:rPr>
              <w:t>Maturity Date</w:t>
            </w:r>
          </w:p>
        </w:tc>
        <w:tc>
          <w:tcPr>
            <w:tcW w:w="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2660" w:type="dxa"/>
            <w:vAlign w:val="bottom"/>
            <w:vMerge w:val="continue"/>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18"/>
              <w:spacing w:after="0" w:line="148" w:lineRule="exact"/>
              <w:rPr>
                <w:sz w:val="20"/>
                <w:szCs w:val="20"/>
                <w:color w:val="auto"/>
              </w:rPr>
            </w:pPr>
            <w:r>
              <w:rPr>
                <w:rFonts w:ascii="Arial" w:cs="Arial" w:eastAsia="Arial" w:hAnsi="Arial"/>
                <w:sz w:val="14"/>
                <w:szCs w:val="14"/>
                <w:b w:val="1"/>
                <w:bCs w:val="1"/>
                <w:color w:val="auto"/>
              </w:rPr>
              <w:t>(1)</w:t>
            </w:r>
          </w:p>
        </w:tc>
        <w:tc>
          <w:tcPr>
            <w:tcW w:w="700" w:type="dxa"/>
            <w:vAlign w:val="bottom"/>
          </w:tcPr>
          <w:p>
            <w:pPr>
              <w:spacing w:after="0"/>
              <w:rPr>
                <w:sz w:val="12"/>
                <w:szCs w:val="12"/>
                <w:color w:val="auto"/>
              </w:rPr>
            </w:pPr>
          </w:p>
        </w:tc>
        <w:tc>
          <w:tcPr>
            <w:tcW w:w="3420" w:type="dxa"/>
            <w:vAlign w:val="bottom"/>
            <w:vMerge w:val="continue"/>
          </w:tcPr>
          <w:p>
            <w:pPr>
              <w:spacing w:after="0"/>
              <w:rPr>
                <w:sz w:val="12"/>
                <w:szCs w:val="12"/>
                <w:color w:val="auto"/>
              </w:rPr>
            </w:pPr>
          </w:p>
        </w:tc>
        <w:tc>
          <w:tcPr>
            <w:tcW w:w="2260" w:type="dxa"/>
            <w:vAlign w:val="bottom"/>
            <w:gridSpan w:val="2"/>
          </w:tcPr>
          <w:p>
            <w:pPr>
              <w:jc w:val="center"/>
              <w:ind w:left="576"/>
              <w:spacing w:after="0" w:line="148" w:lineRule="exact"/>
              <w:rPr>
                <w:sz w:val="20"/>
                <w:szCs w:val="20"/>
                <w:color w:val="auto"/>
              </w:rPr>
            </w:pPr>
            <w:r>
              <w:rPr>
                <w:rFonts w:ascii="Arial" w:cs="Arial" w:eastAsia="Arial" w:hAnsi="Arial"/>
                <w:sz w:val="14"/>
                <w:szCs w:val="14"/>
                <w:b w:val="1"/>
                <w:bCs w:val="1"/>
                <w:color w:val="auto"/>
                <w:w w:val="87"/>
              </w:rPr>
              <w:t>Stated Annual Interest Rate</w:t>
            </w:r>
          </w:p>
        </w:tc>
        <w:tc>
          <w:tcPr>
            <w:tcW w:w="0" w:type="dxa"/>
            <w:vAlign w:val="bottom"/>
          </w:tcPr>
          <w:p>
            <w:pPr>
              <w:spacing w:after="0"/>
              <w:rPr>
                <w:sz w:val="1"/>
                <w:szCs w:val="1"/>
                <w:color w:val="auto"/>
              </w:rPr>
            </w:pPr>
          </w:p>
        </w:tc>
      </w:tr>
      <w:tr>
        <w:trPr>
          <w:trHeight w:val="27"/>
        </w:trPr>
        <w:tc>
          <w:tcPr>
            <w:tcW w:w="960" w:type="dxa"/>
            <w:vAlign w:val="bottom"/>
            <w:shd w:val="clear" w:color="auto" w:fill="000000"/>
          </w:tcPr>
          <w:p>
            <w:pPr>
              <w:spacing w:after="0"/>
              <w:rPr>
                <w:sz w:val="2"/>
                <w:szCs w:val="2"/>
                <w:color w:val="auto"/>
              </w:rPr>
            </w:pPr>
          </w:p>
        </w:tc>
        <w:tc>
          <w:tcPr>
            <w:tcW w:w="26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34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960" w:type="dxa"/>
            <w:vAlign w:val="bottom"/>
            <w:shd w:val="clear" w:color="auto" w:fill="CCEEFF"/>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 millions)</w:t>
            </w:r>
          </w:p>
        </w:tc>
        <w:tc>
          <w:tcPr>
            <w:tcW w:w="3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THE AVENUE at White Marsh</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61.9</w:t>
            </w:r>
          </w:p>
        </w:tc>
        <w:tc>
          <w:tcPr>
            <w:tcW w:w="7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January 1, 2015</w:t>
            </w:r>
          </w:p>
        </w:tc>
        <w:tc>
          <w:tcPr>
            <w:tcW w:w="2260" w:type="dxa"/>
            <w:vAlign w:val="bottom"/>
            <w:gridSpan w:val="2"/>
          </w:tcPr>
          <w:p>
            <w:pPr>
              <w:jc w:val="center"/>
              <w:ind w:left="556"/>
              <w:spacing w:after="0"/>
              <w:rPr>
                <w:sz w:val="20"/>
                <w:szCs w:val="20"/>
                <w:color w:val="auto"/>
              </w:rPr>
            </w:pPr>
            <w:r>
              <w:rPr>
                <w:rFonts w:ascii="Arial" w:cs="Arial" w:eastAsia="Arial" w:hAnsi="Arial"/>
                <w:sz w:val="18"/>
                <w:szCs w:val="18"/>
                <w:color w:val="auto"/>
                <w:w w:val="90"/>
              </w:rPr>
              <w:t>5.46%</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White Marsh Plaza</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7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April 1, 2013</w:t>
            </w:r>
          </w:p>
        </w:tc>
        <w:tc>
          <w:tcPr>
            <w:tcW w:w="2260" w:type="dxa"/>
            <w:vAlign w:val="bottom"/>
            <w:gridSpan w:val="2"/>
            <w:shd w:val="clear" w:color="auto" w:fill="CCEEFF"/>
          </w:tcPr>
          <w:p>
            <w:pPr>
              <w:jc w:val="center"/>
              <w:ind w:left="556"/>
              <w:spacing w:after="0"/>
              <w:rPr>
                <w:sz w:val="20"/>
                <w:szCs w:val="20"/>
                <w:color w:val="auto"/>
              </w:rPr>
            </w:pPr>
            <w:r>
              <w:rPr>
                <w:rFonts w:ascii="Arial" w:cs="Arial" w:eastAsia="Arial" w:hAnsi="Arial"/>
                <w:sz w:val="18"/>
                <w:szCs w:val="18"/>
                <w:color w:val="auto"/>
                <w:w w:val="90"/>
              </w:rPr>
              <w:t>5.96%</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White Marsh Plaza</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70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April 1, 2013</w:t>
            </w:r>
          </w:p>
        </w:tc>
        <w:tc>
          <w:tcPr>
            <w:tcW w:w="2260" w:type="dxa"/>
            <w:vAlign w:val="bottom"/>
            <w:gridSpan w:val="2"/>
          </w:tcPr>
          <w:p>
            <w:pPr>
              <w:jc w:val="center"/>
              <w:ind w:left="556"/>
              <w:spacing w:after="0"/>
              <w:rPr>
                <w:sz w:val="20"/>
                <w:szCs w:val="20"/>
                <w:color w:val="auto"/>
              </w:rPr>
            </w:pPr>
            <w:r>
              <w:rPr>
                <w:rFonts w:ascii="Arial" w:cs="Arial" w:eastAsia="Arial" w:hAnsi="Arial"/>
                <w:sz w:val="18"/>
                <w:szCs w:val="18"/>
                <w:color w:val="auto"/>
                <w:w w:val="90"/>
              </w:rPr>
              <w:t>6.18%</w:t>
            </w:r>
          </w:p>
        </w:tc>
        <w:tc>
          <w:tcPr>
            <w:tcW w:w="0" w:type="dxa"/>
            <w:vAlign w:val="bottom"/>
          </w:tcPr>
          <w:p>
            <w:pPr>
              <w:spacing w:after="0"/>
              <w:rPr>
                <w:sz w:val="1"/>
                <w:szCs w:val="1"/>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Byron Station</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0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2008</w:t>
            </w:r>
          </w:p>
        </w:tc>
        <w:tc>
          <w:tcPr>
            <w:tcW w:w="2260" w:type="dxa"/>
            <w:vAlign w:val="bottom"/>
            <w:gridSpan w:val="2"/>
            <w:shd w:val="clear" w:color="auto" w:fill="CCEEFF"/>
          </w:tcPr>
          <w:p>
            <w:pPr>
              <w:jc w:val="center"/>
              <w:ind w:left="556"/>
              <w:spacing w:after="0"/>
              <w:rPr>
                <w:sz w:val="20"/>
                <w:szCs w:val="20"/>
                <w:color w:val="auto"/>
              </w:rPr>
            </w:pPr>
            <w:r>
              <w:rPr>
                <w:rFonts w:ascii="Arial" w:cs="Arial" w:eastAsia="Arial" w:hAnsi="Arial"/>
                <w:sz w:val="18"/>
                <w:szCs w:val="18"/>
                <w:color w:val="auto"/>
                <w:w w:val="90"/>
              </w:rPr>
              <w:t>6.06%</w:t>
            </w:r>
          </w:p>
        </w:tc>
        <w:tc>
          <w:tcPr>
            <w:tcW w:w="0" w:type="dxa"/>
            <w:vAlign w:val="bottom"/>
          </w:tcPr>
          <w:p>
            <w:pPr>
              <w:spacing w:after="0"/>
              <w:rPr>
                <w:sz w:val="1"/>
                <w:szCs w:val="1"/>
                <w:color w:val="auto"/>
              </w:rPr>
            </w:pPr>
          </w:p>
        </w:tc>
      </w:tr>
      <w:tr>
        <w:trPr>
          <w:trHeight w:val="222"/>
        </w:trPr>
        <w:tc>
          <w:tcPr>
            <w:tcW w:w="3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74.0</w:t>
            </w:r>
          </w:p>
        </w:tc>
        <w:tc>
          <w:tcPr>
            <w:tcW w:w="7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960" w:type="dxa"/>
            <w:vAlign w:val="bottom"/>
            <w:tcBorders>
              <w:bottom w:val="single" w:sz="8" w:color="auto"/>
            </w:tcBorders>
          </w:tcPr>
          <w:p>
            <w:pPr>
              <w:spacing w:after="0"/>
              <w:rPr>
                <w:sz w:val="8"/>
                <w:szCs w:val="8"/>
                <w:color w:val="auto"/>
              </w:rPr>
            </w:pPr>
          </w:p>
        </w:tc>
        <w:tc>
          <w:tcPr>
            <w:tcW w:w="2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2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face amount of the mortgage notes is $73.6 million. However, in accordance with GAAP, these mortgage notes were recorded at their fair value of $74.0 million.</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On March 8, 2007, as part of the consideration to acquire the White Marsh portfolio, we issued (i) 884,066 common shares at $88.18 per share, par value $0.01 per share, (ii) 399,896 shares of 5.417% Series 1 Cumulative Convertible Preferred Shares (“Series 1 Preferred Shares”) at the liquidation preference of $25 per share, par value $0.01 per share, and (iii) 185,504 downREIT operating partnership units at $88.18 per share. The Series 1 Preferred Shares will accrue dividends at a rate of 5.417% per year and are convertible at any time by the holders to our common shares at a conversion rate of $104.69 per share. The Series 1 Preferred Shares are also convertible under certain circumstances at our election. The holders of the Series 1 Preferred Shares have no voting rights.</w:t>
      </w:r>
    </w:p>
    <w:p>
      <w:pPr>
        <w:spacing w:after="0" w:line="116"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On April 10, 2007, our unconsolidated real estate partnership entered into a mortgage note for approximately $4.2 million. The mortgage note is secured by the Lake Barcroft property which was acquired in February 2007 and is adjacent to and operated as part of Barcroft Plaza. The note matures on July 1, 2016, bears interest at 5.71% per annum and requires monthly payments of interest only.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anticipate our 2007 income from continuing operations to grow in comparison to our 2006 income from continuing operations. We expect this income growth primarily to be generated by a combination of the following:</w:t>
      </w:r>
    </w:p>
    <w:p>
      <w:pPr>
        <w:spacing w:after="0" w:line="5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earnings in our same-center portfolio and from properties under redevelopment;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earnings as we expand our portfolio through property acquisitions.</w:t>
      </w:r>
    </w:p>
    <w:p>
      <w:pPr>
        <w:spacing w:after="0" w:line="171"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On February 13, 2007, we announced a regular quarterly cash dividend of $0.575 per share on our common shares, resulting in an indicated annual rate of $2.30 per share. The regular common dividend was payable on April 16, 2007, to common shareholders of record as of March 13, 2007.</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continue to see a positive impact on our income as a result of the redevelopment of our shopping centers and higher rental rates on existing spaces as leases on these spaces expire. We anticipate investments in redevelopment projects of approximately $109 million and $97 million to stabilize in 2007 and 2008, respectively. As redevelopment properties are completed, spaces that were out of service begin generating revenue; in addition, spaces that were not out of service and that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right="1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have expiring leases may generate higher revenue because we generally receive higher rent on new leases. For example, many of the leases with rents commencing in 2007 were signed in 2006 or earlier, and leases signed in 2005, 2006 and year-to-date 2007 on spaces for which there was a previous tenant have on average been renewed at double digit base rent increases. On spaces where the tenant leases are expiring later in 2007, our analysis of current market rents as compared to rents on the existing leases leads us to expect that the base rents in new leases will have double-digit weighted average increases over the base rents currently in place.</w:t>
      </w:r>
    </w:p>
    <w:p>
      <w:pPr>
        <w:spacing w:after="0" w:line="14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March 31, 2007, the leasable square feet in our shopping centers was 95.3% occupied and 96.6% leased. The leased rate is higher than the occupied rate due to spaces that are being redeveloped or improved or that are awaiting permits and, therefore, are not yet ready to be occupied. Our occupancy and leased rates are subject to variability over time due to factors including acquisitions, the timing of the start and stabilization of our redevelopment projects, lease expirations and tenant bankruptcies.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90"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anticipate growth in earnings from acquisitions of neighborhood and community shopping centers in our primary markets in the East and West regions, as well as a reduction in earnings from selective dispositions. Any growth in earnings from acquisitions is contingent, however, on our ability to find properties that meet our qualitative standards at prices that meet our financial hurdles. Changes in interest rates may also affect our success in achieving growth through acquisitions by affecting both the price that must be paid to acquire a property, as well as our ability to economically finance the property acquisition.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Same-Center</w:t>
      </w:r>
    </w:p>
    <w:p>
      <w:pPr>
        <w:spacing w:after="0" w:line="9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Throughout this section, we have provided certain information on a “same-center” basis. Information provided on a same-center basis includes the results of properties that we owned and operated for the entirety of both periods being compared except for properties for which significant development, redevelopment or expansion occurred during either of the periods being compared and properties classified as discontinued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OPERATIONS—THREE MONTHS ENDED MARCH 31, 2007 AND 2006</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82"/>
              </w:rPr>
              <w:t>(Dollar amounts</w:t>
            </w:r>
          </w:p>
        </w:tc>
        <w:tc>
          <w:tcPr>
            <w:tcW w:w="2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Rental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118,933</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104,964</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$13,969</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Other property income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2,094</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344</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Mortgage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1"/>
        </w:trPr>
        <w:tc>
          <w:tcPr>
            <w:tcW w:w="8040" w:type="dxa"/>
            <w:vAlign w:val="bottom"/>
          </w:tcPr>
          <w:p>
            <w:pPr>
              <w:ind w:left="440"/>
              <w:spacing w:after="0"/>
              <w:rPr>
                <w:sz w:val="20"/>
                <w:szCs w:val="20"/>
                <w:color w:val="auto"/>
              </w:rPr>
            </w:pPr>
            <w:r>
              <w:rPr>
                <w:rFonts w:ascii="Arial" w:cs="Arial" w:eastAsia="Arial" w:hAnsi="Arial"/>
                <w:sz w:val="18"/>
                <w:szCs w:val="18"/>
                <w:color w:val="auto"/>
              </w:rPr>
              <w:t>Total property revenue</w:t>
            </w: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122,501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108,380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14,121</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Rental expenses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22,065</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3,583</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3"/>
        </w:trPr>
        <w:tc>
          <w:tcPr>
            <w:tcW w:w="8040" w:type="dxa"/>
            <w:vAlign w:val="bottom"/>
          </w:tcPr>
          <w:p>
            <w:pPr>
              <w:spacing w:after="0"/>
              <w:rPr>
                <w:sz w:val="20"/>
                <w:szCs w:val="20"/>
                <w:color w:val="auto"/>
              </w:rPr>
            </w:pPr>
            <w:r>
              <w:rPr>
                <w:rFonts w:ascii="Arial" w:cs="Arial" w:eastAsia="Arial" w:hAnsi="Arial"/>
                <w:sz w:val="18"/>
                <w:szCs w:val="18"/>
                <w:color w:val="auto"/>
              </w:rPr>
              <w:t>Real estate taxes</w:t>
            </w: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property expenses</w:t>
            </w: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21"/>
        </w:trPr>
        <w:tc>
          <w:tcPr>
            <w:tcW w:w="8040" w:type="dxa"/>
            <w:vAlign w:val="bottom"/>
          </w:tcPr>
          <w:p>
            <w:pPr>
              <w:ind w:left="880"/>
              <w:spacing w:after="0"/>
              <w:rPr>
                <w:sz w:val="20"/>
                <w:szCs w:val="20"/>
                <w:color w:val="auto"/>
              </w:rPr>
            </w:pPr>
            <w:r>
              <w:rPr>
                <w:rFonts w:ascii="Arial" w:cs="Arial" w:eastAsia="Arial" w:hAnsi="Arial"/>
                <w:sz w:val="18"/>
                <w:szCs w:val="18"/>
                <w:color w:val="auto"/>
              </w:rPr>
              <w:t>Property operating income</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85,188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75,764</w:t>
            </w: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9,424</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Income from real estate partnership</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(29,317)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(24,280)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5,037</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(5,604)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(4,501)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1,103</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(26,357)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2"/>
              </w:rPr>
              <w:t>(23,906)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Total other, net</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line="20" w:lineRule="exact"/>
              <w:rPr>
                <w:sz w:val="1"/>
                <w:szCs w:val="1"/>
                <w:color w:val="auto"/>
              </w:rPr>
            </w:pPr>
          </w:p>
        </w:tc>
      </w:tr>
      <w:tr>
        <w:trPr>
          <w:trHeight w:val="230"/>
        </w:trPr>
        <w:tc>
          <w:tcPr>
            <w:tcW w:w="80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(60,644)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w w:val="92"/>
              </w:rPr>
              <w:t>(52,276)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8,368</w:t>
            </w:r>
          </w:p>
        </w:tc>
        <w:tc>
          <w:tcPr>
            <w:tcW w:w="300" w:type="dxa"/>
            <w:vAlign w:val="bottom"/>
          </w:tcPr>
          <w:p>
            <w:pPr>
              <w:spacing w:after="0"/>
              <w:rPr>
                <w:sz w:val="20"/>
                <w:szCs w:val="20"/>
                <w:color w:val="auto"/>
              </w:rPr>
            </w:pPr>
          </w:p>
        </w:tc>
        <w:tc>
          <w:tcPr>
            <w:tcW w:w="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from continuing operations before minority interests</w:t>
            </w: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24,544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Minority interests</w:t>
            </w: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2"/>
              <w:spacing w:after="0"/>
              <w:rPr>
                <w:sz w:val="20"/>
                <w:szCs w:val="20"/>
                <w:color w:val="auto"/>
              </w:rPr>
            </w:pPr>
            <w:r>
              <w:rPr>
                <w:rFonts w:ascii="Arial" w:cs="Arial" w:eastAsia="Arial" w:hAnsi="Arial"/>
                <w:sz w:val="18"/>
                <w:szCs w:val="18"/>
                <w:color w:val="auto"/>
              </w:rPr>
              <w:t>(1,073)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(121)</w:t>
            </w: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Gain on sale of real estate</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8,737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(8,737)</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-100.0%</w:t>
            </w:r>
          </w:p>
        </w:tc>
        <w:tc>
          <w:tcPr>
            <w:tcW w:w="0" w:type="dxa"/>
            <w:vAlign w:val="bottom"/>
          </w:tcPr>
          <w:p>
            <w:pPr>
              <w:spacing w:after="0"/>
              <w:rPr>
                <w:sz w:val="1"/>
                <w:szCs w:val="1"/>
                <w:color w:val="auto"/>
              </w:rPr>
            </w:pPr>
          </w:p>
        </w:tc>
      </w:tr>
      <w:tr>
        <w:trPr>
          <w:trHeight w:val="27"/>
        </w:trPr>
        <w:tc>
          <w:tcPr>
            <w:tcW w:w="80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5"/>
              </w:rPr>
              <w:t>$ (7,895)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Revenues</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Total property revenue increased $14.1 million, or 13.0%, to $122.5 million in the three months ended March 31, 2007 compared to $108.4 million in the three months ended March 31, 2006. The percentage leased at our shopping centers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ind w:right="7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increased to 96.6% at March 31, 2007 compared to 96.2% at March 31, 2006 due primarily to new leases signed at existing properties. Changes in the components of property revenue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Income</w:t>
      </w:r>
    </w:p>
    <w:p>
      <w:pPr>
        <w:spacing w:after="0" w:line="9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Rental income consists primarily of minimum rent, cost recoveries from tenants and percentage rent. Rental income increased $14.0 million, or 13.3%, to $118.9 million in the three months ended March 31, 2007 compared to $105.0 million in the three months ended March 31, 2006 due primarily to the following:</w:t>
      </w:r>
    </w:p>
    <w:p>
      <w:pPr>
        <w:spacing w:after="0" w:line="4"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$6.6 million attributable to properties acquired in 2007 and 2006 and the completion of the power- center at Assembly Square Mall,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$4.4 million at same-center properties due to increased rental rates on new leases,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of $1.9 million at redevelopment properties due to increased occupancy and increased rental rates on new leases,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increase of $1.1 million at Santana Row residential due primarily to leasing of residential units, which were leased-up throughout 2006.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Property Income</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Other property income increased $0.3 million, or 16.4%, to $2.4 million in the three months ended March 31, 2007 compared to $2.1 million in the three months ended March 31, 2006. Included in other property income are items which, although recurring, tend to fluctuate more than rental income from period to period, such as lease termination fees. This increase is due primarily to an increase in equity in earnings from our investment in various restaurants at Santana Row.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Interest Income</w:t>
      </w:r>
    </w:p>
    <w:p>
      <w:pPr>
        <w:spacing w:after="0" w:line="90"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Mortgage interest income decreased $0.2 million, or 14.5%, to $1.1 million in the three months ended March 31, 2007 compared to $1.3 million in the three months ended March 31, 2006. This decrease is primarily due to an amendment of our $17.7 million secondary mortgage note receivable secured by a hotel in San Jose, California which was executed on August 4, 2006 and decreased the interest rate from 14% per annum to 9% per annum.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Expenses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Total property expenses increased $4.7 million, or 14.4%, to $37.3 million in the three months ended March 31, 2007 compared to $32.6 million in the three months ended March 31, 2006. Changes in the components of property expenses are discussed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Rental Expenses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Rental expenses increased $3.6 million, or 16.2%, to $25.6 million in the three months ended March 31, 2007 compared to $22.1 million in the three months ended March 31, 2006. This increase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of $1.9 million at same-center properties due primarily to higher snow removal cost,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 increase of $1.3 million attributable to properties acquired in 2007 and 2006 and the completion of the power- center at Assembly Square Mall.</w:t>
      </w:r>
    </w:p>
    <w:p>
      <w:pPr>
        <w:spacing w:after="0" w:line="194"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As a result of the changes in rental income, rental expenses and other property income described above, rental expenses as a percentage of rental income plus other property income increased to 21.1% in the three months ended March 31, 2007 from 20.6% in the three months ended March 31,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Taxes</w:t>
      </w:r>
    </w:p>
    <w:p>
      <w:pPr>
        <w:spacing w:after="0" w:line="9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Real estate tax expense increased $1.1 million, or 10.6%, to $11.7 million in the three months ended March 31, 2007 compared to $10.6 million in the three months ended March 31, 2006. This increase is due primarily to increased taxes of $0.8 million related to properties acquired in 2007 and 2006 and Assembly Square Mall and $0.4 million related to higher assessments at our same-center, redevelopment and Santana Row properties.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Operating Income</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Property operating income increased $9.4 million, or 12.4%, to $85.2 million in the three months ended March 31, 2007 compared to $75.8 million in the three months ended March 31, 2006. This increase is due primarily to the following: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20"/>
          </w:cols>
          <w:pgMar w:left="240" w:top="280" w:right="339" w:bottom="1440" w:gutter="0" w:footer="0" w:header="0"/>
        </w:sectPr>
      </w:pPr>
    </w:p>
    <w:bookmarkStart w:id="19" w:name="page20"/>
    <w:bookmarkEnd w:id="19"/>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earnings attributable to properties acquired in 2007 and 2006 and the completion of the power-center at Assembly Square Mall,</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in same-center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in earnings at Santana Row residential,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growth in earnings at redevelopment properties.</w:t>
      </w:r>
    </w:p>
    <w:p>
      <w:pPr>
        <w:spacing w:after="0" w:line="171"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Same-center property operating income increased 4.1% in the three months ended March 31, 2007 compared to the three months ended March 31, 2006. This increase is due primarily to increased rental income associated with new leases. When redevelopment and expansion properties are included with same-center results, property operating income increased by 4.5% in the three months ended March 31, 2007 compared to the three months ended March 31, 2006.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Interest expense increased $5.0 million, or 20.7%, to $29.3 million in the three months ended March 31, 2007 compared to $24.3 million in the three months ended March 31, 2006. This increase is due primarily to the following:</w:t>
      </w:r>
    </w:p>
    <w:p>
      <w:pPr>
        <w:spacing w:after="0" w:line="51"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of $6.1 million due to higher borrowings to finance our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offset by</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of $1.2 million in capitalized interest.</w:t>
      </w:r>
    </w:p>
    <w:p>
      <w:pPr>
        <w:spacing w:after="0" w:line="17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Gross interest costs were $31.3 million and $25.0 million in the three months ended March 31, 2007 and 2006, respectively. Capitalized interest amounted to $1.9 million and $0.7 million in the three months ended March 31, 2007 and 2006, respectively. Capitalized interest increased due primarily to development at Linden Square which was acquired in August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9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General and administrative expense increased $1.1 million, or 24.5%, to $5.6 million in the three months ended March 31, 2007 compared to $4.5 million in the three months ended March 31, 2006. This is primarily due to an increase in wages and bonuses and increased stock based compensation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Depreciation and amortization expense increased $2.5 million, or 10.3%, to $26.4 million in the three months ended March 31, 2007 from $23.9 million in the three months ended March 31, 2006. This increase is due primarily to acquisitions and improvements at same-center properties.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Interests</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Income to minority partners increased $0.2 million, or 20.8%, to $1.3 million in the three months ended March 31, 2007 compared to $1.1 million in the three months ended March 31, 2006. This increase is due primarily to increase in earnings at properties held in non-wholly owned partnerships.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Discontinued Operations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Loss from discontinued operations represents the operating loss of properties that have been disposed or will be disposed, which is required to be reported separately from results of ongoing operations. The reported operating loss of $0.1 million for both the three months ended March 31, 2007 and 2006, represents the operating loss for the period during which we owned properties sold in 2007 and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Real Estate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 properties were sold in the three months ended March 31, 2007, and the gain on sale of real estate was $8.7 million in the three months ended March 31, 2006. All of the properties sold in the three months ended March 31, 2006 (Shaw’s Plaza in Carver, Massachusetts and condominiums at Santana Row) resulted in gains.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Segment Results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operate our business on an asset management model, where property management teams are responsible for a portfolio of assets. We manage our portfolio as two operating regions: East and West. Property management teams consist of regional directors, leasing agents, development staff and financial personnel, each of whom has responsibility for a distinct portfolio.</w:t>
      </w:r>
    </w:p>
    <w:p>
      <w:pPr>
        <w:spacing w:after="0" w:line="14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following table provides selected key segment data for the three months ended March 31, 2007 and 2006. The results of properties classified as discontinued operations have been excluded for rental income, total revenue and property operating income from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0"/>
              </w:rPr>
              <w:t>Three Months Ended March 31,</w:t>
            </w:r>
          </w:p>
        </w:tc>
      </w:tr>
      <w:tr>
        <w:trPr>
          <w:trHeight w:val="142"/>
        </w:trPr>
        <w:tc>
          <w:tcPr>
            <w:tcW w:w="6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r>
      <w:tr>
        <w:trPr>
          <w:trHeight w:val="142"/>
        </w:trPr>
        <w:tc>
          <w:tcPr>
            <w:tcW w:w="67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left="476"/>
              <w:spacing w:after="0" w:line="142" w:lineRule="exact"/>
              <w:rPr>
                <w:sz w:val="20"/>
                <w:szCs w:val="20"/>
                <w:color w:val="auto"/>
              </w:rPr>
            </w:pPr>
            <w:r>
              <w:rPr>
                <w:rFonts w:ascii="Arial" w:cs="Arial" w:eastAsia="Arial" w:hAnsi="Arial"/>
                <w:sz w:val="14"/>
                <w:szCs w:val="14"/>
                <w:b w:val="1"/>
                <w:bCs w:val="1"/>
                <w:color w:val="auto"/>
                <w:w w:val="93"/>
              </w:rPr>
              <w:t>(In</w:t>
            </w:r>
          </w:p>
        </w:tc>
        <w:tc>
          <w:tcPr>
            <w:tcW w:w="1340" w:type="dxa"/>
            <w:vAlign w:val="bottom"/>
            <w:gridSpan w:val="3"/>
          </w:tcPr>
          <w:p>
            <w:pPr>
              <w:jc w:val="right"/>
              <w:ind w:right="574"/>
              <w:spacing w:after="0" w:line="142" w:lineRule="exact"/>
              <w:rPr>
                <w:sz w:val="20"/>
                <w:szCs w:val="20"/>
                <w:color w:val="auto"/>
              </w:rPr>
            </w:pPr>
            <w:r>
              <w:rPr>
                <w:rFonts w:ascii="Arial" w:cs="Arial" w:eastAsia="Arial" w:hAnsi="Arial"/>
                <w:sz w:val="14"/>
                <w:szCs w:val="14"/>
                <w:b w:val="1"/>
                <w:bCs w:val="1"/>
                <w:color w:val="auto"/>
                <w:w w:val="87"/>
              </w:rPr>
              <w:t>thousands)</w:t>
            </w:r>
          </w:p>
        </w:tc>
        <w:tc>
          <w:tcPr>
            <w:tcW w:w="140" w:type="dxa"/>
            <w:vAlign w:val="bottom"/>
          </w:tcPr>
          <w:p>
            <w:pPr>
              <w:spacing w:after="0"/>
              <w:rPr>
                <w:sz w:val="12"/>
                <w:szCs w:val="12"/>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East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Rental income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93,434</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81,230</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revenue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83,205</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Property operating income (1)</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67,184</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59,364</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0"/>
              </w:rPr>
              <w:t>70.1%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71.3%</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Total assets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1,935,597</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1,393,356</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leasable area (square feet)</w:t>
            </w:r>
          </w:p>
        </w:tc>
        <w:tc>
          <w:tcPr>
            <w:tcW w:w="2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15,039</w:t>
            </w:r>
          </w:p>
        </w:tc>
      </w:tr>
      <w:tr>
        <w:trPr>
          <w:trHeight w:val="323"/>
        </w:trPr>
        <w:tc>
          <w:tcPr>
            <w:tcW w:w="6720" w:type="dxa"/>
            <w:vAlign w:val="bottom"/>
          </w:tcPr>
          <w:p>
            <w:pPr>
              <w:spacing w:after="0"/>
              <w:rPr>
                <w:sz w:val="20"/>
                <w:szCs w:val="20"/>
                <w:color w:val="auto"/>
              </w:rPr>
            </w:pPr>
            <w:r>
              <w:rPr>
                <w:rFonts w:ascii="Arial" w:cs="Arial" w:eastAsia="Arial" w:hAnsi="Arial"/>
                <w:sz w:val="18"/>
                <w:szCs w:val="18"/>
                <w:color w:val="auto"/>
              </w:rPr>
              <w:t>West</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7"/>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Rental income</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25,499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23,734</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26,702</w:t>
            </w: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25,175</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Property operating income (1)</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16,400</w:t>
            </w:r>
          </w:p>
        </w:tc>
      </w:tr>
      <w:tr>
        <w:trPr>
          <w:trHeight w:val="216"/>
        </w:trPr>
        <w:tc>
          <w:tcPr>
            <w:tcW w:w="6720" w:type="dxa"/>
            <w:vAlign w:val="bottom"/>
          </w:tcPr>
          <w:p>
            <w:pPr>
              <w:ind w:left="440"/>
              <w:spacing w:after="0"/>
              <w:rPr>
                <w:sz w:val="20"/>
                <w:szCs w:val="20"/>
                <w:color w:val="auto"/>
              </w:rPr>
            </w:pPr>
            <w:r>
              <w:rPr>
                <w:rFonts w:ascii="Arial" w:cs="Arial" w:eastAsia="Arial" w:hAnsi="Arial"/>
                <w:sz w:val="18"/>
                <w:szCs w:val="18"/>
                <w:color w:val="auto"/>
              </w:rPr>
              <w:t>Property operating income as a percent of total revenue</w:t>
            </w:r>
          </w:p>
        </w:tc>
        <w:tc>
          <w:tcPr>
            <w:tcW w:w="2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left="16"/>
              <w:spacing w:after="0"/>
              <w:rPr>
                <w:sz w:val="20"/>
                <w:szCs w:val="20"/>
                <w:color w:val="auto"/>
              </w:rPr>
            </w:pPr>
            <w:r>
              <w:rPr>
                <w:rFonts w:ascii="Arial" w:cs="Arial" w:eastAsia="Arial" w:hAnsi="Arial"/>
                <w:sz w:val="18"/>
                <w:szCs w:val="18"/>
                <w:color w:val="auto"/>
                <w:w w:val="90"/>
              </w:rPr>
              <w:t>67.4%</w:t>
            </w: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6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882,241</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888,261</w:t>
            </w:r>
          </w:p>
        </w:tc>
      </w:tr>
      <w:tr>
        <w:trPr>
          <w:trHeight w:val="222"/>
        </w:trPr>
        <w:tc>
          <w:tcPr>
            <w:tcW w:w="6720" w:type="dxa"/>
            <w:vAlign w:val="bottom"/>
          </w:tcPr>
          <w:p>
            <w:pPr>
              <w:ind w:left="440"/>
              <w:spacing w:after="0"/>
              <w:rPr>
                <w:sz w:val="20"/>
                <w:szCs w:val="20"/>
                <w:color w:val="auto"/>
              </w:rPr>
            </w:pPr>
            <w:r>
              <w:rPr>
                <w:rFonts w:ascii="Arial" w:cs="Arial" w:eastAsia="Arial" w:hAnsi="Arial"/>
                <w:sz w:val="18"/>
                <w:szCs w:val="18"/>
                <w:color w:val="auto"/>
              </w:rPr>
              <w:t>Gross leasable area (square feet)</w:t>
            </w:r>
          </w:p>
        </w:tc>
        <w:tc>
          <w:tcPr>
            <w:tcW w:w="2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2,626</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2,605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20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Property operating income consists of rental income, other property income and mortgage interest income, less rental expenses and real estate taxes. This measure is used internally to evaluate the performance of our regional operations, and we consider it to be a significant measure.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East</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Rental income for the East region increased $12.2 million to $93.4 million in the three months ended March 31, 2007 compared to $81.2 million in the three months ended March 31, 2006 due primarily to the following:</w:t>
      </w:r>
    </w:p>
    <w:p>
      <w:pPr>
        <w:spacing w:after="0" w:line="51"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 increase of $6.6 million attributable to properties acquired in 2007 and 2006 and the completion of the power center at Assembly Square Mall,</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$3.6 million at same-center properties due to increased rental rates on new leases and increased occupancy,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of $2.0 million of redevelopment properties.</w:t>
      </w:r>
    </w:p>
    <w:p>
      <w:pPr>
        <w:spacing w:after="0" w:line="171"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Property operating income for the East region increased $7.8 million due primarily to the increase in rental income discussed above partially offset by a $3.7 million increase in rental expense due to the acquisition of properties and additional snow removal costs and a $1.1 million increase in real estate taxes due primarily to the acquisition of properties and higher assessments on our same-center and redevelopment properties. As a result of these changes, the ratio of property operating income to total revenue for the East region decreased to 70.1% in the three months ended March 31, 2007 from 71.3% in the three months ended March 31,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West</w:t>
      </w:r>
    </w:p>
    <w:p>
      <w:pPr>
        <w:spacing w:after="0" w:line="90"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Rental income for the West region increased $1.8 million to $25.5 million in the three months ended March 31, 2007 from $23.7 million in the three months ended March 31, 2006 due primarily to an increase of $1.2 million at Santana Row. The increase in rental income at Santana Row is due primarily to leasing residential units which were leased-up throughout 2006 and increased rental rates on new retail leases.</w:t>
      </w:r>
    </w:p>
    <w:p>
      <w:pPr>
        <w:spacing w:after="0" w:line="10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Property operating income for the West region increased $1.6 million due primarily to the increase in rental income discussed above partially offset by a $0.2 million decrease in mortgage interest income due to an amendment of our $17.7 million mortgage note receivable secured by a hotel in San Jose, California, which was executed on August 14, 2006 and decreased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1" w:name="page22"/>
    <w:bookmarkEnd w:id="21"/>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interest rate from 14% per annum to 9% per annum. As a result of these changes, the ratio of property operating income to total revenue for the West region increased to 67.4% in the three months ended March 31, 2007 from 65.1% in the three months ended March 31,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Due to the nature of our business and strategy, we generally generate significant amounts of cash from operations. The cash generated from operations is primarily paid to our shareholders in the form of dividends. As a REIT, we must generally make annual distributions to shareholders of at least 90% of our REIT taxable income.</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short-term liquidity requirements consist primarily of obligations under our capital and operating leases, normal recurring operating expenses, regular debt service requirements (including debt service relating to additional or replacement debt, as well as scheduled debt maturities), recurring expenditures, non-recurring expenditures (such as tenant improvements and redevelopments) and dividends to common and preferred shareholders. Overall capital requirements in 2007 will depend upon acquisition opportunities, the level of improvements and redevelopments on existing properties and the timing and cost of development of future phases of existing properties.</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Our long-term capital requirements consist primarily of maturities under our long-term debt, development and redevelopment costs and potential acquisitions. We expect to fund these through a combination of sources which we believe will be available to us, including additional and replacement secured and unsecured borrowings, issuance of additional equity, joint venture relationships relating to existing properties or new acquisitions and property dispositions.</w:t>
      </w:r>
    </w:p>
    <w:p>
      <w:pPr>
        <w:spacing w:after="0" w:line="107"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cash needed to execute our strategy and invest in new properties, as well as to pay our debt at maturity, must come from one or more of the following sources:</w:t>
      </w:r>
    </w:p>
    <w:p>
      <w:pPr>
        <w:spacing w:after="0" w:line="5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provided by operations that is not distributed to shareholders,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proceeds from the issuance of new debt or equity securities,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proceeds from property dispositions.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It is management’s intention that we continually have access to the capital resources necessary to expand and develop our business. As a result, we intend to operate with and maintain a conservative capital structure that will allow us to maintain strong debt service coverage and fixed-charge coverage ratios as part of our commitment to investment-grade debt ratings. We may, from time to time, seek to obtain funds by the following means:</w:t>
      </w:r>
    </w:p>
    <w:p>
      <w:pPr>
        <w:spacing w:after="0" w:line="2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additional equity offerings,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unsecured debt financing and/or mortgage financings, and</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debt and equity alternatives, including formation of joint ventures, in a manner consistent with our intention to operate with a conservative debt structure.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factors could affect our ability to meet our liquidity requirements:</w:t>
      </w:r>
    </w:p>
    <w:p>
      <w:pPr>
        <w:spacing w:after="0" w:line="90" w:lineRule="exact"/>
        <w:rPr>
          <w:sz w:val="20"/>
          <w:szCs w:val="20"/>
          <w:color w:val="auto"/>
        </w:rPr>
      </w:pPr>
    </w:p>
    <w:p>
      <w:pPr>
        <w:ind w:left="900" w:right="30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obtain debt or equity financing on favorable terms, or at all, as a result of our financial condition or market conditions at the time we seek additional financing;</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in our debt instruments or preferred stock equity may prohibit us from incurring debt or issuing equity under certain circumstances, or on acceptable terms under then-prevailing market conditions;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we may be unable to service additional or replacement debt due to increases in interest rates or a decline in our operating performance.</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and cash equivalents were $16.0 million at March 31, 2007, which is a $4.5 million increase from the balance of cash and cash equivalents at December 31, 2006. Cash and cash equivalents are not a good indicator of our liquidity. We have a $300.0 million unsecured revolving credit facility that matures July 27, 2010, subject to a one-year extension at our option. We intend to utilize our revolving credit facility to initially finance the acquisition of properties and meet other short-term working capital requirements.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Three Months Ended March 31,</w:t>
            </w: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83"/>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55,685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100" w:type="dxa"/>
            <w:vAlign w:val="bottom"/>
          </w:tcPr>
          <w:p>
            <w:pPr>
              <w:spacing w:after="0"/>
              <w:rPr>
                <w:sz w:val="18"/>
                <w:szCs w:val="18"/>
                <w:color w:val="auto"/>
              </w:rPr>
            </w:pPr>
          </w:p>
        </w:tc>
        <w:tc>
          <w:tcPr>
            <w:tcW w:w="1060" w:type="dxa"/>
            <w:vAlign w:val="bottom"/>
            <w:gridSpan w:val="2"/>
          </w:tcPr>
          <w:p>
            <w:pPr>
              <w:jc w:val="right"/>
              <w:ind w:right="172"/>
              <w:spacing w:after="0"/>
              <w:rPr>
                <w:sz w:val="20"/>
                <w:szCs w:val="20"/>
                <w:color w:val="auto"/>
              </w:rPr>
            </w:pPr>
            <w:r>
              <w:rPr>
                <w:rFonts w:ascii="Arial" w:cs="Arial" w:eastAsia="Arial" w:hAnsi="Arial"/>
                <w:sz w:val="18"/>
                <w:szCs w:val="18"/>
                <w:color w:val="auto"/>
              </w:rPr>
              <w:t>(78,594)</w:t>
            </w:r>
          </w:p>
        </w:tc>
        <w:tc>
          <w:tcPr>
            <w:tcW w:w="2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(11,899)</w:t>
            </w:r>
          </w:p>
        </w:tc>
        <w:tc>
          <w:tcPr>
            <w:tcW w:w="0" w:type="dxa"/>
            <w:vAlign w:val="bottom"/>
          </w:tcPr>
          <w:p>
            <w:pPr>
              <w:spacing w:after="0"/>
              <w:rPr>
                <w:sz w:val="1"/>
                <w:szCs w:val="1"/>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 financing activities</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27,401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(39,349)</w:t>
            </w:r>
          </w:p>
        </w:tc>
        <w:tc>
          <w:tcPr>
            <w:tcW w:w="0" w:type="dxa"/>
            <w:vAlign w:val="bottom"/>
          </w:tcPr>
          <w:p>
            <w:pPr>
              <w:spacing w:after="0"/>
              <w:rPr>
                <w:sz w:val="1"/>
                <w:szCs w:val="1"/>
                <w:color w:val="auto"/>
              </w:rPr>
            </w:pPr>
          </w:p>
        </w:tc>
      </w:tr>
      <w:tr>
        <w:trPr>
          <w:trHeight w:val="20"/>
        </w:trPr>
        <w:tc>
          <w:tcPr>
            <w:tcW w:w="9320" w:type="dxa"/>
            <w:vAlign w:val="bottom"/>
            <w:vMerge w:val="restart"/>
          </w:tcPr>
          <w:p>
            <w:pPr>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9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4,492</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(3,847)</w:t>
            </w:r>
          </w:p>
        </w:tc>
        <w:tc>
          <w:tcPr>
            <w:tcW w:w="0" w:type="dxa"/>
            <w:vAlign w:val="bottom"/>
          </w:tcPr>
          <w:p>
            <w:pPr>
              <w:spacing w:after="0"/>
              <w:rPr>
                <w:sz w:val="1"/>
                <w:szCs w:val="1"/>
                <w:color w:val="auto"/>
              </w:rPr>
            </w:pPr>
          </w:p>
        </w:tc>
      </w:tr>
      <w:tr>
        <w:trPr>
          <w:trHeight w:val="218"/>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11,495</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15,987</w:t>
            </w: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Net cash provided by operating activities increased by $8.3 million to $55.7 million during the three months ended March 31, 2007 from $47.4 million during the three months ended March 31, 2006. The increase was primarily attributable to:</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$5.9 million decrease in cash used for working capital due primarily to higher accounts payable and lower prepaid balances,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$2.4 million higher net income before gain on sale of real estate, depreciation and amortization, minority interest, and other non-cash expenses.</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Net cash used in investing activities increased approximately $66.7 million to $78.6 million during the three months ended March 31, 2007 from $11.9 million during the three months ended March 31, 2006. The increase was primarily attributable to:</w:t>
      </w:r>
    </w:p>
    <w:p>
      <w:pPr>
        <w:spacing w:after="0" w:line="51"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$33.9 million decrease in proceeds from the sale of real estate,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$21.6 million contribution to our unconsolidated real estate partnership due to additional acquisitions by the real estate partnership,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$7.4 million increase in capital expenditures primarily for development and redevelopment activities,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$3.7 million increase in acquisitions of real estate.</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Net cash provided by financing activities increased approximately $66.8 million to $27.4 million during the three months ended March 31, 2007 from $39.3 million used during the three months ended March 31, 2006. The increase was primarily attributable to:</w:t>
      </w:r>
    </w:p>
    <w:p>
      <w:pPr>
        <w:spacing w:after="0" w:line="51"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$40.5 million repayment of senior debentures in 2006,</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$16.0 million increase in net borrowings on our revolving credit facility,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$11.0 million decrease in dividends paid to shareholders due primarily to $10.6 million of special dividends paid in 2006.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joint venture partners in eight restaurants at Santana Row. Our investment balance in the restaurant joint ventures was approximately $9.8 million and $8.6 million at March 31, 2007 and December 31, 2006, respectively. Our equity in earnings from the restaurant joint ventures was $0.5 million and $0.3 million at March 31, 2007 and 2006, respectively.</w:t>
      </w:r>
    </w:p>
    <w:p>
      <w:pPr>
        <w:spacing w:after="0" w:line="14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July 2004, we entered into a joint venture arrangement (“the Partnership”) by forming a limited partnership with affiliates of Clarion Lion Properties Fund (“Clarion”), a discretionary fund created and advised by ING Clarion Partners. We own 30% of the equity in the Partnership, and Clarion owns 70%. We are the manager of the Partnership and its properties, earning fees for acquisitions, management, leasing and financing. We also have the opportunity to receive performance-based earnings through our Partnership interest. We account for our interest in the Partnership using the equity method. In total, at March 31, 2007, the Partnership had $77.4 million of mortgages payable outstanding. For mortgages payable totaling $36.7 million that are secured by three properties owned by subsidiaries of the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23" w:name="page24"/>
    <w:bookmarkEnd w:id="2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Partnership, we are the guarantor for the obligations of the joint venture which are commonly referred to as “non-recourse carve-outs.” We are not guaranteeing repayment of the debt itself. The Partnership indemnifies us for any loss we incur under these guarantees.</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240" w:top="280"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Debt Financing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our total debt outstanding as of March 31, 2007:</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Original</w:t>
            </w:r>
          </w:p>
        </w:tc>
        <w:tc>
          <w:tcPr>
            <w:tcW w:w="20" w:type="dxa"/>
            <w:vAlign w:val="bottom"/>
          </w:tcPr>
          <w:p>
            <w:pPr>
              <w:spacing w:after="0"/>
              <w:rPr>
                <w:sz w:val="14"/>
                <w:szCs w:val="14"/>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w w:val="85"/>
              </w:rPr>
              <w:t>Principal Balance</w:t>
            </w:r>
          </w:p>
        </w:tc>
        <w:tc>
          <w:tcPr>
            <w:tcW w:w="32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Stated Interest Rate</w:t>
            </w:r>
          </w:p>
        </w:tc>
        <w:tc>
          <w:tcPr>
            <w:tcW w:w="15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Debt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293"/>
              <w:spacing w:after="0" w:line="149" w:lineRule="exact"/>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2"/>
                <w:szCs w:val="12"/>
                <w:color w:val="auto"/>
              </w:rPr>
            </w:pPr>
          </w:p>
        </w:tc>
        <w:tc>
          <w:tcPr>
            <w:tcW w:w="16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as of</w:t>
            </w:r>
          </w:p>
        </w:tc>
        <w:tc>
          <w:tcPr>
            <w:tcW w:w="1520" w:type="dxa"/>
            <w:vAlign w:val="bottom"/>
          </w:tcPr>
          <w:p>
            <w:pPr>
              <w:spacing w:after="0"/>
              <w:rPr>
                <w:sz w:val="12"/>
                <w:szCs w:val="12"/>
                <w:color w:val="auto"/>
              </w:rPr>
            </w:pPr>
          </w:p>
        </w:tc>
      </w:tr>
      <w:tr>
        <w:trPr>
          <w:trHeight w:val="161"/>
        </w:trPr>
        <w:tc>
          <w:tcPr>
            <w:tcW w:w="5500" w:type="dxa"/>
            <w:vAlign w:val="bottom"/>
            <w:gridSpan w:val="3"/>
          </w:tcPr>
          <w:p>
            <w:pPr>
              <w:spacing w:after="0"/>
              <w:rPr>
                <w:sz w:val="20"/>
                <w:szCs w:val="20"/>
                <w:color w:val="auto"/>
              </w:rPr>
            </w:pPr>
            <w:r>
              <w:rPr>
                <w:rFonts w:ascii="Arial" w:cs="Arial" w:eastAsia="Arial" w:hAnsi="Arial"/>
                <w:sz w:val="14"/>
                <w:szCs w:val="14"/>
                <w:b w:val="1"/>
                <w:bCs w:val="1"/>
                <w:color w:val="auto"/>
              </w:rPr>
              <w:t>Description of Debt</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Issued</w:t>
            </w:r>
          </w:p>
        </w:tc>
        <w:tc>
          <w:tcPr>
            <w:tcW w:w="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March 31, 2007</w:t>
            </w:r>
          </w:p>
        </w:tc>
        <w:tc>
          <w:tcPr>
            <w:tcW w:w="32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March 31, 2007</w:t>
            </w:r>
          </w:p>
        </w:tc>
        <w:tc>
          <w:tcPr>
            <w:tcW w:w="1520" w:type="dxa"/>
            <w:vAlign w:val="bottom"/>
          </w:tcPr>
          <w:p>
            <w:pPr>
              <w:jc w:val="right"/>
              <w:ind w:right="253"/>
              <w:spacing w:after="0"/>
              <w:rPr>
                <w:sz w:val="20"/>
                <w:szCs w:val="20"/>
                <w:color w:val="auto"/>
              </w:rPr>
            </w:pPr>
            <w:r>
              <w:rPr>
                <w:rFonts w:ascii="Arial" w:cs="Arial" w:eastAsia="Arial" w:hAnsi="Arial"/>
                <w:sz w:val="14"/>
                <w:szCs w:val="14"/>
                <w:b w:val="1"/>
                <w:bCs w:val="1"/>
                <w:color w:val="auto"/>
              </w:rPr>
              <w:t>Maturity Date</w:t>
            </w:r>
          </w:p>
        </w:tc>
      </w:tr>
      <w:tr>
        <w:trPr>
          <w:trHeight w:val="27"/>
        </w:trPr>
        <w:tc>
          <w:tcPr>
            <w:tcW w:w="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gridSpan w:val="2"/>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520" w:type="dxa"/>
            <w:vAlign w:val="bottom"/>
            <w:shd w:val="clear" w:color="auto" w:fill="000000"/>
          </w:tcPr>
          <w:p>
            <w:pPr>
              <w:spacing w:after="0"/>
              <w:rPr>
                <w:sz w:val="2"/>
                <w:szCs w:val="2"/>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gridSpan w:val="5"/>
          </w:tcPr>
          <w:p>
            <w:pPr>
              <w:jc w:val="right"/>
              <w:ind w:right="333"/>
              <w:spacing w:after="0" w:line="149" w:lineRule="exact"/>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Mortgage Loans (1)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Leesburg Plaza</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3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6.510%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1, 2008</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164 E. Houston Street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7.500%</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6, 2008</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Byron Station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December 31, 2008</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Mercer Mall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Acquired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4,494</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8.375%</w:t>
            </w:r>
          </w:p>
        </w:tc>
        <w:tc>
          <w:tcPr>
            <w:tcW w:w="1520" w:type="dxa"/>
            <w:vAlign w:val="bottom"/>
          </w:tcPr>
          <w:p>
            <w:pPr>
              <w:jc w:val="right"/>
              <w:spacing w:after="0"/>
              <w:rPr>
                <w:sz w:val="20"/>
                <w:szCs w:val="20"/>
                <w:color w:val="auto"/>
              </w:rPr>
            </w:pPr>
            <w:r>
              <w:rPr>
                <w:rFonts w:ascii="Arial" w:cs="Arial" w:eastAsia="Arial" w:hAnsi="Arial"/>
                <w:sz w:val="18"/>
                <w:szCs w:val="18"/>
                <w:color w:val="auto"/>
              </w:rPr>
              <w:t>April 1, 2009</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Federal Plaza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34,058</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2011</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Tysons Station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6,330</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7.400%</w:t>
            </w:r>
          </w:p>
        </w:tc>
        <w:tc>
          <w:tcPr>
            <w:tcW w:w="1520" w:type="dxa"/>
            <w:vAlign w:val="bottom"/>
          </w:tcPr>
          <w:p>
            <w:pPr>
              <w:jc w:val="right"/>
              <w:spacing w:after="0"/>
              <w:rPr>
                <w:sz w:val="20"/>
                <w:szCs w:val="20"/>
                <w:color w:val="auto"/>
              </w:rPr>
            </w:pPr>
            <w:r>
              <w:rPr>
                <w:rFonts w:ascii="Arial" w:cs="Arial" w:eastAsia="Arial" w:hAnsi="Arial"/>
                <w:sz w:val="18"/>
                <w:szCs w:val="18"/>
                <w:color w:val="auto"/>
                <w:w w:val="97"/>
              </w:rPr>
              <w:t>September 1, 2011</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White Marsh Plaza (2)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10,546</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6.040%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 2013</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Crow Canyon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Acquired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21,854</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11, 2013</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Melville Mall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25,553</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5.250%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September 1, 2014</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THE AVENUE at White Marsh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Acquired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61,764</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5.460%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 2015</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Barracks Road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42,462</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Hauppauge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16,700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16,008</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Lawrence Park</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30,097</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Wildwood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27,600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26,455</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Wynnewood</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30,672</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7.950%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Brick Plaza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31,509</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7.415%</w:t>
            </w:r>
          </w:p>
        </w:tc>
        <w:tc>
          <w:tcPr>
            <w:tcW w:w="1520" w:type="dxa"/>
            <w:vAlign w:val="bottom"/>
          </w:tcPr>
          <w:p>
            <w:pPr>
              <w:jc w:val="right"/>
              <w:spacing w:after="0"/>
              <w:rPr>
                <w:sz w:val="20"/>
                <w:szCs w:val="20"/>
                <w:color w:val="auto"/>
              </w:rPr>
            </w:pPr>
            <w:r>
              <w:rPr>
                <w:rFonts w:ascii="Arial" w:cs="Arial" w:eastAsia="Arial" w:hAnsi="Arial"/>
                <w:sz w:val="18"/>
                <w:szCs w:val="18"/>
                <w:color w:val="auto"/>
              </w:rPr>
              <w:t>November 1, 2015</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Mount Vernon (3)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12,193</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April 15, 2028</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Bath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Acquired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9,961</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7.130%</w:t>
            </w:r>
          </w:p>
        </w:tc>
        <w:tc>
          <w:tcPr>
            <w:tcW w:w="1520" w:type="dxa"/>
            <w:vAlign w:val="bottom"/>
          </w:tcPr>
          <w:p>
            <w:pPr>
              <w:jc w:val="right"/>
              <w:spacing w:after="0"/>
              <w:rPr>
                <w:sz w:val="20"/>
                <w:szCs w:val="20"/>
                <w:color w:val="auto"/>
              </w:rPr>
            </w:pPr>
            <w:r>
              <w:rPr>
                <w:rFonts w:ascii="Arial" w:cs="Arial" w:eastAsia="Arial" w:hAnsi="Arial"/>
                <w:sz w:val="18"/>
                <w:szCs w:val="18"/>
                <w:color w:val="auto"/>
              </w:rPr>
              <w:t>July 1, 2028</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Chelsea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Acquired</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5.360%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15, 2031</w:t>
            </w:r>
          </w:p>
        </w:tc>
      </w:tr>
      <w:tr>
        <w:trPr>
          <w:trHeight w:val="222"/>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Subtotal</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383,298</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Unamortized Net Premium</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Total Mortgage Loans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383,694</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Perring Plaza Renovation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January 31, 2013</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Revolving credit facilities (4)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300,000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157,500</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LIBOR + 0.425%</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27, 2010</w:t>
            </w:r>
          </w:p>
        </w:tc>
      </w:tr>
      <w:tr>
        <w:trPr>
          <w:trHeight w:val="223"/>
        </w:trPr>
        <w:tc>
          <w:tcPr>
            <w:tcW w:w="20" w:type="dxa"/>
            <w:vAlign w:val="bottom"/>
          </w:tcPr>
          <w:p>
            <w:pPr>
              <w:spacing w:after="0"/>
              <w:rPr>
                <w:sz w:val="19"/>
                <w:szCs w:val="19"/>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Escondido (Municipal Bonds) (5)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3.484%</w:t>
            </w:r>
          </w:p>
        </w:tc>
        <w:tc>
          <w:tcPr>
            <w:tcW w:w="1520" w:type="dxa"/>
            <w:vAlign w:val="bottom"/>
          </w:tcPr>
          <w:p>
            <w:pPr>
              <w:jc w:val="right"/>
              <w:spacing w:after="0"/>
              <w:rPr>
                <w:sz w:val="20"/>
                <w:szCs w:val="20"/>
                <w:color w:val="auto"/>
              </w:rPr>
            </w:pPr>
            <w:r>
              <w:rPr>
                <w:rFonts w:ascii="Arial" w:cs="Arial" w:eastAsia="Arial" w:hAnsi="Arial"/>
                <w:sz w:val="18"/>
                <w:szCs w:val="18"/>
                <w:color w:val="auto"/>
              </w:rPr>
              <w:t>October 1, 2016</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Notes Payable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168,475</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2"/>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Senior Notes and Debentures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6.125% Notes (6)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150,000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150,000</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6.325%</w:t>
            </w:r>
          </w:p>
        </w:tc>
        <w:tc>
          <w:tcPr>
            <w:tcW w:w="1520" w:type="dxa"/>
            <w:vAlign w:val="bottom"/>
          </w:tcPr>
          <w:p>
            <w:pPr>
              <w:jc w:val="right"/>
              <w:spacing w:after="0"/>
              <w:rPr>
                <w:sz w:val="20"/>
                <w:szCs w:val="20"/>
                <w:color w:val="auto"/>
              </w:rPr>
            </w:pPr>
            <w:r>
              <w:rPr>
                <w:rFonts w:ascii="Arial" w:cs="Arial" w:eastAsia="Arial" w:hAnsi="Arial"/>
                <w:sz w:val="18"/>
                <w:szCs w:val="18"/>
                <w:color w:val="auto"/>
                <w:w w:val="94"/>
              </w:rPr>
              <w:t>November 15, 2007</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8.75%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8.750%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December 1, 2009</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4.50% Notes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75,000</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4.500%</w:t>
            </w:r>
          </w:p>
        </w:tc>
        <w:tc>
          <w:tcPr>
            <w:tcW w:w="1520" w:type="dxa"/>
            <w:vAlign w:val="bottom"/>
          </w:tcPr>
          <w:p>
            <w:pPr>
              <w:jc w:val="right"/>
              <w:spacing w:after="0"/>
              <w:rPr>
                <w:sz w:val="20"/>
                <w:szCs w:val="20"/>
                <w:color w:val="auto"/>
              </w:rPr>
            </w:pPr>
            <w:r>
              <w:rPr>
                <w:rFonts w:ascii="Arial" w:cs="Arial" w:eastAsia="Arial" w:hAnsi="Arial"/>
                <w:sz w:val="18"/>
                <w:szCs w:val="18"/>
                <w:color w:val="auto"/>
              </w:rPr>
              <w:t>February 15, 2011</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6.00%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175,000</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6.000%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July 15, 2012</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5.40% Notes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135,000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135,000</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5.400%</w:t>
            </w:r>
          </w:p>
        </w:tc>
        <w:tc>
          <w:tcPr>
            <w:tcW w:w="1520" w:type="dxa"/>
            <w:vAlign w:val="bottom"/>
          </w:tcPr>
          <w:p>
            <w:pPr>
              <w:jc w:val="right"/>
              <w:spacing w:after="0"/>
              <w:rPr>
                <w:sz w:val="20"/>
                <w:szCs w:val="20"/>
                <w:color w:val="auto"/>
              </w:rPr>
            </w:pPr>
            <w:r>
              <w:rPr>
                <w:rFonts w:ascii="Arial" w:cs="Arial" w:eastAsia="Arial" w:hAnsi="Arial"/>
                <w:sz w:val="18"/>
                <w:szCs w:val="18"/>
                <w:color w:val="auto"/>
              </w:rPr>
              <w:t>December 1, 2013</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5.65%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5.650%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1, 2016</w:t>
            </w:r>
          </w:p>
        </w:tc>
      </w:tr>
      <w:tr>
        <w:trPr>
          <w:trHeight w:val="216"/>
        </w:trPr>
        <w:tc>
          <w:tcPr>
            <w:tcW w:w="20" w:type="dxa"/>
            <w:vAlign w:val="bottom"/>
          </w:tcPr>
          <w:p>
            <w:pPr>
              <w:spacing w:after="0"/>
              <w:rPr>
                <w:sz w:val="18"/>
                <w:szCs w:val="18"/>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6.20% Notes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200,000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200,000</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6.200%</w:t>
            </w:r>
          </w:p>
        </w:tc>
        <w:tc>
          <w:tcPr>
            <w:tcW w:w="1520" w:type="dxa"/>
            <w:vAlign w:val="bottom"/>
          </w:tcPr>
          <w:p>
            <w:pPr>
              <w:jc w:val="right"/>
              <w:spacing w:after="0"/>
              <w:rPr>
                <w:sz w:val="20"/>
                <w:szCs w:val="20"/>
                <w:color w:val="auto"/>
              </w:rPr>
            </w:pPr>
            <w:r>
              <w:rPr>
                <w:rFonts w:ascii="Arial" w:cs="Arial" w:eastAsia="Arial" w:hAnsi="Arial"/>
                <w:sz w:val="18"/>
                <w:szCs w:val="18"/>
                <w:color w:val="auto"/>
              </w:rPr>
              <w:t>January 15, 2017</w:t>
            </w: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7.48% Debentures (7)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7.480%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August 15, 2026</w:t>
            </w:r>
          </w:p>
        </w:tc>
      </w:tr>
      <w:tr>
        <w:trPr>
          <w:trHeight w:val="223"/>
        </w:trPr>
        <w:tc>
          <w:tcPr>
            <w:tcW w:w="20" w:type="dxa"/>
            <w:vAlign w:val="bottom"/>
          </w:tcPr>
          <w:p>
            <w:pPr>
              <w:spacing w:after="0"/>
              <w:rPr>
                <w:sz w:val="19"/>
                <w:szCs w:val="19"/>
                <w:color w:val="auto"/>
              </w:rPr>
            </w:pPr>
          </w:p>
        </w:tc>
        <w:tc>
          <w:tcPr>
            <w:tcW w:w="5480" w:type="dxa"/>
            <w:vAlign w:val="bottom"/>
            <w:gridSpan w:val="2"/>
          </w:tcPr>
          <w:p>
            <w:pPr>
              <w:ind w:left="860"/>
              <w:spacing w:after="0"/>
              <w:rPr>
                <w:sz w:val="20"/>
                <w:szCs w:val="20"/>
                <w:color w:val="auto"/>
              </w:rPr>
            </w:pPr>
            <w:r>
              <w:rPr>
                <w:rFonts w:ascii="Arial" w:cs="Arial" w:eastAsia="Arial" w:hAnsi="Arial"/>
                <w:sz w:val="18"/>
                <w:szCs w:val="18"/>
                <w:color w:val="auto"/>
              </w:rPr>
              <w:t>6.82% Medium Term Notes (8)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1960" w:type="dxa"/>
            <w:vAlign w:val="bottom"/>
            <w:gridSpan w:val="3"/>
          </w:tcPr>
          <w:p>
            <w:pPr>
              <w:jc w:val="right"/>
              <w:ind w:right="340"/>
              <w:spacing w:after="0"/>
              <w:rPr>
                <w:sz w:val="20"/>
                <w:szCs w:val="20"/>
                <w:color w:val="auto"/>
              </w:rPr>
            </w:pPr>
            <w:r>
              <w:rPr>
                <w:rFonts w:ascii="Arial" w:cs="Arial" w:eastAsia="Arial" w:hAnsi="Arial"/>
                <w:sz w:val="18"/>
                <w:szCs w:val="18"/>
                <w:color w:val="auto"/>
              </w:rPr>
              <w:t>6.820%</w:t>
            </w:r>
          </w:p>
        </w:tc>
        <w:tc>
          <w:tcPr>
            <w:tcW w:w="1520" w:type="dxa"/>
            <w:vAlign w:val="bottom"/>
          </w:tcPr>
          <w:p>
            <w:pPr>
              <w:jc w:val="right"/>
              <w:spacing w:after="0"/>
              <w:rPr>
                <w:sz w:val="20"/>
                <w:szCs w:val="20"/>
                <w:color w:val="auto"/>
              </w:rPr>
            </w:pPr>
            <w:r>
              <w:rPr>
                <w:rFonts w:ascii="Arial" w:cs="Arial" w:eastAsia="Arial" w:hAnsi="Arial"/>
                <w:sz w:val="18"/>
                <w:szCs w:val="18"/>
                <w:color w:val="auto"/>
              </w:rPr>
              <w:t>August 1, 2027</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1,125,000</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Unamortized Net Premium</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Senior Notes and Debentures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1,127,528</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Capital Lease Obligations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Various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149,067</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Various</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Various through 2106</w:t>
            </w:r>
          </w:p>
        </w:tc>
      </w:tr>
      <w:tr>
        <w:trPr>
          <w:trHeight w:val="222"/>
        </w:trPr>
        <w:tc>
          <w:tcPr>
            <w:tcW w:w="5500" w:type="dxa"/>
            <w:vAlign w:val="bottom"/>
            <w:gridSpan w:val="3"/>
          </w:tcPr>
          <w:p>
            <w:pPr>
              <w:spacing w:after="0"/>
              <w:rPr>
                <w:sz w:val="20"/>
                <w:szCs w:val="20"/>
                <w:color w:val="auto"/>
              </w:rPr>
            </w:pPr>
            <w:r>
              <w:rPr>
                <w:rFonts w:ascii="Arial" w:cs="Arial" w:eastAsia="Arial" w:hAnsi="Arial"/>
                <w:sz w:val="18"/>
                <w:szCs w:val="18"/>
                <w:b w:val="1"/>
                <w:bCs w:val="1"/>
                <w:color w:val="auto"/>
              </w:rPr>
              <w:t>Total Debt and Capital Lease Obligations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1,828,764</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520" w:type="dxa"/>
            <w:vAlign w:val="bottom"/>
          </w:tcPr>
          <w:p>
            <w:pPr>
              <w:spacing w:after="0"/>
              <w:rPr>
                <w:sz w:val="8"/>
                <w:szCs w:val="8"/>
                <w:color w:val="auto"/>
              </w:rPr>
            </w:pPr>
          </w:p>
        </w:tc>
      </w:tr>
    </w:tbl>
    <w:p>
      <w:pPr>
        <w:spacing w:after="0" w:line="100"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Mortgage loans do not include our 30% share ($23.2 million) of the $77.4 million debt of the partnership with Clarion Lion Properties Fund.</w:t>
      </w:r>
    </w:p>
    <w:p>
      <w:pPr>
        <w:spacing w:after="0" w:line="38" w:lineRule="exact"/>
        <w:rPr>
          <w:rFonts w:ascii="Arial" w:cs="Arial" w:eastAsia="Arial" w:hAnsi="Arial"/>
          <w:sz w:val="16"/>
          <w:szCs w:val="16"/>
          <w:color w:val="auto"/>
        </w:rPr>
      </w:pPr>
    </w:p>
    <w:p>
      <w:pPr>
        <w:ind w:left="460" w:right="3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notes secured by this property. The loan balance represents an interest only note of $4.35 million at a rate of 6.18% and the remaining balance at a rate of 5.96%.</w:t>
      </w:r>
    </w:p>
    <w:p>
      <w:pPr>
        <w:ind w:left="460" w:right="16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The lender has the option to call the loan on April 15, 2013 or any time thereafter.</w:t>
      </w:r>
    </w:p>
    <w:p>
      <w:pPr>
        <w:jc w:val="both"/>
        <w:ind w:left="460" w:right="22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during the three months ended March 31, 2007 was $164 million. The weighted average effective interest rate on borrowings under our revolving credit facility, before amortization of debt fees, was 5.7% for the three months ended March 31, 2007. This credit facility is subject to a one-year extension at our option.</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purchased an interest rate lock to hedge a planned note offering. A hedge loss of $1.5 million associated with this hedge is being amortized into the note offering, thereby increasing the effective interest rate on these notes to 6.325%.</w:t>
      </w:r>
    </w:p>
    <w:p>
      <w:pPr>
        <w:sectPr>
          <w:pgSz w:w="11900" w:h="16838" w:orient="portrait"/>
          <w:cols w:equalWidth="0" w:num="1">
            <w:col w:w="11420"/>
          </w:cols>
          <w:pgMar w:left="240" w:top="280" w:right="239" w:bottom="859"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80" w:right="239" w:bottom="859" w:gutter="0" w:footer="0" w:header="0"/>
          <w:type w:val="continuous"/>
        </w:sectPr>
      </w:pPr>
    </w:p>
    <w:bookmarkStart w:id="25" w:name="page26"/>
    <w:bookmarkEnd w:id="25"/>
    <w:p>
      <w:pPr>
        <w:ind w:left="460" w:hanging="452"/>
        <w:spacing w:after="0"/>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Beginning on August 15, 2008, the debentures are redeemable by the holders thereof at the original purchase price of $1,000 per debenture.</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Beginning on August 1, 2007, the notes are redeemable by the holders thereof at the original purchase price of $1,000 per note.</w:t>
      </w:r>
    </w:p>
    <w:p>
      <w:pPr>
        <w:spacing w:after="0" w:line="16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credit facility and other debt agreements include financial and other covenants that may limit our operating activities in the future. As of March 31, 2007, we were in compliance with all of the financial and other covenants. If we were to breach any of our debt covenants and did not cure the breach within any applicable cure period, our lenders could require us to repay the debt immediately and, if the debt is secured, could immediately begin proceedings to take possession of the property securing the loan. Many of our debt arrangements, including our public notes and our credit facility, are cross-defaulted, which means that the lenders under those debt arrangements can put us in default and require immediate repayment of their debt if we breach and fail to cure a covenant under certain of our other debt obligations. As a result, any default under our debt covenants could have an adverse effect on our financial condition, our results of operations, our ability to meet our obligations and the market value of our shares.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5"/>
        </w:trPr>
        <w:tc>
          <w:tcPr>
            <w:tcW w:w="7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83"/>
              </w:rPr>
              <w:t>Secured</w:t>
            </w:r>
          </w:p>
        </w:tc>
        <w:tc>
          <w:tcPr>
            <w:tcW w:w="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w w:val="95"/>
              </w:rPr>
              <w:t>Lease</w:t>
            </w:r>
          </w:p>
        </w:tc>
        <w:tc>
          <w:tcPr>
            <w:tcW w:w="3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Unsecured</w:t>
            </w: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5"/>
                <w:szCs w:val="15"/>
                <w:color w:val="auto"/>
              </w:rPr>
            </w:pPr>
          </w:p>
        </w:tc>
      </w:tr>
      <w:tr>
        <w:trPr>
          <w:trHeight w:val="142"/>
        </w:trPr>
        <w:tc>
          <w:tcPr>
            <w:tcW w:w="7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1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thousands)</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Reminder of 2007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150,155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155,554</w:t>
            </w:r>
          </w:p>
        </w:tc>
        <w:tc>
          <w:tcPr>
            <w:tcW w:w="2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2008</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1,523</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19,132</w:t>
            </w:r>
          </w:p>
        </w:tc>
        <w:tc>
          <w:tcPr>
            <w:tcW w:w="2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1,722</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175,250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188,279</w:t>
            </w:r>
          </w:p>
        </w:tc>
        <w:tc>
          <w:tcPr>
            <w:tcW w:w="2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32"/>
              <w:spacing w:after="0"/>
              <w:rPr>
                <w:sz w:val="20"/>
                <w:szCs w:val="20"/>
                <w:color w:val="auto"/>
              </w:rPr>
            </w:pPr>
            <w:r>
              <w:rPr>
                <w:rFonts w:ascii="Arial" w:cs="Arial" w:eastAsia="Arial" w:hAnsi="Arial"/>
                <w:sz w:val="18"/>
                <w:szCs w:val="18"/>
                <w:color w:val="auto"/>
              </w:rPr>
              <w:t>1,860</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157,775(1)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167,062</w:t>
            </w:r>
          </w:p>
        </w:tc>
        <w:tc>
          <w:tcPr>
            <w:tcW w:w="22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2,009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75,304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122,048</w:t>
            </w:r>
          </w:p>
        </w:tc>
        <w:tc>
          <w:tcPr>
            <w:tcW w:w="22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2012 and thereafter (2)</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298,068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140,932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734,765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1,173,765</w:t>
            </w:r>
          </w:p>
        </w:tc>
        <w:tc>
          <w:tcPr>
            <w:tcW w:w="220" w:type="dxa"/>
            <w:vAlign w:val="bottom"/>
          </w:tcPr>
          <w:p>
            <w:pPr>
              <w:spacing w:after="0"/>
              <w:rPr>
                <w:sz w:val="18"/>
                <w:szCs w:val="18"/>
                <w:color w:val="auto"/>
              </w:rPr>
            </w:pPr>
          </w:p>
        </w:tc>
      </w:tr>
      <w:tr>
        <w:trPr>
          <w:trHeight w:val="27"/>
        </w:trPr>
        <w:tc>
          <w:tcPr>
            <w:tcW w:w="7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383,298</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w w:val="86"/>
              </w:rPr>
              <w:t>149,067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1,293,475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1,825,840(3)</w:t>
            </w:r>
          </w:p>
        </w:tc>
      </w:tr>
      <w:tr>
        <w:trPr>
          <w:trHeight w:val="20"/>
        </w:trPr>
        <w:tc>
          <w:tcPr>
            <w:tcW w:w="7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Our organizational documents do not limit the level or amount of debt that we may incur.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$157.5 million outstanding under our revolving credit facility.</w:t>
      </w:r>
    </w:p>
    <w:p>
      <w:pPr>
        <w:spacing w:after="0" w:line="15" w:lineRule="exact"/>
        <w:rPr>
          <w:rFonts w:ascii="Arial" w:cs="Arial" w:eastAsia="Arial" w:hAnsi="Arial"/>
          <w:sz w:val="18"/>
          <w:szCs w:val="18"/>
          <w:color w:val="auto"/>
        </w:rPr>
      </w:pPr>
    </w:p>
    <w:p>
      <w:pPr>
        <w:ind w:left="460" w:right="40" w:hanging="452"/>
        <w:spacing w:after="0" w:line="281"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Includes $12.3 million under the Mount Vernon mortgage loan that may be required to be paid on or after April 15, 2013 and $90 million of unsecured debt that may be called by the holders beginning August 1, 2007 as to $40 million thereof and beginning August 15, 2008 as to $50 million thereof.</w:t>
      </w:r>
    </w:p>
    <w:p>
      <w:pPr>
        <w:spacing w:after="0" w:line="1" w:lineRule="exact"/>
        <w:rPr>
          <w:rFonts w:ascii="Arial" w:cs="Arial" w:eastAsia="Arial" w:hAnsi="Arial"/>
          <w:sz w:val="16"/>
          <w:szCs w:val="16"/>
          <w:color w:val="auto"/>
        </w:rPr>
      </w:pPr>
    </w:p>
    <w:p>
      <w:pPr>
        <w:ind w:left="460" w:right="220" w:hanging="452"/>
        <w:spacing w:after="0" w:line="26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premium on certain mortgage loans, senior notes and debentures as of March 31, 2007.</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Hedging</w:t>
      </w:r>
    </w:p>
    <w:p>
      <w:pPr>
        <w:spacing w:after="0" w:line="90"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We enter into interest rate swaps and treasury rate locks that qualify as cash flow hedges under SFAS No. 133, “Accounting for Derivative Instruments and Hedging Activities.” We generally enter into interest rate swaps to manage our exposure to variable interest rate risk and treasury locks to manage the risk of interest rates rising prior to the issuance of debt. We do not purchase derivatives for speculation. Our cash flow hedges are recorded at fair value. The effective portion of changes in fair value of our cash flow hedges is recorded in other comprehensive income and reclassified to earnings when the hedged item affects earnings. The ineffective portion of changes in fair value of our cash flow hedges is recognized in earnings in the period affected. We assess effectiveness of our cash flow hedges both at inception and on an ongoing basis. Hedge ineffectiveness did not have a significant impact on earnings in the three months ended March 31, 2007 and 2006, and we do not anticipate it will have a significant effect in the future. We had no hedging instruments outstanding during the three months ended March 31, 2007.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Funds from operations (“FFO”) is a supplemental non-GAAP financial measure of real estate companies’ operating performance. The National Association of Real Estate Investment Trusts (“NAREIT”) defines FFO as follows: net income, computed in accordance with the U.S. GAAP, plus depreciation and amortization of real estate assets and excluding extraordinary items and gains and losses on the sale of real estate. We compute FFO in accordance with the NAREIT definition, and we have historically reported our FFO available for common shareholders in addition to our net income and net cash provided by operating activities. It should be noted that FFO:</w:t>
      </w:r>
    </w:p>
    <w:p>
      <w:pPr>
        <w:spacing w:after="0" w:line="62" w:lineRule="exact"/>
        <w:rPr>
          <w:sz w:val="20"/>
          <w:szCs w:val="20"/>
          <w:color w:val="auto"/>
        </w:rPr>
      </w:pPr>
    </w:p>
    <w:p>
      <w:pPr>
        <w:ind w:left="900" w:right="8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does not represent cash flows from operating activities in accordance with GAAP (which, unlike FFO, generally reflects all cash effects of transactions and other events in the determination of net income);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should not be considered an alternative to net income as an indication of our performance;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is not necessarily indicative of cash flow as a measure of liquidity or ability to fund cash needs, including the payment of dividends.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0" w:right="239" w:bottom="1440" w:gutter="0" w:footer="0" w:header="0"/>
        </w:sectPr>
      </w:pPr>
    </w:p>
    <w:bookmarkStart w:id="26" w:name="page27"/>
    <w:bookmarkEnd w:id="26"/>
    <w:p>
      <w:pPr>
        <w:jc w:val="both"/>
        <w:ind w:right="1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consider FFO available for common shareholders a meaningful, additional measure of operating performance primarily because it excludes the assumption that the value of the real estate assets diminishes predictably over time, as implied by the historical cost convention of GAAP and the recording of depreciation. We use FFO primarily as one of several means of assessing our operating performance in comparison with other REITs. Comparison of our presentation of FFO to similarly titled measures for other REITs may not necessarily be meaningful due to possible differences in the application of the NAREIT definition used by such REITs.</w:t>
      </w:r>
    </w:p>
    <w:p>
      <w:pPr>
        <w:spacing w:after="0" w:line="143"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 increase or decrease in FFO available for common shareholders does not necessarily result in an increase or decrease in aggregate distributions because our Board of Trustees is not required to increase distributions on a quarterly basis unless necessary for us to maintain REIT status. However, we must distribute 90% of our REIT taxable income (including net capital gain) to remain qualified as a REIT. Therefore, a significant increase in FFO will generally require an increase in distributions to shareholders although not necessarily on a proportionate basis.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net income to funds from operations available for common shareholders is as follows:</w:t>
      </w:r>
    </w:p>
    <w:p>
      <w:pPr>
        <w:spacing w:after="0" w:line="207"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For the Three Months Ended</w:t>
      </w:r>
    </w:p>
    <w:p>
      <w:pPr>
        <w:spacing w:after="0" w:line="1"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96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5"/>
              <w:spacing w:after="0" w:line="143" w:lineRule="exact"/>
              <w:rPr>
                <w:sz w:val="20"/>
                <w:szCs w:val="20"/>
                <w:color w:val="auto"/>
              </w:rPr>
            </w:pPr>
            <w:r>
              <w:rPr>
                <w:rFonts w:ascii="Arial" w:cs="Arial" w:eastAsia="Arial" w:hAnsi="Arial"/>
                <w:sz w:val="14"/>
                <w:szCs w:val="14"/>
                <w:b w:val="1"/>
                <w:bCs w:val="1"/>
                <w:color w:val="auto"/>
              </w:rPr>
              <w:t>2007</w:t>
            </w:r>
          </w:p>
        </w:tc>
        <w:tc>
          <w:tcPr>
            <w:tcW w:w="3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94"/>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(In thousands,</w:t>
            </w:r>
          </w:p>
        </w:tc>
        <w:tc>
          <w:tcPr>
            <w:tcW w:w="1720" w:type="dxa"/>
            <w:vAlign w:val="bottom"/>
            <w:gridSpan w:val="4"/>
          </w:tcPr>
          <w:p>
            <w:pPr>
              <w:jc w:val="right"/>
              <w:ind w:right="194"/>
              <w:spacing w:after="0" w:line="142" w:lineRule="exact"/>
              <w:rPr>
                <w:sz w:val="20"/>
                <w:szCs w:val="20"/>
                <w:color w:val="auto"/>
              </w:rPr>
            </w:pPr>
            <w:r>
              <w:rPr>
                <w:rFonts w:ascii="Arial" w:cs="Arial" w:eastAsia="Arial" w:hAnsi="Arial"/>
                <w:sz w:val="14"/>
                <w:szCs w:val="14"/>
                <w:b w:val="1"/>
                <w:bCs w:val="1"/>
                <w:color w:val="auto"/>
                <w:w w:val="95"/>
              </w:rPr>
              <w:t>except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23,136</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180" w:type="dxa"/>
            <w:vAlign w:val="bottom"/>
          </w:tcPr>
          <w:p>
            <w:pPr>
              <w:spacing w:after="0"/>
              <w:rPr>
                <w:sz w:val="18"/>
                <w:szCs w:val="18"/>
                <w:color w:val="auto"/>
              </w:rPr>
            </w:pPr>
          </w:p>
        </w:tc>
        <w:tc>
          <w:tcPr>
            <w:tcW w:w="1160" w:type="dxa"/>
            <w:vAlign w:val="bottom"/>
            <w:gridSpan w:val="2"/>
          </w:tcPr>
          <w:p>
            <w:pPr>
              <w:jc w:val="right"/>
              <w:ind w:right="41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(8,737)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23,942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of real estate partnership assets</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80" w:type="dxa"/>
            <w:vAlign w:val="bottom"/>
            <w:gridSpan w:val="2"/>
          </w:tcPr>
          <w:p>
            <w:pPr>
              <w:ind w:left="440"/>
              <w:spacing w:after="0"/>
              <w:rPr>
                <w:sz w:val="20"/>
                <w:szCs w:val="20"/>
                <w:color w:val="auto"/>
              </w:rPr>
            </w:pPr>
            <w:r>
              <w:rPr>
                <w:rFonts w:ascii="Arial" w:cs="Arial" w:eastAsia="Arial" w:hAnsi="Arial"/>
                <w:sz w:val="18"/>
                <w:szCs w:val="18"/>
                <w:color w:val="auto"/>
              </w:rPr>
              <w:t>Funds from operations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49,416</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on preferred stock</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(36)</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(2,869)</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color w:val="auto"/>
              </w:rPr>
              <w:t>Income attributable to operating partnership units</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Funds from operations available for common shareholders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49,625</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common shares, diluted (1)</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80" w:type="dxa"/>
            <w:vAlign w:val="bottom"/>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 available for common shareholders, per diluted share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3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7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both"/>
        <w:ind w:left="460" w:right="280" w:hanging="452"/>
        <w:spacing w:after="0" w:line="259"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weighted average common shares used to compute FFO per diluted common share includes operating partnership units that were excluded from the computation of diluted EPS. Conversion of these operating partnership units is dilutive in the computation of FFO per diluted common share but is anti-dilutive in the computation of diluted EPS for the periods presented.</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use of financial instruments, such as debt instruments, subjects us to market risk which may affect our future earnings and cash flows, as well as the fair value of our assets. Market risk generally refers to the risk of loss from changes in interest rates and market prices. We manage our market risk by attempting to match anticipated inflow of cash from our operating, investing and financing activities with anticipated outflow of cash to fund debt payments, dividends to common and preferred shareholders, investments, capital expenditures and other cash requirements.</w:t>
      </w:r>
    </w:p>
    <w:p>
      <w:pPr>
        <w:spacing w:after="0" w:line="113"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also enter into certain types of derivative financial instruments to further reduce interest rate risk. We use interest rate protection and swap agreements, for example, to convert some of our variable rate debt to a fixed-rate basis or to hedge anticipated financing transactions. We use derivatives for hedging purposes rather than speculation and do not enter into financial instruments for trading purposes. We had no hedging instruments outstanding during the three months ended March 31, 2007.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following discusses the effect of hypothetical changes in market rates of interest on interest expense for our variable rate debt and on the fair value of our total outstanding debt, including our fixed-rate debt. Interest risk amounts were determined by considering the impact of hypothetical interest rates on our debt. This analysis does not purport to take into account all of the factors that may affect our debt, such as the effect that a changing interest rate environment could have on the overall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80" w:right="239" w:bottom="1440" w:gutter="0" w:footer="0" w:header="0"/>
        </w:sectPr>
      </w:pPr>
    </w:p>
    <w:bookmarkStart w:id="27" w:name="page28"/>
    <w:bookmarkEnd w:id="27"/>
    <w:p>
      <w:pPr>
        <w:ind w:right="1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level of economic activity or the action that our management might take to reduce our exposure to the change. This analysis assumes no change in our financial structure.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Interest Rate Debt</w:t>
      </w:r>
    </w:p>
    <w:p>
      <w:pPr>
        <w:spacing w:after="0" w:line="90"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The majority of our outstanding debt obligations (maturing at various times through 2031 or through 2106 including capital lease obligations) have fixed interest rates which limit the risk of fluctuating interest rates. However, interest rate fluctuations may affect the fair value of our fixed rate debt instruments. At March 31, 2007 we had $1.5 billion of fixed-rate debt outstanding. If interest rates on our fixed-rate debt instruments at March 31, 2007 had been 1.0% higher, the fair value of those debt instruments on that date would have decreased by approximately $75.7 million. If interest rates on our fixed-rate debt instruments at March 31, 2007 had been 1.0% lower, the fair value of those debt instruments on that date would have increased by approximately $84.9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Rate Debt</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that our primary interest rate risk is due to fluctuations in interest rates on our variable rate debt. At March 31, 2007, we had $166.9 million of variable rate debt outstanding. Based upon this amount of variable rate debt, if interest rates increased 1.0%, our annual interest expense would increase by approximately $1.7 million, and our net income and cash flows for the year would decrease by approximately $1.7 million. Conversely, if interest rates decreased 1.0%, our annual interest expense would decrease by approximately $1.7 million, and our net income and cash flows for the year would increase by approximately $1.7 million.</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Evaluation and Conclusion of Disclosure Controls and Procedures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An evaluation has been performed, under the supervision and with the participation of our management, including our Chief Executive Officer and Chief Financial Officer, of the effectiveness of the design and operation of our disclosure controls and procedures as of March 31, 2007. Based on this evaluation, our management, including our Chief Executive Officer and Chief Financial Officer, concluded that our disclosure controls and procedures were effective as of March 31, 2007 to provide reasonable assurance that information required to be disclosed in our reports filed or submitted under the Securities Exchange Act of 1934 is recorded, processed, summarized and reported within the time periods specified in the rules and forms of the Securities and Exchange Commission.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the quarterly period covered by this report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May 2003, First National Mortgage Company filed a complaint against us in the United States District Court for the Northern District of California. The complaint alleged that a one page document entitled “Final Proposal,” which included language that it was subject to approval of formal documentation, constituted a ground lease of a parcel of property located adjacent to our Santana Row property and gave First National Mortgage Company the option to require that we acquire the property at a price determined in accordance with a formula included in the “Final Proposal.” The plaintiff is seeking an unspecified amount of monetary damages. A trial as to liability only was held on June 27, 2006 and a jury rendered a verdict against us. A trial date on the issue of damages has been set foe March 2008. The complaint did not specify the amount of damages claimed and we cannot make a reasonable estimate of potential damages until experts are retained and additional discovery is completed on the damages issue. The additional discovery is not expected to commence until June 2007. No appeal of the judgment can be taken until the trial on damages has been completed.</w:t>
      </w:r>
    </w:p>
    <w:p>
      <w:pPr>
        <w:spacing w:after="0" w:line="11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are also involved in a litigation matter relating to a shopping center in New Jersey where a former tenant has alleged that we, through our management agent, engaged in fraud by failing to disclose a condemnation action at the property that was pending when the lease was signed. A trial as to liability only has been concluded but no decision is expected to be rendered for 60-120 days. If we are found liable, a trial will be held to determine the amount of damages. Based on the evidence and information available to us, we believe there is a reasonable possibility that we will be successful against the litigation, however, if a verdict is rendered against us, we will seek indemnification from the third party management company that negotiated the lease on our behalf. We cannot assess with any certainty at this time the potential damages for which we would be liable if a verdict is rendered against us or the potential amounts we would recover against the third party management company; however, if a verdict is rendered against us, there may be a material adverse impact on our net income in the period during which our indemnification claim is pending.</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have been no material changes to the risk factors previously disclosed in our Annual Report for the year ended December 31, 2006 filed with the Securities and Exchange Commission on March 1, 2007. These factors include, but are not limited to, the following:</w:t>
      </w:r>
    </w:p>
    <w:p>
      <w:pPr>
        <w:spacing w:after="0" w:line="51"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12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29" w:name="page30"/>
    <w:bookmarkEnd w:id="29"/>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jc w:val="both"/>
        <w:ind w:right="340"/>
        <w:spacing w:after="0" w:line="306" w:lineRule="auto"/>
        <w:rPr>
          <w:sz w:val="20"/>
          <w:szCs w:val="20"/>
          <w:color w:val="auto"/>
        </w:rPr>
      </w:pPr>
      <w:r>
        <w:rPr>
          <w:rFonts w:ascii="Arial" w:cs="Arial" w:eastAsia="Arial" w:hAnsi="Arial"/>
          <w:sz w:val="16"/>
          <w:szCs w:val="16"/>
          <w:color w:val="auto"/>
        </w:rPr>
        <w:t>Under the terms of various operating partnership agreements of certain of our affiliated limited partnerships, the interests of limited partners in those limited partnerships may be redeemed, subject to certain conditions, for cash or an equivalent number of our common shares, at our option. On January 10, 2007, we redeemed 1,000 operating partnership units for cash. On April 16, 2007, we redeemed an additional 4,000 operating partnership units for cash.</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On March 8, 2007, we acquired the White Marsh Portfolio for which part of the consideration consisted of the issuance of (i) 884,066 common shares,</w:t>
      </w:r>
    </w:p>
    <w:p>
      <w:pPr>
        <w:spacing w:after="0" w:line="38" w:lineRule="exact"/>
        <w:rPr>
          <w:sz w:val="20"/>
          <w:szCs w:val="20"/>
          <w:color w:val="auto"/>
        </w:rPr>
      </w:pPr>
    </w:p>
    <w:p>
      <w:pPr>
        <w:ind w:firstLine="8"/>
        <w:spacing w:after="0" w:line="361" w:lineRule="auto"/>
        <w:tabs>
          <w:tab w:leader="none" w:pos="258" w:val="left"/>
        </w:tabs>
        <w:numPr>
          <w:ilvl w:val="0"/>
          <w:numId w:val="31"/>
        </w:numPr>
        <w:rPr>
          <w:rFonts w:ascii="Arial" w:cs="Arial" w:eastAsia="Arial" w:hAnsi="Arial"/>
          <w:sz w:val="15"/>
          <w:szCs w:val="15"/>
          <w:color w:val="auto"/>
        </w:rPr>
      </w:pPr>
      <w:r>
        <w:rPr>
          <w:rFonts w:ascii="Arial" w:cs="Arial" w:eastAsia="Arial" w:hAnsi="Arial"/>
          <w:sz w:val="15"/>
          <w:szCs w:val="15"/>
          <w:color w:val="auto"/>
        </w:rPr>
        <w:t>399,896 shares of 5.417% Series 1 Cumulative Convertible Preferred Shares (iii) 185,504 downREIT operating partnership units. On April 19, 2007, we registered the common shares and the shares which will be tendered on conversion by the preferred shareholders or downREIT operating partnership unit holders.</w:t>
      </w:r>
    </w:p>
    <w:p>
      <w:pPr>
        <w:spacing w:after="0" w:line="18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intend to hold our Annual Meeting of Shareholders on May 2, 2007.</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 list of exhibits to this Quarterly Report on Form 10-Q is set forth on the Exhibit Index immediately preceding such exhibits and is incorporated herein by reference.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74" w:right="2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FEDERAL REALTY INVESTMENT TRUST</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w:t>
            </w:r>
            <w:r>
              <w:rPr>
                <w:rFonts w:ascii="Arial" w:cs="Arial" w:eastAsia="Arial" w:hAnsi="Arial"/>
                <w:sz w:val="14"/>
                <w:szCs w:val="14"/>
                <w:color w:val="auto"/>
                <w:w w:val="97"/>
              </w:rPr>
              <w:t>ONALD</w:t>
            </w:r>
            <w:r>
              <w:rPr>
                <w:rFonts w:ascii="Arial" w:cs="Arial" w:eastAsia="Arial" w:hAnsi="Arial"/>
                <w:sz w:val="18"/>
                <w:szCs w:val="18"/>
                <w:color w:val="auto"/>
                <w:w w:val="97"/>
              </w:rPr>
              <w:t xml:space="preserve"> C. W</w:t>
            </w:r>
            <w:r>
              <w:rPr>
                <w:rFonts w:ascii="Arial" w:cs="Arial" w:eastAsia="Arial" w:hAnsi="Arial"/>
                <w:sz w:val="14"/>
                <w:szCs w:val="14"/>
                <w:color w:val="auto"/>
                <w:w w:val="97"/>
              </w:rPr>
              <w:t>OOD</w:t>
            </w:r>
          </w:p>
        </w:tc>
      </w:tr>
      <w:tr>
        <w:trPr>
          <w:trHeight w:val="211"/>
        </w:trPr>
        <w:tc>
          <w:tcPr>
            <w:tcW w:w="5820" w:type="dxa"/>
            <w:vAlign w:val="bottom"/>
          </w:tcPr>
          <w:p>
            <w:pPr>
              <w:spacing w:after="0"/>
              <w:rPr>
                <w:sz w:val="20"/>
                <w:szCs w:val="20"/>
                <w:color w:val="auto"/>
              </w:rPr>
            </w:pPr>
            <w:r>
              <w:rPr>
                <w:rFonts w:ascii="Arial" w:cs="Arial" w:eastAsia="Arial" w:hAnsi="Arial"/>
                <w:sz w:val="18"/>
                <w:szCs w:val="18"/>
                <w:color w:val="auto"/>
              </w:rPr>
              <w:t>May 2, 2007</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8"/>
              </w:rPr>
              <w:t>Donald C. Wood,</w:t>
            </w:r>
          </w:p>
        </w:tc>
      </w:tr>
      <w:tr>
        <w:trPr>
          <w:trHeight w:val="228"/>
        </w:trPr>
        <w:tc>
          <w:tcPr>
            <w:tcW w:w="582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8"/>
              </w:rPr>
              <w:t>President, Chief Executive Officer and Trustee</w:t>
            </w:r>
          </w:p>
        </w:tc>
      </w:tr>
      <w:tr>
        <w:trPr>
          <w:trHeight w:val="230"/>
        </w:trPr>
        <w:tc>
          <w:tcPr>
            <w:tcW w:w="582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9"/>
              </w:rPr>
              <w:t>(Principal Executive Officer)</w:t>
            </w:r>
          </w:p>
        </w:tc>
      </w:tr>
      <w:tr>
        <w:trPr>
          <w:trHeight w:val="432"/>
        </w:trPr>
        <w:tc>
          <w:tcPr>
            <w:tcW w:w="5820" w:type="dxa"/>
            <w:vAlign w:val="bottom"/>
          </w:tcPr>
          <w:p>
            <w:pPr>
              <w:spacing w:after="0"/>
              <w:rPr>
                <w:sz w:val="24"/>
                <w:szCs w:val="2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w:t>
            </w:r>
            <w:r>
              <w:rPr>
                <w:rFonts w:ascii="Arial" w:cs="Arial" w:eastAsia="Arial" w:hAnsi="Arial"/>
                <w:sz w:val="14"/>
                <w:szCs w:val="14"/>
                <w:color w:val="auto"/>
                <w:w w:val="96"/>
              </w:rPr>
              <w:t>ARRY</w:t>
            </w:r>
            <w:r>
              <w:rPr>
                <w:rFonts w:ascii="Arial" w:cs="Arial" w:eastAsia="Arial" w:hAnsi="Arial"/>
                <w:sz w:val="18"/>
                <w:szCs w:val="18"/>
                <w:color w:val="auto"/>
                <w:w w:val="96"/>
              </w:rPr>
              <w:t xml:space="preserve"> E. F</w:t>
            </w:r>
            <w:r>
              <w:rPr>
                <w:rFonts w:ascii="Arial" w:cs="Arial" w:eastAsia="Arial" w:hAnsi="Arial"/>
                <w:sz w:val="14"/>
                <w:szCs w:val="14"/>
                <w:color w:val="auto"/>
                <w:w w:val="96"/>
              </w:rPr>
              <w:t>INGER</w:t>
            </w:r>
          </w:p>
        </w:tc>
      </w:tr>
      <w:tr>
        <w:trPr>
          <w:trHeight w:val="211"/>
        </w:trPr>
        <w:tc>
          <w:tcPr>
            <w:tcW w:w="5820" w:type="dxa"/>
            <w:vAlign w:val="bottom"/>
          </w:tcPr>
          <w:p>
            <w:pPr>
              <w:spacing w:after="0"/>
              <w:rPr>
                <w:sz w:val="20"/>
                <w:szCs w:val="20"/>
                <w:color w:val="auto"/>
              </w:rPr>
            </w:pPr>
            <w:r>
              <w:rPr>
                <w:rFonts w:ascii="Arial" w:cs="Arial" w:eastAsia="Arial" w:hAnsi="Arial"/>
                <w:sz w:val="18"/>
                <w:szCs w:val="18"/>
                <w:color w:val="auto"/>
              </w:rPr>
              <w:t>May 2, 2007</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Larry E. Finger,</w:t>
            </w:r>
          </w:p>
        </w:tc>
      </w:tr>
      <w:tr>
        <w:trPr>
          <w:trHeight w:val="228"/>
        </w:trPr>
        <w:tc>
          <w:tcPr>
            <w:tcW w:w="582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 Vice President and</w:t>
            </w:r>
          </w:p>
        </w:tc>
      </w:tr>
    </w:tbl>
    <w:p>
      <w:pPr>
        <w:spacing w:after="0" w:line="1" w:lineRule="exact"/>
        <w:rPr>
          <w:sz w:val="20"/>
          <w:szCs w:val="20"/>
          <w:color w:val="auto"/>
        </w:rPr>
      </w:pPr>
    </w:p>
    <w:p>
      <w:pPr>
        <w:ind w:left="6580"/>
        <w:spacing w:after="0"/>
        <w:rPr>
          <w:sz w:val="20"/>
          <w:szCs w:val="20"/>
          <w:color w:val="auto"/>
        </w:rPr>
      </w:pPr>
      <w:r>
        <w:rPr>
          <w:rFonts w:ascii="Arial" w:cs="Arial" w:eastAsia="Arial" w:hAnsi="Arial"/>
          <w:sz w:val="18"/>
          <w:szCs w:val="18"/>
          <w:b w:val="1"/>
          <w:bCs w:val="1"/>
          <w:color w:val="auto"/>
        </w:rPr>
        <w:t>Chief Financial Officer (Principal Accounting Officer)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jc w:val="center"/>
              <w:ind w:right="993"/>
              <w:spacing w:after="0"/>
              <w:rPr>
                <w:sz w:val="20"/>
                <w:szCs w:val="20"/>
                <w:color w:val="auto"/>
              </w:rPr>
            </w:pPr>
            <w:r>
              <w:rPr>
                <w:rFonts w:ascii="Arial" w:cs="Arial" w:eastAsia="Arial" w:hAnsi="Arial"/>
                <w:sz w:val="18"/>
                <w:szCs w:val="18"/>
                <w:b w:val="1"/>
                <w:bCs w:val="1"/>
                <w:color w:val="auto"/>
              </w:rPr>
              <w:t>EXHIBIT INDEX</w:t>
            </w:r>
          </w:p>
        </w:tc>
      </w:tr>
      <w:tr>
        <w:trPr>
          <w:trHeight w:val="367"/>
        </w:trPr>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20" w:type="dxa"/>
            <w:vAlign w:val="bottom"/>
          </w:tcPr>
          <w:p>
            <w:pPr>
              <w:spacing w:after="0"/>
              <w:rPr>
                <w:sz w:val="17"/>
                <w:szCs w:val="17"/>
                <w:color w:val="auto"/>
              </w:rPr>
            </w:pPr>
          </w:p>
        </w:tc>
        <w:tc>
          <w:tcPr>
            <w:tcW w:w="640" w:type="dxa"/>
            <w:vAlign w:val="bottom"/>
            <w:tcBorders>
              <w:top w:val="single" w:sz="8" w:color="auto"/>
            </w:tcBorders>
          </w:tcPr>
          <w:p>
            <w:pPr>
              <w:jc w:val="right"/>
              <w:ind w:right="252"/>
              <w:spacing w:after="0" w:line="201" w:lineRule="exact"/>
              <w:rPr>
                <w:sz w:val="20"/>
                <w:szCs w:val="20"/>
                <w:color w:val="auto"/>
              </w:rPr>
            </w:pPr>
            <w:r>
              <w:rPr>
                <w:rFonts w:ascii="Arial" w:cs="Arial" w:eastAsia="Arial" w:hAnsi="Arial"/>
                <w:sz w:val="18"/>
                <w:szCs w:val="18"/>
                <w:color w:val="auto"/>
              </w:rPr>
              <w:t>3.1</w:t>
            </w:r>
          </w:p>
        </w:tc>
        <w:tc>
          <w:tcPr>
            <w:tcW w:w="440" w:type="dxa"/>
            <w:vAlign w:val="bottom"/>
          </w:tcPr>
          <w:p>
            <w:pPr>
              <w:spacing w:after="0"/>
              <w:rPr>
                <w:sz w:val="17"/>
                <w:szCs w:val="17"/>
                <w:color w:val="auto"/>
              </w:rPr>
            </w:pPr>
          </w:p>
        </w:tc>
        <w:tc>
          <w:tcPr>
            <w:tcW w:w="10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Declaration of Trust of Federal Realty Investment Trust dated May 5, 1999 as amended by the Articles of Amendment of Declaration of Trust of</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Federal Realty Investment Trust dated May 6, 2004, as corrected by the Certificate of Correction of Articles of Amendment of Declaration of</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Trust of Federal Realty Investment Trust dated June 17, 2004 (previously filed as Exhibit 3.1 to the Trust’s Quarterly Report on Form 10-Q for the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quarter ended June 30, 2005 (File No. 1-07533) (the “2005 2Q Form 10-Q”)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3.2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Amended and Restated Bylaws of Federal Realty Investment Trust dated February 12, 2003, as amended October 29, 2003, May 5, 2004 and</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February 17, 2006 (previously filed as Exhibit 3.2 to the Trust’s Annual Report on Form 10-K for the year ended December 31, 2005 (File No. 1-</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07533) (the “2005 Form 10-K”)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Specimen Common Share certificate (previously filed as Exhibit 4(i) to the Trust’s Annual Report on Form 10-K for the year ended December 31,</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1999 (File No. 1-07533) (the “1999 Form 10-K”)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4"/>
              </w:rPr>
              <w:t>Articles Supplementary relating to the 5.417% Series 1 Cumulative Convertible Preferred Shares of Beneficial Interest (previously filed as</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4"/>
              </w:rPr>
              <w:t>Exhibit 4.1 to the Trust’s Current Report on Form 8 filed on March 13, 2007, (File No. 333-142231)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4.3</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Amended and Restated Rights Agreement, dated March 11, 1999, between the Trust and American Stock Transfer &amp; Trust Company (previously</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filed as Exhibit 1 to the Trust’s Registration Statement on Form 8-A/A filed on March 11, 1999 (File No. 1-07533) and incorporated herein by</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4.4</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First Amendment to Amended and Restated Rights Agreement, dated as of November , 2003, between the Trust and American Stock Transfer &amp;</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2"/>
              </w:rPr>
              <w:t>Trust Company (previously filed as Exhibit 4.5 to the Trust’s Annual Report on Form 10-K for the year ended December 31, 2003 (File No. 1-</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07533)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4.5</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8"/>
              </w:rPr>
              <w:t>Indenture dated December 13, 1993 related to the Trust’s 7.48% Debentures due August 15, 2026; and 6.82% Medium Term Notes due August 1,</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1"/>
              </w:rPr>
              <w:t>2027; (previously filed as Exhibit 4(a) to the Trust’s Registration Statement on Form S-3 (File No. 33-51029), and amended on Form S-3 (File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No. 33-63687), filed on December 13, 1993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4.6</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7"/>
              </w:rPr>
              <w:t xml:space="preserve">Indenture dated September 1, 1998 related to the Trust’s 8.75% Notes due December 1, 2009; 6 </w:t>
            </w:r>
            <w:r>
              <w:rPr>
                <w:rFonts w:ascii="Arial" w:cs="Arial" w:eastAsia="Arial" w:hAnsi="Arial"/>
                <w:sz w:val="22"/>
                <w:szCs w:val="22"/>
                <w:color w:val="auto"/>
                <w:w w:val="87"/>
                <w:vertAlign w:val="superscript"/>
              </w:rPr>
              <w:t>1</w:t>
            </w:r>
            <w:r>
              <w:rPr>
                <w:rFonts w:ascii="Arial" w:cs="Arial" w:eastAsia="Arial" w:hAnsi="Arial"/>
                <w:sz w:val="18"/>
                <w:szCs w:val="18"/>
                <w:color w:val="auto"/>
                <w:w w:val="87"/>
              </w:rPr>
              <w:t>/8% Notes due November 15, 2007; 4.50% Notes</w:t>
            </w: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due 2011; 5.65% Notes due 2016; 6.00% Notes due 2012; 6.20% Notes due 2017; and 5.40% Notes due 2013 (previously filed as Exhibit 4(a) to</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4"/>
              </w:rPr>
              <w:t>the Trust’s Registration Statement on Form S-3 (File No. 333-63619) filed on September 17, 1998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7"/>
              </w:rPr>
              <w:t>Pursuant to Regulation S-K Item 601(b)(4)(iii), the Trust by this filing agrees, upon request, to furnish to the Securities and Exchange</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Commission a copy of other instruments defining the rights of holders of long-term debt of the Trust</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w w:val="85"/>
              </w:rPr>
              <w:t>10.1</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Amended and Restated 1983 Stock Option Plan and 1985 Non-Qualified Stock Option Plan of Federal Realty Investment Trust (previously filed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89"/>
              </w:rPr>
              <w:t>as exhibits to the Trust’s Registration Statement in Form S-8 (File No. 33-55111), filed on August 17, 1994 and incorporated herein by reference)</w:t>
            </w:r>
          </w:p>
        </w:tc>
      </w:tr>
      <w:tr>
        <w:trPr>
          <w:trHeight w:val="318"/>
        </w:trPr>
        <w:tc>
          <w:tcPr>
            <w:tcW w:w="660" w:type="dxa"/>
            <w:vAlign w:val="bottom"/>
            <w:gridSpan w:val="2"/>
          </w:tcPr>
          <w:p>
            <w:pPr>
              <w:jc w:val="right"/>
              <w:ind w:right="252"/>
              <w:spacing w:after="0"/>
              <w:rPr>
                <w:sz w:val="20"/>
                <w:szCs w:val="20"/>
                <w:color w:val="auto"/>
              </w:rPr>
            </w:pPr>
            <w:r>
              <w:rPr>
                <w:rFonts w:ascii="Arial" w:cs="Arial" w:eastAsia="Arial" w:hAnsi="Arial"/>
                <w:sz w:val="18"/>
                <w:szCs w:val="18"/>
                <w:color w:val="auto"/>
                <w:w w:val="85"/>
              </w:rPr>
              <w:t>10.2</w:t>
            </w:r>
          </w:p>
        </w:tc>
        <w:tc>
          <w:tcPr>
            <w:tcW w:w="440" w:type="dxa"/>
            <w:vAlign w:val="bottom"/>
          </w:tcPr>
          <w:p>
            <w:pPr>
              <w:spacing w:after="0"/>
              <w:rPr>
                <w:sz w:val="24"/>
                <w:szCs w:val="24"/>
                <w:color w:val="auto"/>
              </w:rPr>
            </w:pPr>
          </w:p>
        </w:tc>
        <w:tc>
          <w:tcPr>
            <w:tcW w:w="10320" w:type="dxa"/>
            <w:vAlign w:val="bottom"/>
          </w:tcPr>
          <w:p>
            <w:pPr>
              <w:spacing w:after="0"/>
              <w:rPr>
                <w:sz w:val="20"/>
                <w:szCs w:val="20"/>
                <w:color w:val="auto"/>
              </w:rPr>
            </w:pPr>
            <w:r>
              <w:rPr>
                <w:rFonts w:ascii="Arial" w:cs="Arial" w:eastAsia="Arial" w:hAnsi="Arial"/>
                <w:sz w:val="18"/>
                <w:szCs w:val="18"/>
                <w:color w:val="auto"/>
                <w:w w:val="90"/>
              </w:rPr>
              <w:t>1985 Non-Qualified Stock Option Plan (previously filed as a portion of Exhibit 10 to the Trust’s Annual Report on Form 10-K for the year ended</w:t>
            </w:r>
          </w:p>
        </w:tc>
      </w:tr>
      <w:tr>
        <w:trPr>
          <w:trHeight w:val="222"/>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320" w:type="dxa"/>
            <w:vAlign w:val="bottom"/>
          </w:tcPr>
          <w:p>
            <w:pPr>
              <w:spacing w:after="0"/>
              <w:rPr>
                <w:sz w:val="20"/>
                <w:szCs w:val="20"/>
                <w:color w:val="auto"/>
              </w:rPr>
            </w:pPr>
            <w:r>
              <w:rPr>
                <w:rFonts w:ascii="Arial" w:cs="Arial" w:eastAsia="Arial" w:hAnsi="Arial"/>
                <w:sz w:val="18"/>
                <w:szCs w:val="18"/>
                <w:color w:val="auto"/>
              </w:rPr>
              <w:t>December 31, 1985 (File No. 1-07533) and incorporated herein by reference)</w:t>
            </w:r>
          </w:p>
        </w:tc>
      </w:tr>
      <w:tr>
        <w:trPr>
          <w:trHeight w:val="36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760" w:type="dxa"/>
            <w:vAlign w:val="bottom"/>
            <w:gridSpan w:val="2"/>
          </w:tcPr>
          <w:p>
            <w:pPr>
              <w:jc w:val="right"/>
              <w:ind w:right="5533"/>
              <w:spacing w:after="0"/>
              <w:rPr>
                <w:sz w:val="20"/>
                <w:szCs w:val="20"/>
                <w:color w:val="auto"/>
              </w:rPr>
            </w:pPr>
            <w:r>
              <w:rPr>
                <w:rFonts w:ascii="Arial" w:cs="Arial" w:eastAsia="Arial" w:hAnsi="Arial"/>
                <w:sz w:val="18"/>
                <w:szCs w:val="18"/>
                <w:color w:val="auto"/>
              </w:rPr>
              <w:t>32</w:t>
            </w:r>
          </w:p>
        </w:tc>
      </w:tr>
    </w:tbl>
    <w:p>
      <w:pPr>
        <w:jc w:val="right"/>
        <w:ind w:right="5533"/>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2" w:name="page33"/>
    <w:bookmarkEnd w:id="32"/>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340" w:type="dxa"/>
            <w:vAlign w:val="bottom"/>
          </w:tcPr>
          <w:p>
            <w:pPr>
              <w:spacing w:after="0"/>
              <w:rPr>
                <w:sz w:val="15"/>
                <w:szCs w:val="15"/>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10.3</w:t>
            </w:r>
          </w:p>
        </w:tc>
        <w:tc>
          <w:tcPr>
            <w:tcW w:w="340" w:type="dxa"/>
            <w:vAlign w:val="bottom"/>
          </w:tcPr>
          <w:p>
            <w:pPr>
              <w:spacing w:after="0"/>
              <w:rPr>
                <w:sz w:val="17"/>
                <w:szCs w:val="17"/>
                <w:color w:val="auto"/>
              </w:rPr>
            </w:pPr>
          </w:p>
        </w:tc>
        <w:tc>
          <w:tcPr>
            <w:tcW w:w="10420" w:type="dxa"/>
            <w:vAlign w:val="bottom"/>
          </w:tcPr>
          <w:p>
            <w:pPr>
              <w:spacing w:after="0" w:line="201" w:lineRule="exact"/>
              <w:rPr>
                <w:sz w:val="20"/>
                <w:szCs w:val="20"/>
                <w:color w:val="auto"/>
              </w:rPr>
            </w:pPr>
            <w:r>
              <w:rPr>
                <w:rFonts w:ascii="Arial" w:cs="Arial" w:eastAsia="Arial" w:hAnsi="Arial"/>
                <w:sz w:val="18"/>
                <w:szCs w:val="18"/>
                <w:color w:val="auto"/>
                <w:w w:val="89"/>
              </w:rPr>
              <w:t>1991 Share Purchase Plan (previously filed as a portion of Exhibit 10 to the Trust’s Annual Report on Form 10-K for the year ended December 31,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1990 (File No. 1-07533)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Amended and Restated 1993 Long-Term Incentive Plan, as amended on October 6, 1997 and further amended on May 6, 1998 (previously filed as</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Exhibit 10.26 to the Trust’s Annual Report on Form 10-K for the year ended December 31, 1998 (File No. 1-07533) and incorporated herein by</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Fiscal Agency Agreement dated as of October 28, 1993 between the Trust and Citibank, N.A. (previously filed as an exhibit to the Trust’s Quarterly</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Report on Form 10-Q for the quarter ended September 30, 1993 (File No. 1-07533)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Form of Severance Agreement between the Trust and Certain of its Officers dated December 31, 1994 (previously filed as a portion of Exhibit 10 to</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5"/>
              </w:rPr>
              <w:t>the Trust’s Annual Report on Form 10-K for the year ended December 31, 1994 (File No. 1-07533)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Performance Share Award Agreement dated as of February 9, 2000 between the Trust and Donald C. Wood (previously filed as a portion of</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10 to the 1999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Restricted Share Award Agreement dated as of February 9, 2000 between the Trust and Donald C. Wood (previously filed as a portion of Exhibit 10</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to the 1999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Severance Agreement between the Trust and Donald C. Wood dated February 22, 1999 (previously filed as a portion of Exhibit 10 to the Trust’s</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Quarterly Report on Form 10-Q for the quarter ended March 31, 1999 (File No. 1-07533) (the “1999 1Q Form 10-Q”) and incorporated herein by</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2"/>
              </w:rPr>
              <w:t>Executive Agreement between Federal Realty Investment Trust and Donald C. Wood dated February 22, 1999 (previously filed as a portion of</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10 to the 1999 1Q Form 10-Q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Amendment to Executive Agreement between Federal Realty Investment Trust and Donald C. Wood dated February 16, 2005 (previously filed as</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Exhibit 10.12 to the Trust’s Annual Report on Form 10-K for the year ended December 31, 2004 (File No. 1-07533) (the “2004 Form 10-K”) and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10.12</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Amendment to Restricted Share Award Agreement dated December 8, 2000 between the Trust and Donald C. Wood (previously filed as a portion of</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Exhibit 10 to the Trust’s Annual Report on Form 10-K for the year ended December 31, 2000 (File No. 1-07533) (the “2000 Form 10-K”) and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10.13</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Split Dollar Life Insurance Agreement dated August 12, 1998 between the Trust and Donald C. Wood (previously filed as a portion of Exhibit 10 to</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the 2000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10.14</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4"/>
              </w:rPr>
              <w:t>Restricted Share Award Agreement dated as of February 15, 2000 between the Trust and Jeffrey S. Berkes (previously filed as a portion of</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Exhibit 10 to the Trust’s Annual Report on Form 10-K for the year ended December 31, 2001 (File No. 1-07533) (the “2001 Form 10-K”) and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10.15</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4"/>
              </w:rPr>
              <w:t>Severance Agreement between the Trust and Jeffrey S. Berkes dated March 1, 2000 (previously filed as a portion of Exhibit 10 to the 2001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Amendment to Severance Agreement between Federal Realty Investment Trust and Jeffrey S. Berkes dated February 16, 2005 (previously filed as</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10.17 to the 2004 Form 10-K and incorporated herein by reference)</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33"/>
              <w:spacing w:after="0"/>
              <w:rPr>
                <w:sz w:val="20"/>
                <w:szCs w:val="20"/>
                <w:color w:val="auto"/>
              </w:rPr>
            </w:pPr>
            <w:r>
              <w:rPr>
                <w:rFonts w:ascii="Arial" w:cs="Arial" w:eastAsia="Arial" w:hAnsi="Arial"/>
                <w:sz w:val="18"/>
                <w:szCs w:val="18"/>
                <w:color w:val="auto"/>
              </w:rPr>
              <w:t>33</w:t>
            </w:r>
          </w:p>
        </w:tc>
      </w:tr>
    </w:tbl>
    <w:p>
      <w:pPr>
        <w:jc w:val="right"/>
        <w:ind w:right="5533"/>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3" w:name="page34"/>
    <w:bookmarkEnd w:id="33"/>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340" w:type="dxa"/>
            <w:vAlign w:val="bottom"/>
          </w:tcPr>
          <w:p>
            <w:pPr>
              <w:spacing w:after="0"/>
              <w:rPr>
                <w:sz w:val="15"/>
                <w:szCs w:val="15"/>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10.17</w:t>
            </w:r>
          </w:p>
        </w:tc>
        <w:tc>
          <w:tcPr>
            <w:tcW w:w="340" w:type="dxa"/>
            <w:vAlign w:val="bottom"/>
          </w:tcPr>
          <w:p>
            <w:pPr>
              <w:spacing w:after="0"/>
              <w:rPr>
                <w:sz w:val="17"/>
                <w:szCs w:val="17"/>
                <w:color w:val="auto"/>
              </w:rPr>
            </w:pPr>
          </w:p>
        </w:tc>
        <w:tc>
          <w:tcPr>
            <w:tcW w:w="10420" w:type="dxa"/>
            <w:vAlign w:val="bottom"/>
          </w:tcPr>
          <w:p>
            <w:pPr>
              <w:spacing w:after="0" w:line="201" w:lineRule="exact"/>
              <w:rPr>
                <w:sz w:val="20"/>
                <w:szCs w:val="20"/>
                <w:color w:val="auto"/>
              </w:rPr>
            </w:pPr>
            <w:r>
              <w:rPr>
                <w:rFonts w:ascii="Arial" w:cs="Arial" w:eastAsia="Arial" w:hAnsi="Arial"/>
                <w:sz w:val="18"/>
                <w:szCs w:val="18"/>
                <w:color w:val="auto"/>
                <w:w w:val="94"/>
              </w:rPr>
              <w:t>Severance Agreement dated March 1, 2002 between the Trust and Larry E. Finger (previously filed as a portion of Exhibit 10 to the Trust’s</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Quarterly Report on Form 10-Q for the quarter ended June 30, 2002 (File No. 1-07533) (the “2002 2Q Form 10-Q”) and incorporated herein by</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10.18</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Amendment to Severance Agreement between Federal Realty Investment Trust and Larry E. Finger dated February 16, 2005 (previously filed as</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10.19 to the 2004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10.19</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Combined Incentive and Non-Qualified Stock Option Agreement dated February 28, 2002 between the Trust and Larry E. Finger (previously filed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as a portion of Exhibit 10 to the 2002 2Q Form 10-Q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10.20</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Performance Share Award Agreement between the Trust and Donald C. Wood dated February 28, 2002 (previously filed as a portion of Exhibit 10</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to the 2002 2Q Form 10-Q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Performance Share Award Agreement between the Trust and Jeffrey S. Berkes dated February 28, 2002 (previously filed as a portion of Exhibit 10</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to the 2002 2Q Form 10-Q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10.22</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Amendment to Stock Option Agreement dated August 15, 2002 between the Trust and Dawn M. Becker (previously filed as a portion of Exhibit 10</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to the Trust’s Quarterly Report on Form 10-Q for the quarter ended September 30, 2002 (File No. 1-075330 (the “2002 3Q Form 10-Q”) and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8"/>
              </w:rPr>
              <w:t>Amendment to Stock Option Agreement dated August 15, 2002 between Federal Realty Investment Trust and Jeffrey S. Berkes (previously filed as</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a portion of Exhibit 10 to the 2002 3Q Form 10-Q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10.24</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3"/>
              </w:rPr>
              <w:t>2001 Long-Term Incentive Plan (previously filed as Exhibit 99.1 to the Trust’s S-8 Registration Number 333-60364 filed on May 7, 2001 and</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10.25</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Health Coverage Continuation Agreement between Federal Realty Investment Trust and Don Wood dated February 16, 2005 (previously filed as</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Exhibit 10.26 to the 2004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10.26</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Severance Agreement between the Trust and Dawn Becker dated April 19, 2000 (previously filed as Exhibit 10.26 to the Trust’s 2005 2Q Form 10-</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Q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10.27</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Amendment to Severance Agreement between the Trust and Dawn M. Becker dated February 16, 2005 (previously filed as Exhibit 10.27 to the</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2004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10.28</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Form of Restricted Share Award Agreement for awards made under the Trust’s 2003 Long-Term Incentive Award Program for shares issued out of</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2001 Long-Term Incentive Plan (previously filed as Exhibit 10.28 to the 2004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10.29</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1"/>
              </w:rPr>
              <w:t>Form of Restricted Share Award Agreement for awards made under the Trust’s Annual Incentive Bonus Program for shares issued out of 2001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10.29 to the 2004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10.30</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Form of Option Award Agreement for options awarded under 2001 Long-Term Incentive Plan (previously filed as Exhibit 10.30 to the 2004 Form</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10.31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Form of Option Award Agreement for awards made under the Trust’s 2003 Long-Term Incentive Award Program for shares issued out of the 2001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10.28 to the 2004 Form 10-K and incorporated herein by reference)</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33"/>
              <w:spacing w:after="0"/>
              <w:rPr>
                <w:sz w:val="20"/>
                <w:szCs w:val="20"/>
                <w:color w:val="auto"/>
              </w:rPr>
            </w:pPr>
            <w:r>
              <w:rPr>
                <w:rFonts w:ascii="Arial" w:cs="Arial" w:eastAsia="Arial" w:hAnsi="Arial"/>
                <w:sz w:val="18"/>
                <w:szCs w:val="18"/>
                <w:color w:val="auto"/>
              </w:rPr>
              <w:t>34</w:t>
            </w:r>
          </w:p>
        </w:tc>
      </w:tr>
    </w:tbl>
    <w:p>
      <w:pPr>
        <w:jc w:val="right"/>
        <w:ind w:right="5533"/>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4" w:name="page35"/>
    <w:bookmarkEnd w:id="34"/>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Exhibit No.</w:t>
            </w:r>
          </w:p>
        </w:tc>
        <w:tc>
          <w:tcPr>
            <w:tcW w:w="340" w:type="dxa"/>
            <w:vAlign w:val="bottom"/>
          </w:tcPr>
          <w:p>
            <w:pPr>
              <w:spacing w:after="0"/>
              <w:rPr>
                <w:sz w:val="15"/>
                <w:szCs w:val="15"/>
                <w:color w:val="auto"/>
              </w:rPr>
            </w:pPr>
          </w:p>
        </w:tc>
        <w:tc>
          <w:tcPr>
            <w:tcW w:w="10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60" w:type="dxa"/>
            <w:vAlign w:val="bottom"/>
          </w:tcPr>
          <w:p>
            <w:pPr>
              <w:spacing w:after="0" w:line="201" w:lineRule="exact"/>
              <w:rPr>
                <w:sz w:val="20"/>
                <w:szCs w:val="20"/>
                <w:color w:val="auto"/>
              </w:rPr>
            </w:pPr>
            <w:r>
              <w:rPr>
                <w:rFonts w:ascii="Arial" w:cs="Arial" w:eastAsia="Arial" w:hAnsi="Arial"/>
                <w:sz w:val="18"/>
                <w:szCs w:val="18"/>
                <w:color w:val="auto"/>
              </w:rPr>
              <w:t>10.32</w:t>
            </w:r>
          </w:p>
        </w:tc>
        <w:tc>
          <w:tcPr>
            <w:tcW w:w="340" w:type="dxa"/>
            <w:vAlign w:val="bottom"/>
          </w:tcPr>
          <w:p>
            <w:pPr>
              <w:spacing w:after="0"/>
              <w:rPr>
                <w:sz w:val="17"/>
                <w:szCs w:val="17"/>
                <w:color w:val="auto"/>
              </w:rPr>
            </w:pPr>
          </w:p>
        </w:tc>
        <w:tc>
          <w:tcPr>
            <w:tcW w:w="10420" w:type="dxa"/>
            <w:vAlign w:val="bottom"/>
          </w:tcPr>
          <w:p>
            <w:pPr>
              <w:spacing w:after="0" w:line="201" w:lineRule="exact"/>
              <w:rPr>
                <w:sz w:val="20"/>
                <w:szCs w:val="20"/>
                <w:color w:val="auto"/>
              </w:rPr>
            </w:pPr>
            <w:r>
              <w:rPr>
                <w:rFonts w:ascii="Arial" w:cs="Arial" w:eastAsia="Arial" w:hAnsi="Arial"/>
                <w:sz w:val="18"/>
                <w:szCs w:val="18"/>
                <w:color w:val="auto"/>
                <w:w w:val="89"/>
              </w:rPr>
              <w:t>Form of Option Award Agreement for awards made under the Trust’s 2003 Long-Term Incentive Award Program for shares issued out of the 2001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Long-Term Incentive Plan (previously filed as Exhibit 10.32 to the 2005 Form 10-K and incorporated herein by reference)</w:t>
            </w:r>
          </w:p>
        </w:tc>
      </w:tr>
      <w:tr>
        <w:trPr>
          <w:trHeight w:val="318"/>
        </w:trPr>
        <w:tc>
          <w:tcPr>
            <w:tcW w:w="660" w:type="dxa"/>
            <w:vAlign w:val="bottom"/>
          </w:tcPr>
          <w:p>
            <w:pPr>
              <w:spacing w:after="0"/>
              <w:rPr>
                <w:sz w:val="20"/>
                <w:szCs w:val="20"/>
                <w:color w:val="auto"/>
              </w:rPr>
            </w:pPr>
            <w:r>
              <w:rPr>
                <w:rFonts w:ascii="Arial" w:cs="Arial" w:eastAsia="Arial" w:hAnsi="Arial"/>
                <w:sz w:val="18"/>
                <w:szCs w:val="18"/>
                <w:color w:val="auto"/>
              </w:rPr>
              <w:t>10.33</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89"/>
              </w:rPr>
              <w:t>Credit Agreement dated as of July 28, 2006, by and between the Trust, Wachovia Capital Markets LLC, Wachovia Bank, National Association and</w:t>
            </w:r>
          </w:p>
        </w:tc>
      </w:tr>
      <w:tr>
        <w:trPr>
          <w:trHeight w:val="216"/>
        </w:trPr>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20" w:type="dxa"/>
            <w:vAlign w:val="bottom"/>
          </w:tcPr>
          <w:p>
            <w:pPr>
              <w:spacing w:after="0"/>
              <w:rPr>
                <w:sz w:val="20"/>
                <w:szCs w:val="20"/>
                <w:color w:val="auto"/>
              </w:rPr>
            </w:pPr>
            <w:r>
              <w:rPr>
                <w:rFonts w:ascii="Arial" w:cs="Arial" w:eastAsia="Arial" w:hAnsi="Arial"/>
                <w:sz w:val="18"/>
                <w:szCs w:val="18"/>
                <w:color w:val="auto"/>
                <w:w w:val="90"/>
              </w:rPr>
              <w:t>various other financial institutions (previously filed as Exhibit 10.1) to the Trust’s Current Report on Form 8-K (File No. 1-07533), filed on July 31,</w:t>
            </w:r>
          </w:p>
        </w:tc>
      </w:tr>
      <w:tr>
        <w:trPr>
          <w:trHeight w:val="222"/>
        </w:trPr>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2006 and incorporated herein by reference)</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Rule 13a-14(a) Certification of Chief Executive Officer (filed herewith)</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31.2</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Rule 13a-14(a) Certification of Chief Financial Officer (filed herewith)</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Section 1350 Certification of Chief Executive Officer (filed herewith)</w:t>
            </w:r>
          </w:p>
        </w:tc>
      </w:tr>
      <w:tr>
        <w:trPr>
          <w:trHeight w:val="324"/>
        </w:trPr>
        <w:tc>
          <w:tcPr>
            <w:tcW w:w="660" w:type="dxa"/>
            <w:vAlign w:val="bottom"/>
          </w:tcPr>
          <w:p>
            <w:pPr>
              <w:spacing w:after="0"/>
              <w:rPr>
                <w:sz w:val="20"/>
                <w:szCs w:val="20"/>
                <w:color w:val="auto"/>
              </w:rPr>
            </w:pPr>
            <w:r>
              <w:rPr>
                <w:rFonts w:ascii="Arial" w:cs="Arial" w:eastAsia="Arial" w:hAnsi="Arial"/>
                <w:sz w:val="18"/>
                <w:szCs w:val="18"/>
                <w:color w:val="auto"/>
              </w:rPr>
              <w:t>32.2</w:t>
            </w:r>
          </w:p>
        </w:tc>
        <w:tc>
          <w:tcPr>
            <w:tcW w:w="340" w:type="dxa"/>
            <w:vAlign w:val="bottom"/>
          </w:tcPr>
          <w:p>
            <w:pPr>
              <w:spacing w:after="0"/>
              <w:rPr>
                <w:sz w:val="24"/>
                <w:szCs w:val="24"/>
                <w:color w:val="auto"/>
              </w:rPr>
            </w:pPr>
          </w:p>
        </w:tc>
        <w:tc>
          <w:tcPr>
            <w:tcW w:w="10420" w:type="dxa"/>
            <w:vAlign w:val="bottom"/>
          </w:tcPr>
          <w:p>
            <w:pPr>
              <w:spacing w:after="0"/>
              <w:rPr>
                <w:sz w:val="20"/>
                <w:szCs w:val="20"/>
                <w:color w:val="auto"/>
              </w:rPr>
            </w:pPr>
            <w:r>
              <w:rPr>
                <w:rFonts w:ascii="Arial" w:cs="Arial" w:eastAsia="Arial" w:hAnsi="Arial"/>
                <w:sz w:val="18"/>
                <w:szCs w:val="18"/>
                <w:color w:val="auto"/>
              </w:rPr>
              <w:t>Section 1350 Certification of Chief Financial Officer (filed herewith)</w:t>
            </w:r>
          </w:p>
        </w:tc>
      </w:tr>
      <w:tr>
        <w:trPr>
          <w:trHeight w:val="365"/>
        </w:trPr>
        <w:tc>
          <w:tcPr>
            <w:tcW w:w="660" w:type="dxa"/>
            <w:vAlign w:val="bottom"/>
          </w:tcPr>
          <w:p>
            <w:pPr>
              <w:spacing w:after="0"/>
              <w:rPr>
                <w:sz w:val="24"/>
                <w:szCs w:val="24"/>
                <w:color w:val="auto"/>
              </w:rPr>
            </w:pPr>
          </w:p>
        </w:tc>
        <w:tc>
          <w:tcPr>
            <w:tcW w:w="10760" w:type="dxa"/>
            <w:vAlign w:val="bottom"/>
            <w:gridSpan w:val="2"/>
          </w:tcPr>
          <w:p>
            <w:pPr>
              <w:jc w:val="right"/>
              <w:ind w:right="5534"/>
              <w:spacing w:after="0"/>
              <w:rPr>
                <w:sz w:val="20"/>
                <w:szCs w:val="20"/>
                <w:color w:val="auto"/>
              </w:rPr>
            </w:pPr>
            <w:r>
              <w:rPr>
                <w:rFonts w:ascii="Arial" w:cs="Arial" w:eastAsia="Arial" w:hAnsi="Arial"/>
                <w:sz w:val="18"/>
                <w:szCs w:val="18"/>
                <w:color w:val="auto"/>
              </w:rPr>
              <w:t>35</w:t>
            </w:r>
          </w:p>
        </w:tc>
      </w:tr>
    </w:tbl>
    <w:p>
      <w:pPr>
        <w:jc w:val="right"/>
        <w:ind w:right="5534"/>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Donald C. Wood</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w:t>
            </w:r>
            <w:r>
              <w:rPr>
                <w:rFonts w:ascii="Arial" w:cs="Arial" w:eastAsia="Arial" w:hAnsi="Arial"/>
                <w:sz w:val="14"/>
                <w:szCs w:val="14"/>
                <w:color w:val="auto"/>
                <w:w w:val="97"/>
              </w:rPr>
              <w:t>ONALD</w:t>
            </w:r>
            <w:r>
              <w:rPr>
                <w:rFonts w:ascii="Arial" w:cs="Arial" w:eastAsia="Arial" w:hAnsi="Arial"/>
                <w:sz w:val="18"/>
                <w:szCs w:val="18"/>
                <w:color w:val="auto"/>
                <w:w w:val="97"/>
              </w:rPr>
              <w:t xml:space="preserve"> C. W</w:t>
            </w:r>
            <w:r>
              <w:rPr>
                <w:rFonts w:ascii="Arial" w:cs="Arial" w:eastAsia="Arial" w:hAnsi="Arial"/>
                <w:sz w:val="14"/>
                <w:szCs w:val="14"/>
                <w:color w:val="auto"/>
                <w:w w:val="97"/>
              </w:rPr>
              <w:t>OOD</w:t>
            </w: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May 2, 2007</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8"/>
              </w:rPr>
              <w:t>Donald C. Wood,</w:t>
            </w:r>
          </w:p>
        </w:tc>
      </w:tr>
    </w:tbl>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i w:val="1"/>
          <w:iCs w:val="1"/>
          <w:color w:val="auto"/>
        </w:rPr>
        <w:t>Larry E. Finger</w:t>
      </w:r>
      <w:r>
        <w:rPr>
          <w:rFonts w:ascii="Arial" w:cs="Arial" w:eastAsia="Arial" w:hAnsi="Arial"/>
          <w:sz w:val="18"/>
          <w:szCs w:val="18"/>
          <w:color w:val="auto"/>
        </w:rPr>
        <w:t>, certify that:</w:t>
      </w:r>
    </w:p>
    <w:p>
      <w:pPr>
        <w:spacing w:after="0" w:line="90" w:lineRule="exact"/>
        <w:rPr>
          <w:sz w:val="20"/>
          <w:szCs w:val="20"/>
          <w:color w:val="auto"/>
        </w:rPr>
      </w:pPr>
    </w:p>
    <w:p>
      <w:pPr>
        <w:ind w:left="900" w:hanging="446"/>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Federal Realty Investment Trust;</w:t>
      </w:r>
    </w:p>
    <w:p>
      <w:pPr>
        <w:spacing w:after="0" w:line="90" w:lineRule="exact"/>
        <w:rPr>
          <w:rFonts w:ascii="Arial" w:cs="Arial" w:eastAsia="Arial" w:hAnsi="Arial"/>
          <w:sz w:val="18"/>
          <w:szCs w:val="18"/>
          <w:color w:val="auto"/>
        </w:rPr>
      </w:pPr>
    </w:p>
    <w:p>
      <w:pPr>
        <w:jc w:val="both"/>
        <w:ind w:left="900" w:right="3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900" w:right="3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1480" w:right="20" w:hanging="567"/>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480" w:right="280" w:hanging="567"/>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principals;</w:t>
      </w:r>
    </w:p>
    <w:p>
      <w:pPr>
        <w:spacing w:after="0" w:line="59" w:lineRule="exact"/>
        <w:rPr>
          <w:rFonts w:ascii="Arial" w:cs="Arial" w:eastAsia="Arial" w:hAnsi="Arial"/>
          <w:sz w:val="18"/>
          <w:szCs w:val="18"/>
          <w:color w:val="auto"/>
        </w:rPr>
      </w:pPr>
    </w:p>
    <w:p>
      <w:pPr>
        <w:jc w:val="both"/>
        <w:ind w:left="1480" w:right="440" w:hanging="567"/>
        <w:spacing w:after="0" w:line="357" w:lineRule="auto"/>
        <w:tabs>
          <w:tab w:leader="none" w:pos="1480"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480" w:right="20" w:hanging="567"/>
        <w:spacing w:after="0" w:line="259"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trustees (or persons performing the equivalent functions):</w:t>
      </w:r>
    </w:p>
    <w:p>
      <w:pPr>
        <w:spacing w:after="0" w:line="4" w:lineRule="exact"/>
        <w:rPr>
          <w:rFonts w:ascii="Arial" w:cs="Arial" w:eastAsia="Arial" w:hAnsi="Arial"/>
          <w:sz w:val="16"/>
          <w:szCs w:val="16"/>
          <w:color w:val="auto"/>
        </w:rPr>
      </w:pPr>
    </w:p>
    <w:p>
      <w:pPr>
        <w:ind w:left="1480" w:right="740" w:hanging="567"/>
        <w:spacing w:after="0" w:line="332" w:lineRule="auto"/>
        <w:tabs>
          <w:tab w:leader="none" w:pos="14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440" w:hanging="567"/>
        <w:spacing w:after="0" w:line="268" w:lineRule="auto"/>
        <w:tabs>
          <w:tab w:leader="none" w:pos="14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w:t>
            </w:r>
            <w:r>
              <w:rPr>
                <w:rFonts w:ascii="Arial" w:cs="Arial" w:eastAsia="Arial" w:hAnsi="Arial"/>
                <w:sz w:val="14"/>
                <w:szCs w:val="14"/>
                <w:color w:val="auto"/>
                <w:w w:val="96"/>
              </w:rPr>
              <w:t>ARRY</w:t>
            </w:r>
            <w:r>
              <w:rPr>
                <w:rFonts w:ascii="Arial" w:cs="Arial" w:eastAsia="Arial" w:hAnsi="Arial"/>
                <w:sz w:val="18"/>
                <w:szCs w:val="18"/>
                <w:color w:val="auto"/>
                <w:w w:val="96"/>
              </w:rPr>
              <w:t xml:space="preserve"> E. F</w:t>
            </w:r>
            <w:r>
              <w:rPr>
                <w:rFonts w:ascii="Arial" w:cs="Arial" w:eastAsia="Arial" w:hAnsi="Arial"/>
                <w:sz w:val="14"/>
                <w:szCs w:val="14"/>
                <w:color w:val="auto"/>
                <w:w w:val="96"/>
              </w:rPr>
              <w:t>INGER</w:t>
            </w: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May 2, 2007</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Larry E. Finger,</w:t>
            </w:r>
          </w:p>
        </w:tc>
      </w:tr>
    </w:tbl>
    <w:p>
      <w:pPr>
        <w:jc w:val="center"/>
        <w:ind w:left="5820"/>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(Principal Accounting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undersigned, Donald C. Wood, the President and Chief Executive Officer of Federal Realty Investment Trust (the “Company”), has executed this certification in connection with the filing with the Securities and Exchange Commission of the Company’s Quarterly Report on Form 10-Q for the period ended March 31, 2007 (the “Report”). The undersigned hereby certifies that:</w:t>
      </w:r>
    </w:p>
    <w:p>
      <w:pPr>
        <w:spacing w:after="0" w:line="59" w:lineRule="exact"/>
        <w:rPr>
          <w:sz w:val="20"/>
          <w:szCs w:val="20"/>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w:t>
            </w:r>
            <w:r>
              <w:rPr>
                <w:rFonts w:ascii="Arial" w:cs="Arial" w:eastAsia="Arial" w:hAnsi="Arial"/>
                <w:sz w:val="14"/>
                <w:szCs w:val="14"/>
                <w:color w:val="auto"/>
                <w:w w:val="97"/>
              </w:rPr>
              <w:t>ONALD</w:t>
            </w:r>
            <w:r>
              <w:rPr>
                <w:rFonts w:ascii="Arial" w:cs="Arial" w:eastAsia="Arial" w:hAnsi="Arial"/>
                <w:sz w:val="18"/>
                <w:szCs w:val="18"/>
                <w:color w:val="auto"/>
                <w:w w:val="97"/>
              </w:rPr>
              <w:t xml:space="preserve"> C. W</w:t>
            </w:r>
            <w:r>
              <w:rPr>
                <w:rFonts w:ascii="Arial" w:cs="Arial" w:eastAsia="Arial" w:hAnsi="Arial"/>
                <w:sz w:val="14"/>
                <w:szCs w:val="14"/>
                <w:color w:val="auto"/>
                <w:w w:val="97"/>
              </w:rPr>
              <w:t>OOD</w:t>
            </w: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May 2, 2007</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88"/>
              </w:rPr>
              <w:t>Donald C. Wood,</w:t>
            </w:r>
          </w:p>
        </w:tc>
      </w:tr>
    </w:tbl>
    <w:p>
      <w:pPr>
        <w:jc w:val="center"/>
        <w:ind w:left="5820"/>
        <w:spacing w:after="0"/>
        <w:rPr>
          <w:sz w:val="20"/>
          <w:szCs w:val="20"/>
          <w:color w:val="auto"/>
        </w:rPr>
      </w:pPr>
      <w:r>
        <w:rPr>
          <w:rFonts w:ascii="Arial" w:cs="Arial" w:eastAsia="Arial" w:hAnsi="Arial"/>
          <w:sz w:val="18"/>
          <w:szCs w:val="18"/>
          <w:b w:val="1"/>
          <w:bCs w:val="1"/>
          <w:color w:val="auto"/>
        </w:rPr>
        <w:t>President, Chief Executive Officer and Trustee</w:t>
      </w:r>
    </w:p>
    <w:p>
      <w:pPr>
        <w:spacing w:after="0" w:line="8"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CERTIFICATION</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PURSUANT TO 18 U.S.C. SECTION 1350 AS ADOPTED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undersigned, Larry E. Finger, the Executive Vice President and Chief Financial Officer of Federal Realty Investment Trust (the “Company”), has executed this certification in connection with the filing with the Securities and Exchange Commission of the Company’s Quarterly Report on Form 10-Q for the period ended March 31, 2007 (the “Report”). The undersigned hereby certifies that:</w:t>
      </w:r>
    </w:p>
    <w:p>
      <w:pPr>
        <w:spacing w:after="0" w:line="59" w:lineRule="exact"/>
        <w:rPr>
          <w:sz w:val="20"/>
          <w:szCs w:val="20"/>
          <w:color w:val="auto"/>
        </w:rPr>
      </w:pPr>
    </w:p>
    <w:p>
      <w:pPr>
        <w:ind w:left="720" w:hanging="256"/>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20" w:type="dxa"/>
            <w:vAlign w:val="bottom"/>
          </w:tcPr>
          <w:p>
            <w:pPr>
              <w:spacing w:after="0"/>
              <w:rPr>
                <w:sz w:val="19"/>
                <w:szCs w:val="19"/>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L</w:t>
            </w:r>
            <w:r>
              <w:rPr>
                <w:rFonts w:ascii="Arial" w:cs="Arial" w:eastAsia="Arial" w:hAnsi="Arial"/>
                <w:sz w:val="14"/>
                <w:szCs w:val="14"/>
                <w:color w:val="auto"/>
                <w:w w:val="96"/>
              </w:rPr>
              <w:t>ARRY</w:t>
            </w:r>
            <w:r>
              <w:rPr>
                <w:rFonts w:ascii="Arial" w:cs="Arial" w:eastAsia="Arial" w:hAnsi="Arial"/>
                <w:sz w:val="18"/>
                <w:szCs w:val="18"/>
                <w:color w:val="auto"/>
                <w:w w:val="96"/>
              </w:rPr>
              <w:t xml:space="preserve"> E. F</w:t>
            </w:r>
            <w:r>
              <w:rPr>
                <w:rFonts w:ascii="Arial" w:cs="Arial" w:eastAsia="Arial" w:hAnsi="Arial"/>
                <w:sz w:val="14"/>
                <w:szCs w:val="14"/>
                <w:color w:val="auto"/>
                <w:w w:val="96"/>
              </w:rPr>
              <w:t>INGER</w:t>
            </w:r>
          </w:p>
        </w:tc>
      </w:tr>
      <w:tr>
        <w:trPr>
          <w:trHeight w:val="224"/>
        </w:trPr>
        <w:tc>
          <w:tcPr>
            <w:tcW w:w="5820" w:type="dxa"/>
            <w:vAlign w:val="bottom"/>
          </w:tcPr>
          <w:p>
            <w:pPr>
              <w:spacing w:after="0"/>
              <w:rPr>
                <w:sz w:val="20"/>
                <w:szCs w:val="20"/>
                <w:color w:val="auto"/>
              </w:rPr>
            </w:pPr>
            <w:r>
              <w:rPr>
                <w:rFonts w:ascii="Arial" w:cs="Arial" w:eastAsia="Arial" w:hAnsi="Arial"/>
                <w:sz w:val="18"/>
                <w:szCs w:val="18"/>
                <w:color w:val="auto"/>
              </w:rPr>
              <w:t>May 2, 2007</w:t>
            </w: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2"/>
              </w:rPr>
              <w:t>Larry E. Finger,</w:t>
            </w:r>
          </w:p>
        </w:tc>
      </w:tr>
    </w:tbl>
    <w:p>
      <w:pPr>
        <w:jc w:val="center"/>
        <w:ind w:left="5820"/>
        <w:spacing w:after="0"/>
        <w:rPr>
          <w:sz w:val="20"/>
          <w:szCs w:val="20"/>
          <w:color w:val="auto"/>
        </w:rPr>
      </w:pPr>
      <w:r>
        <w:rPr>
          <w:rFonts w:ascii="Arial" w:cs="Arial" w:eastAsia="Arial" w:hAnsi="Arial"/>
          <w:sz w:val="18"/>
          <w:szCs w:val="18"/>
          <w:b w:val="1"/>
          <w:bCs w:val="1"/>
          <w:color w:val="auto"/>
        </w:rPr>
        <w:t>Executive Vice President and</w:t>
      </w:r>
    </w:p>
    <w:p>
      <w:pPr>
        <w:spacing w:after="0" w:line="8" w:lineRule="exact"/>
        <w:rPr>
          <w:sz w:val="20"/>
          <w:szCs w:val="20"/>
          <w:color w:val="auto"/>
        </w:rPr>
      </w:pPr>
    </w:p>
    <w:p>
      <w:pPr>
        <w:jc w:val="center"/>
        <w:ind w:left="5820"/>
        <w:spacing w:after="0"/>
        <w:rPr>
          <w:sz w:val="20"/>
          <w:szCs w:val="20"/>
          <w:color w:val="auto"/>
        </w:rPr>
      </w:pPr>
      <w:r>
        <w:rPr>
          <w:rFonts w:ascii="Arial" w:cs="Arial" w:eastAsia="Arial" w:hAnsi="Arial"/>
          <w:sz w:val="18"/>
          <w:szCs w:val="18"/>
          <w:b w:val="1"/>
          <w:bCs w:val="1"/>
          <w:color w:val="auto"/>
        </w:rPr>
        <w:t>Chief Financial Officer (Principal Accounting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1)"/>
      <w:numFmt w:val="decimal"/>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1)"/>
      <w:numFmt w:val="decimal"/>
      <w:start w:val="1"/>
    </w:lvl>
  </w:abstractNum>
  <w:abstractNum w:abstractNumId="8">
    <w:nsid w:val="721DA317"/>
    <w:multiLevelType w:val="hybridMultilevel"/>
    <w:lvl w:ilvl="0">
      <w:lvlJc w:val="left"/>
      <w:lvlText w:val="(%1)"/>
      <w:numFmt w:val="decimal"/>
      <w:start w:val="1"/>
    </w:lvl>
  </w:abstractNum>
  <w:abstractNum w:abstractNumId="9">
    <w:nsid w:val="2443A858"/>
    <w:multiLevelType w:val="hybridMultilevel"/>
    <w:lvl w:ilvl="0">
      <w:lvlJc w:val="left"/>
      <w:lvlText w:val="(%1)"/>
      <w:numFmt w:val="decimal"/>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1)"/>
      <w:numFmt w:val="decimal"/>
      <w:start w:val="1"/>
    </w:lvl>
  </w:abstractNum>
  <w:abstractNum w:abstractNumId="25">
    <w:nsid w:val="1E7FF521"/>
    <w:multiLevelType w:val="hybridMultilevel"/>
    <w:lvl w:ilvl="0">
      <w:lvlJc w:val="left"/>
      <w:lvlText w:val="%1)"/>
      <w:numFmt w:val="decimal"/>
      <w:start w:val="7"/>
    </w:lvl>
  </w:abstractNum>
  <w:abstractNum w:abstractNumId="26">
    <w:nsid w:val="7C3DBD3D"/>
    <w:multiLevelType w:val="hybridMultilevel"/>
    <w:lvl w:ilvl="0">
      <w:lvlJc w:val="left"/>
      <w:lvlText w:val="%1)"/>
      <w:numFmt w:val="decimal"/>
      <w:start w:val="1"/>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1)"/>
      <w:numFmt w:val="decimal"/>
      <w:start w:val="1"/>
    </w:lvl>
  </w:abstractNum>
  <w:abstractNum w:abstractNumId="29">
    <w:nsid w:val="22221A70"/>
    <w:multiLevelType w:val="hybridMultilevel"/>
    <w:lvl w:ilvl="0">
      <w:lvlJc w:val="left"/>
      <w:lvlText w:val="•"/>
      <w:numFmt w:val="bullet"/>
      <w:start w:val="1"/>
    </w:lvl>
    <w:lvl w:ilvl="1">
      <w:lvlJc w:val="left"/>
      <w:lvlText w:val="•"/>
      <w:numFmt w:val="bullet"/>
      <w:start w:val="1"/>
    </w:lvl>
  </w:abstractNum>
  <w:abstractNum w:abstractNumId="30">
    <w:nsid w:val="4516DDE9"/>
    <w:multiLevelType w:val="hybridMultilevel"/>
    <w:lvl w:ilvl="0">
      <w:lvlJc w:val="left"/>
      <w:lvlText w:val="(%1)"/>
      <w:numFmt w:val="lowerRoman"/>
      <w:start w:val="2"/>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2019-12-13T00:52:22Z</dcterms:created>
  <dcterms:modified xsi:type="dcterms:W3CDTF">2019-12-13T00:52:22Z</dcterms:modified>
</cp:coreProperties>
</file>