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w:t>
      </w:r>
    </w:p>
    <w:p>
      <w:pPr>
        <w:jc w:val="center"/>
        <w:spacing w:after="0"/>
        <w:rPr>
          <w:sz w:val="20"/>
          <w:szCs w:val="20"/>
          <w:color w:val="auto"/>
        </w:rPr>
      </w:pPr>
      <w:r>
        <w:rPr>
          <w:rFonts w:ascii="Times New Roman" w:cs="Times New Roman" w:eastAsia="Times New Roman" w:hAnsi="Times New Roman"/>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8"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13d-1(b) (c), and (d) AND AMENDMENTS THERETO FILED PURSUANT TO RULE 13d-2(b)</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313747206</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4, 2004</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50"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03"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Rule 13d-1(c)</w:t>
      </w:r>
    </w:p>
    <w:p>
      <w:pPr>
        <w:spacing w:after="0" w:line="103"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1060" w:right="4080" w:hanging="622"/>
        <w:spacing w:after="0" w:line="280"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AEW Capital Management, L.P.</w:t>
      </w:r>
    </w:p>
    <w:p>
      <w:pPr>
        <w:spacing w:after="0" w:line="354" w:lineRule="exact"/>
        <w:rPr>
          <w:rFonts w:ascii="Times New Roman" w:cs="Times New Roman" w:eastAsia="Times New Roman" w:hAnsi="Times New Roman"/>
          <w:sz w:val="18"/>
          <w:szCs w:val="18"/>
          <w:color w:val="auto"/>
        </w:rPr>
      </w:pPr>
    </w:p>
    <w:p>
      <w:pPr>
        <w:ind w:left="1060" w:hanging="622"/>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2220" w:hanging="1160"/>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17" w:lineRule="exact"/>
        <w:rPr>
          <w:rFonts w:ascii="Times New Roman" w:cs="Times New Roman" w:eastAsia="Times New Roman" w:hAnsi="Times New Roman"/>
          <w:sz w:val="18"/>
          <w:szCs w:val="18"/>
          <w:color w:val="auto"/>
        </w:rPr>
      </w:pPr>
    </w:p>
    <w:p>
      <w:pPr>
        <w:ind w:left="2220" w:hanging="1160"/>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60" w:hanging="622"/>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60" w:right="7740" w:hanging="622"/>
        <w:spacing w:after="0" w:line="280"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or Place of Organization </w:t>
      </w:r>
      <w:r>
        <w:rPr>
          <w:rFonts w:ascii="Times New Roman" w:cs="Times New Roman" w:eastAsia="Times New Roman" w:hAnsi="Times New Roman"/>
          <w:sz w:val="17"/>
          <w:szCs w:val="17"/>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13970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-517525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-911860</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-1117600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-1709420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8"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4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2,343,300</w:t>
            </w:r>
          </w:p>
        </w:tc>
        <w:tc>
          <w:tcPr>
            <w:tcW w:w="0" w:type="dxa"/>
            <w:vAlign w:val="bottom"/>
          </w:tcPr>
          <w:p>
            <w:pPr>
              <w:spacing w:after="0"/>
              <w:rPr>
                <w:sz w:val="1"/>
                <w:szCs w:val="1"/>
                <w:color w:val="auto"/>
              </w:rPr>
            </w:pPr>
          </w:p>
        </w:tc>
      </w:tr>
      <w:tr>
        <w:trPr>
          <w:trHeight w:val="7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1400" w:type="dxa"/>
            <w:vAlign w:val="bottom"/>
          </w:tcPr>
          <w:p>
            <w:pPr>
              <w:spacing w:after="0"/>
              <w:rPr>
                <w:sz w:val="6"/>
                <w:szCs w:val="6"/>
                <w:color w:val="auto"/>
              </w:rPr>
            </w:pPr>
          </w:p>
        </w:tc>
        <w:tc>
          <w:tcPr>
            <w:tcW w:w="8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40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6.</w:t>
            </w:r>
          </w:p>
        </w:tc>
        <w:tc>
          <w:tcPr>
            <w:tcW w:w="8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3"/>
        </w:trPr>
        <w:tc>
          <w:tcPr>
            <w:tcW w:w="12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Each</w:t>
            </w:r>
          </w:p>
        </w:tc>
        <w:tc>
          <w:tcPr>
            <w:tcW w:w="1400" w:type="dxa"/>
            <w:vAlign w:val="bottom"/>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5"/>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400" w:type="dxa"/>
            <w:vAlign w:val="bottom"/>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6" w:right="239" w:bottom="22" w:gutter="0" w:footer="0" w:header="0"/>
        </w:sectPr>
      </w:pPr>
    </w:p>
    <w:bookmarkStart w:id="1" w:name="page2"/>
    <w:bookmarkEnd w:id="1"/>
    <w:p>
      <w:pPr>
        <w:ind w:left="2700" w:right="5759" w:hanging="1093"/>
        <w:spacing w:after="0" w:line="280" w:lineRule="auto"/>
        <w:tabs>
          <w:tab w:leader="none" w:pos="2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7"/>
          <w:szCs w:val="17"/>
          <w:color w:val="auto"/>
        </w:rPr>
        <w:t>2,343,300</w:t>
      </w:r>
    </w:p>
    <w:p>
      <w:pPr>
        <w:spacing w:after="0" w:line="354" w:lineRule="exact"/>
        <w:rPr>
          <w:rFonts w:ascii="Times New Roman" w:cs="Times New Roman" w:eastAsia="Times New Roman" w:hAnsi="Times New Roman"/>
          <w:sz w:val="18"/>
          <w:szCs w:val="18"/>
          <w:color w:val="auto"/>
        </w:rPr>
      </w:pPr>
    </w:p>
    <w:p>
      <w:pPr>
        <w:ind w:left="2700" w:right="5579" w:hanging="1093"/>
        <w:spacing w:after="0" w:line="280" w:lineRule="auto"/>
        <w:tabs>
          <w:tab w:leader="none" w:pos="2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7"/>
          <w:szCs w:val="17"/>
          <w:color w:val="auto"/>
        </w:rPr>
        <w:t>None</w:t>
      </w:r>
    </w:p>
    <w:p>
      <w:pPr>
        <w:spacing w:after="0" w:line="354" w:lineRule="exact"/>
        <w:rPr>
          <w:rFonts w:ascii="Times New Roman" w:cs="Times New Roman" w:eastAsia="Times New Roman" w:hAnsi="Times New Roman"/>
          <w:sz w:val="18"/>
          <w:szCs w:val="18"/>
          <w:color w:val="auto"/>
        </w:rPr>
      </w:pPr>
    </w:p>
    <w:p>
      <w:pPr>
        <w:ind w:left="1000" w:right="4359" w:hanging="622"/>
        <w:spacing w:after="0" w:line="28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2,343,300 shares of Common Stock</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1000" w:right="5379" w:hanging="622"/>
        <w:spacing w:after="0" w:line="28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4.50%</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-490855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-1022985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-1554480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-2085975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-2617470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66675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0" w:right="2879" w:hanging="622"/>
        <w:spacing w:after="0" w:line="28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AEW Capital Management, Inc.</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2160" w:hanging="1160"/>
        <w:spacing w:after="0"/>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17" w:lineRule="exact"/>
        <w:rPr>
          <w:rFonts w:ascii="Times New Roman" w:cs="Times New Roman" w:eastAsia="Times New Roman" w:hAnsi="Times New Roman"/>
          <w:sz w:val="18"/>
          <w:szCs w:val="18"/>
          <w:color w:val="auto"/>
        </w:rPr>
      </w:pPr>
    </w:p>
    <w:p>
      <w:pPr>
        <w:ind w:left="2160" w:hanging="1160"/>
        <w:spacing w:after="0"/>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00" w:right="6539" w:hanging="622"/>
        <w:spacing w:after="0" w:line="28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or Place of Organization </w:t>
      </w:r>
      <w:r>
        <w:rPr>
          <w:rFonts w:ascii="Times New Roman" w:cs="Times New Roman" w:eastAsia="Times New Roman" w:hAnsi="Times New Roman"/>
          <w:sz w:val="17"/>
          <w:szCs w:val="17"/>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13970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-517525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-911860</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-1117600</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-1709420</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75" w:right="1440" w:bottom="0" w:gutter="0" w:footer="0" w:header="0"/>
        </w:sectPr>
      </w:pPr>
    </w:p>
    <w:p>
      <w:pPr>
        <w:spacing w:after="0" w:line="368"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02" w:lineRule="auto"/>
        <w:tabs>
          <w:tab w:leader="none" w:pos="1580" w:val="left"/>
        </w:tabs>
        <w:rPr>
          <w:sz w:val="20"/>
          <w:szCs w:val="20"/>
          <w:color w:val="auto"/>
        </w:rPr>
      </w:pPr>
      <w:r>
        <w:rPr>
          <w:rFonts w:ascii="Times New Roman" w:cs="Times New Roman" w:eastAsia="Times New Roman" w:hAnsi="Times New Roman"/>
          <w:sz w:val="15"/>
          <w:szCs w:val="15"/>
          <w:color w:val="auto"/>
        </w:rPr>
        <w:t>Shares</w:t>
      </w:r>
      <w:r>
        <w:rPr>
          <w:sz w:val="20"/>
          <w:szCs w:val="20"/>
          <w:color w:val="auto"/>
        </w:rPr>
        <w:tab/>
      </w:r>
      <w:r>
        <w:rPr>
          <w:rFonts w:ascii="Times New Roman" w:cs="Times New Roman" w:eastAsia="Times New Roman" w:hAnsi="Times New Roman"/>
          <w:sz w:val="28"/>
          <w:szCs w:val="28"/>
          <w:color w:val="auto"/>
          <w:vertAlign w:val="superscript"/>
        </w:rPr>
        <w:t>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w:t>
      </w:r>
    </w:p>
    <w:p>
      <w:pPr>
        <w:spacing w:after="0" w:line="182" w:lineRule="auto"/>
        <w:tabs>
          <w:tab w:leader="none" w:pos="1580" w:val="left"/>
        </w:tabs>
        <w:rPr>
          <w:sz w:val="20"/>
          <w:szCs w:val="20"/>
          <w:color w:val="auto"/>
        </w:rPr>
      </w:pPr>
      <w:r>
        <w:rPr>
          <w:rFonts w:ascii="Times New Roman" w:cs="Times New Roman" w:eastAsia="Times New Roman" w:hAnsi="Times New Roman"/>
          <w:sz w:val="15"/>
          <w:szCs w:val="15"/>
          <w:color w:val="auto"/>
        </w:rPr>
        <w:t>Each</w:t>
      </w:r>
      <w:r>
        <w:rPr>
          <w:sz w:val="20"/>
          <w:szCs w:val="20"/>
          <w:color w:val="auto"/>
        </w:rPr>
        <w:tab/>
      </w:r>
      <w:r>
        <w:rPr>
          <w:rFonts w:ascii="Times New Roman" w:cs="Times New Roman" w:eastAsia="Times New Roman" w:hAnsi="Times New Roman"/>
          <w:sz w:val="26"/>
          <w:szCs w:val="26"/>
          <w:color w:val="auto"/>
          <w:vertAlign w:val="subscript"/>
        </w:rPr>
        <w:t>7.</w:t>
      </w: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74"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75" w:right="1440" w:bottom="0" w:gutter="0" w:footer="0" w:header="0"/>
          <w:type w:val="continuous"/>
        </w:sectPr>
      </w:pPr>
    </w:p>
    <w:p>
      <w:pPr>
        <w:spacing w:after="0" w:line="196" w:lineRule="exact"/>
        <w:rPr>
          <w:sz w:val="20"/>
          <w:szCs w:val="20"/>
          <w:color w:val="auto"/>
        </w:rPr>
      </w:pPr>
    </w:p>
    <w:p>
      <w:pPr>
        <w:ind w:left="1000" w:right="4359" w:hanging="622"/>
        <w:spacing w:after="0" w:line="28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2,343,300 shares of Common Stock</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1000" w:right="5379" w:hanging="622"/>
        <w:spacing w:after="0" w:line="28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4.50%</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-490855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-1022985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-1554480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75" w:right="1440" w:bottom="0" w:gutter="0" w:footer="0" w:header="0"/>
          <w:type w:val="continuous"/>
        </w:sectPr>
      </w:pPr>
    </w:p>
    <w:bookmarkStart w:id="2" w:name="page3"/>
    <w:bookmarkEnd w:id="2"/>
    <w:p>
      <w:pPr>
        <w:ind w:left="5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75565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0" w:right="2879" w:hanging="622"/>
        <w:spacing w:after="0" w:line="280"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AEW Management and Advisors, L.P.</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2160" w:hanging="1160"/>
        <w:spacing w:after="0"/>
        <w:tabs>
          <w:tab w:leader="none" w:pos="2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17" w:lineRule="exact"/>
        <w:rPr>
          <w:rFonts w:ascii="Times New Roman" w:cs="Times New Roman" w:eastAsia="Times New Roman" w:hAnsi="Times New Roman"/>
          <w:sz w:val="18"/>
          <w:szCs w:val="18"/>
          <w:color w:val="auto"/>
        </w:rPr>
      </w:pPr>
    </w:p>
    <w:p>
      <w:pPr>
        <w:ind w:left="2160" w:hanging="1160"/>
        <w:spacing w:after="0"/>
        <w:tabs>
          <w:tab w:leader="none" w:pos="2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00" w:right="6539" w:hanging="622"/>
        <w:spacing w:after="0" w:line="280"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or Place of Organization </w:t>
      </w:r>
      <w:r>
        <w:rPr>
          <w:rFonts w:ascii="Times New Roman" w:cs="Times New Roman" w:eastAsia="Times New Roman" w:hAnsi="Times New Roman"/>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13970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-517525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-911860</wp:posOffset>
            </wp:positionV>
            <wp:extent cx="5874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-1117600</wp:posOffset>
            </wp:positionV>
            <wp:extent cx="5874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-1709420</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37" w:right="1440" w:bottom="0" w:gutter="0" w:footer="0" w:header="0"/>
        </w:sectPr>
      </w:pPr>
    </w:p>
    <w:p>
      <w:pPr>
        <w:spacing w:after="0" w:line="368"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02" w:lineRule="auto"/>
        <w:tabs>
          <w:tab w:leader="none" w:pos="1580" w:val="left"/>
        </w:tabs>
        <w:rPr>
          <w:sz w:val="20"/>
          <w:szCs w:val="20"/>
          <w:color w:val="auto"/>
        </w:rPr>
      </w:pPr>
      <w:r>
        <w:rPr>
          <w:rFonts w:ascii="Times New Roman" w:cs="Times New Roman" w:eastAsia="Times New Roman" w:hAnsi="Times New Roman"/>
          <w:sz w:val="15"/>
          <w:szCs w:val="15"/>
          <w:color w:val="auto"/>
        </w:rPr>
        <w:t>Shares</w:t>
      </w:r>
      <w:r>
        <w:rPr>
          <w:sz w:val="20"/>
          <w:szCs w:val="20"/>
          <w:color w:val="auto"/>
        </w:rPr>
        <w:tab/>
      </w:r>
      <w:r>
        <w:rPr>
          <w:rFonts w:ascii="Times New Roman" w:cs="Times New Roman" w:eastAsia="Times New Roman" w:hAnsi="Times New Roman"/>
          <w:sz w:val="28"/>
          <w:szCs w:val="28"/>
          <w:color w:val="auto"/>
          <w:vertAlign w:val="superscript"/>
        </w:rPr>
        <w:t>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w:t>
      </w:r>
    </w:p>
    <w:p>
      <w:pPr>
        <w:spacing w:after="0" w:line="182" w:lineRule="auto"/>
        <w:tabs>
          <w:tab w:leader="none" w:pos="1580" w:val="left"/>
        </w:tabs>
        <w:rPr>
          <w:sz w:val="20"/>
          <w:szCs w:val="20"/>
          <w:color w:val="auto"/>
        </w:rPr>
      </w:pPr>
      <w:r>
        <w:rPr>
          <w:rFonts w:ascii="Times New Roman" w:cs="Times New Roman" w:eastAsia="Times New Roman" w:hAnsi="Times New Roman"/>
          <w:sz w:val="15"/>
          <w:szCs w:val="15"/>
          <w:color w:val="auto"/>
        </w:rPr>
        <w:t>Each</w:t>
      </w:r>
      <w:r>
        <w:rPr>
          <w:sz w:val="20"/>
          <w:szCs w:val="20"/>
          <w:color w:val="auto"/>
        </w:rPr>
        <w:tab/>
      </w:r>
      <w:r>
        <w:rPr>
          <w:rFonts w:ascii="Times New Roman" w:cs="Times New Roman" w:eastAsia="Times New Roman" w:hAnsi="Times New Roman"/>
          <w:sz w:val="26"/>
          <w:szCs w:val="26"/>
          <w:color w:val="auto"/>
          <w:vertAlign w:val="subscript"/>
        </w:rPr>
        <w:t>7.</w:t>
      </w: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74"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37" w:right="1440" w:bottom="0" w:gutter="0" w:footer="0" w:header="0"/>
          <w:type w:val="continuous"/>
        </w:sectPr>
      </w:pPr>
    </w:p>
    <w:p>
      <w:pPr>
        <w:spacing w:after="0" w:line="196" w:lineRule="exact"/>
        <w:rPr>
          <w:sz w:val="20"/>
          <w:szCs w:val="20"/>
          <w:color w:val="auto"/>
        </w:rPr>
      </w:pPr>
    </w:p>
    <w:p>
      <w:pPr>
        <w:ind w:left="1000" w:right="4359" w:hanging="622"/>
        <w:spacing w:after="0" w:line="28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2,343,300 shares of Common Stock</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1000" w:right="5379" w:hanging="622"/>
        <w:spacing w:after="0" w:line="28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4.50%</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-490855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-1022985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-1554480</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75565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0" w:right="2879" w:hanging="622"/>
        <w:spacing w:after="0" w:line="280"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AEW Investment Group, Inc.</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2160" w:hanging="1160"/>
        <w:spacing w:after="0"/>
        <w:tabs>
          <w:tab w:leader="none" w:pos="2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17" w:lineRule="exact"/>
        <w:rPr>
          <w:rFonts w:ascii="Times New Roman" w:cs="Times New Roman" w:eastAsia="Times New Roman" w:hAnsi="Times New Roman"/>
          <w:sz w:val="18"/>
          <w:szCs w:val="18"/>
          <w:color w:val="auto"/>
        </w:rPr>
      </w:pPr>
    </w:p>
    <w:p>
      <w:pPr>
        <w:ind w:left="2160" w:hanging="1160"/>
        <w:spacing w:after="0"/>
        <w:tabs>
          <w:tab w:leader="none" w:pos="2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-342265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-736600</wp:posOffset>
            </wp:positionV>
            <wp:extent cx="58743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-942340</wp:posOffset>
            </wp:positionV>
            <wp:extent cx="58743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-1534160</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37" w:right="1440" w:bottom="0" w:gutter="0" w:footer="0" w:header="0"/>
          <w:type w:val="continuous"/>
        </w:sectPr>
      </w:pPr>
    </w:p>
    <w:bookmarkStart w:id="3" w:name="page4"/>
    <w:bookmarkEnd w:id="3"/>
    <w:p>
      <w:pPr>
        <w:ind w:left="1000"/>
        <w:spacing w:after="0"/>
        <w:rPr>
          <w:sz w:val="20"/>
          <w:szCs w:val="20"/>
          <w:color w:val="auto"/>
        </w:rPr>
      </w:pPr>
      <w:r>
        <w:rPr>
          <w:rFonts w:ascii="Times New Roman" w:cs="Times New Roman" w:eastAsia="Times New Roman" w:hAnsi="Times New Roman"/>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700" w:hanging="1093"/>
        <w:spacing w:after="0"/>
        <w:tabs>
          <w:tab w:leader="none" w:pos="2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w:t>
      </w:r>
    </w:p>
    <w:p>
      <w:pPr>
        <w:sectPr>
          <w:pgSz w:w="11900" w:h="16838" w:orient="portrait"/>
          <w:cols w:equalWidth="0" w:num="1">
            <w:col w:w="10159"/>
          </w:cols>
          <w:pgMar w:left="300" w:top="125" w:right="1440" w:bottom="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02" w:lineRule="auto"/>
        <w:tabs>
          <w:tab w:leader="none" w:pos="1580" w:val="left"/>
        </w:tabs>
        <w:rPr>
          <w:sz w:val="20"/>
          <w:szCs w:val="20"/>
          <w:color w:val="auto"/>
        </w:rPr>
      </w:pPr>
      <w:r>
        <w:rPr>
          <w:rFonts w:ascii="Times New Roman" w:cs="Times New Roman" w:eastAsia="Times New Roman" w:hAnsi="Times New Roman"/>
          <w:sz w:val="15"/>
          <w:szCs w:val="15"/>
          <w:color w:val="auto"/>
        </w:rPr>
        <w:t>Shares</w:t>
      </w:r>
      <w:r>
        <w:rPr>
          <w:sz w:val="20"/>
          <w:szCs w:val="20"/>
          <w:color w:val="auto"/>
        </w:rPr>
        <w:tab/>
      </w:r>
      <w:r>
        <w:rPr>
          <w:rFonts w:ascii="Times New Roman" w:cs="Times New Roman" w:eastAsia="Times New Roman" w:hAnsi="Times New Roman"/>
          <w:sz w:val="28"/>
          <w:szCs w:val="28"/>
          <w:color w:val="auto"/>
          <w:vertAlign w:val="superscript"/>
        </w:rPr>
        <w:t>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w:t>
      </w:r>
    </w:p>
    <w:p>
      <w:pPr>
        <w:spacing w:after="0" w:line="182" w:lineRule="auto"/>
        <w:tabs>
          <w:tab w:leader="none" w:pos="1580" w:val="left"/>
        </w:tabs>
        <w:rPr>
          <w:sz w:val="20"/>
          <w:szCs w:val="20"/>
          <w:color w:val="auto"/>
        </w:rPr>
      </w:pPr>
      <w:r>
        <w:rPr>
          <w:rFonts w:ascii="Times New Roman" w:cs="Times New Roman" w:eastAsia="Times New Roman" w:hAnsi="Times New Roman"/>
          <w:sz w:val="15"/>
          <w:szCs w:val="15"/>
          <w:color w:val="auto"/>
        </w:rPr>
        <w:t>Each</w:t>
      </w:r>
      <w:r>
        <w:rPr>
          <w:sz w:val="20"/>
          <w:szCs w:val="20"/>
          <w:color w:val="auto"/>
        </w:rPr>
        <w:tab/>
      </w:r>
      <w:r>
        <w:rPr>
          <w:rFonts w:ascii="Times New Roman" w:cs="Times New Roman" w:eastAsia="Times New Roman" w:hAnsi="Times New Roman"/>
          <w:sz w:val="26"/>
          <w:szCs w:val="26"/>
          <w:color w:val="auto"/>
          <w:vertAlign w:val="subscript"/>
        </w:rPr>
        <w:t>7.</w:t>
      </w: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74"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25" w:right="1440" w:bottom="0" w:gutter="0" w:footer="0" w:header="0"/>
          <w:type w:val="continuous"/>
        </w:sectPr>
      </w:pPr>
    </w:p>
    <w:p>
      <w:pPr>
        <w:spacing w:after="0" w:line="196" w:lineRule="exact"/>
        <w:rPr>
          <w:sz w:val="20"/>
          <w:szCs w:val="20"/>
          <w:color w:val="auto"/>
        </w:rPr>
      </w:pPr>
    </w:p>
    <w:p>
      <w:pPr>
        <w:ind w:left="1000" w:right="4359" w:hanging="622"/>
        <w:spacing w:after="0" w:line="280"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2,343,300 shares of Common Stock</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1000" w:right="5379" w:hanging="622"/>
        <w:spacing w:after="0" w:line="280"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4.50%</w:t>
      </w:r>
    </w:p>
    <w:p>
      <w:pPr>
        <w:spacing w:after="0" w:line="354" w:lineRule="exact"/>
        <w:rPr>
          <w:rFonts w:ascii="Times New Roman" w:cs="Times New Roman" w:eastAsia="Times New Roman" w:hAnsi="Times New Roman"/>
          <w:sz w:val="18"/>
          <w:szCs w:val="18"/>
          <w:color w:val="auto"/>
        </w:rPr>
      </w:pPr>
    </w:p>
    <w:p>
      <w:pPr>
        <w:ind w:left="1000" w:hanging="62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-490855</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-1022985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-1554480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66675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STATEMENT ON SCHEDULE 13G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08" w:lineRule="exact"/>
        <w:rPr>
          <w:sz w:val="20"/>
          <w:szCs w:val="20"/>
          <w:color w:val="auto"/>
        </w:rPr>
      </w:pPr>
    </w:p>
    <w:p>
      <w:pPr>
        <w:ind w:left="1440" w:hanging="494"/>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Investment Trust</w:t>
      </w:r>
    </w:p>
    <w:p>
      <w:pPr>
        <w:spacing w:after="0" w:line="98" w:lineRule="exact"/>
        <w:rPr>
          <w:rFonts w:ascii="Times New Roman" w:cs="Times New Roman" w:eastAsia="Times New Roman" w:hAnsi="Times New Roman"/>
          <w:sz w:val="18"/>
          <w:szCs w:val="18"/>
          <w:color w:val="auto"/>
        </w:rPr>
      </w:pPr>
    </w:p>
    <w:p>
      <w:pPr>
        <w:ind w:left="1440" w:right="5299" w:hanging="494"/>
        <w:spacing w:after="0" w:line="261"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1626 East Jefferson Street</w:t>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Rockville, MD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-439420</wp:posOffset>
            </wp:positionV>
            <wp:extent cx="6329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8" w:lineRule="exact"/>
        <w:rPr>
          <w:sz w:val="20"/>
          <w:szCs w:val="20"/>
          <w:color w:val="auto"/>
        </w:rPr>
      </w:pPr>
    </w:p>
    <w:p>
      <w:pPr>
        <w:ind w:left="1440" w:hanging="494"/>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right="59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AEW Capital Management, L.P. AEW Capital Management, Inc. AEW Management and Advisors, L.P. AEW Investment Group, Inc.</w:t>
      </w:r>
    </w:p>
    <w:p>
      <w:pPr>
        <w:spacing w:after="0" w:line="77" w:lineRule="exact"/>
        <w:rPr>
          <w:rFonts w:ascii="Times New Roman" w:cs="Times New Roman" w:eastAsia="Times New Roman" w:hAnsi="Times New Roman"/>
          <w:sz w:val="18"/>
          <w:szCs w:val="18"/>
          <w:color w:val="auto"/>
        </w:rPr>
      </w:pPr>
    </w:p>
    <w:p>
      <w:pPr>
        <w:ind w:left="1440" w:right="4439" w:hanging="494"/>
        <w:spacing w:after="0" w:line="261"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World Trade Center East</w:t>
      </w:r>
    </w:p>
    <w:p>
      <w:pPr>
        <w:ind w:left="1440" w:right="691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Two Seaport Lane Boston, MA 02110-2021</w:t>
      </w:r>
    </w:p>
    <w:p>
      <w:pPr>
        <w:spacing w:after="0" w:line="49"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440" w:right="495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Delaware for AEW Capital Management, L.P. Massachusetts for AEW Capital Management, Inc. Delaware for AEW Management and Advisors, L.P. Massachusetts for AEW Investment Group, Inc.</w:t>
      </w:r>
    </w:p>
    <w:p>
      <w:pPr>
        <w:spacing w:after="0" w:line="64" w:lineRule="exact"/>
        <w:rPr>
          <w:rFonts w:ascii="Times New Roman" w:cs="Times New Roman" w:eastAsia="Times New Roman" w:hAnsi="Times New Roman"/>
          <w:sz w:val="18"/>
          <w:szCs w:val="18"/>
          <w:color w:val="auto"/>
        </w:rPr>
      </w:pPr>
    </w:p>
    <w:p>
      <w:pPr>
        <w:ind w:left="1440" w:right="6799" w:hanging="494"/>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53" w:lineRule="exact"/>
        <w:rPr>
          <w:rFonts w:ascii="Times New Roman" w:cs="Times New Roman" w:eastAsia="Times New Roman" w:hAnsi="Times New Roman"/>
          <w:sz w:val="18"/>
          <w:szCs w:val="18"/>
          <w:color w:val="auto"/>
        </w:rPr>
      </w:pPr>
    </w:p>
    <w:p>
      <w:pPr>
        <w:ind w:left="1440" w:right="7559" w:hanging="494"/>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-330835</wp:posOffset>
            </wp:positionV>
            <wp:extent cx="63290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-673735</wp:posOffset>
            </wp:positionV>
            <wp:extent cx="63290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-1428750</wp:posOffset>
            </wp:positionV>
            <wp:extent cx="63290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-2045970</wp:posOffset>
            </wp:positionV>
            <wp:extent cx="63290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08" w:lineRule="exact"/>
        <w:rPr>
          <w:sz w:val="20"/>
          <w:szCs w:val="20"/>
          <w:color w:val="auto"/>
        </w:rPr>
      </w:pPr>
    </w:p>
    <w:p>
      <w:pPr>
        <w:ind w:left="1440" w:hanging="494"/>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103"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ectPr>
          <w:pgSz w:w="11900" w:h="16838" w:orient="portrait"/>
          <w:cols w:equalWidth="0" w:num="1">
            <w:col w:w="10159"/>
          </w:cols>
          <w:pgMar w:left="300" w:top="125" w:right="1440" w:bottom="0" w:gutter="0" w:footer="0" w:header="0"/>
          <w:type w:val="continuous"/>
        </w:sectPr>
      </w:pPr>
    </w:p>
    <w:bookmarkStart w:id="4" w:name="page5"/>
    <w:bookmarkEnd w:id="4"/>
    <w:p>
      <w:pPr>
        <w:ind w:left="1440" w:hanging="494"/>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103"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74" w:lineRule="exact"/>
        <w:rPr>
          <w:rFonts w:ascii="Times New Roman" w:cs="Times New Roman" w:eastAsia="Times New Roman" w:hAnsi="Times New Roman"/>
          <w:sz w:val="18"/>
          <w:szCs w:val="18"/>
          <w:color w:val="auto"/>
        </w:rPr>
      </w:pPr>
    </w:p>
    <w:p>
      <w:pPr>
        <w:ind w:left="1440" w:hanging="494"/>
        <w:spacing w:after="0" w:line="207" w:lineRule="exact"/>
        <w:tabs>
          <w:tab w:leader="none" w:pos="14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§240.13d-1(b)(1)(ii)(E);</w:t>
      </w:r>
    </w:p>
    <w:p>
      <w:pPr>
        <w:spacing w:after="0" w:line="132"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103"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103"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savings associations as defined in Section 3(b) of the Federal Deposit Insurance Act (12 U.S.C. 1813);</w:t>
      </w:r>
    </w:p>
    <w:p>
      <w:pPr>
        <w:spacing w:after="0" w:line="103" w:lineRule="exact"/>
        <w:rPr>
          <w:rFonts w:ascii="Times New Roman" w:cs="Times New Roman" w:eastAsia="Times New Roman" w:hAnsi="Times New Roman"/>
          <w:sz w:val="18"/>
          <w:szCs w:val="18"/>
          <w:color w:val="auto"/>
        </w:rPr>
      </w:pPr>
    </w:p>
    <w:p>
      <w:pPr>
        <w:ind w:left="1960" w:right="80" w:hanging="1014"/>
        <w:spacing w:after="0" w:line="282" w:lineRule="auto"/>
        <w:tabs>
          <w:tab w:leader="none" w:pos="14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40" w:lineRule="exact"/>
        <w:rPr>
          <w:rFonts w:ascii="Times New Roman" w:cs="Times New Roman" w:eastAsia="Times New Roman" w:hAnsi="Times New Roman"/>
          <w:sz w:val="18"/>
          <w:szCs w:val="18"/>
          <w:color w:val="auto"/>
        </w:rPr>
      </w:pPr>
    </w:p>
    <w:p>
      <w:pPr>
        <w:ind w:left="1440" w:hanging="494"/>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§240.13d-1(b)(1)(ii)(J).</w:t>
      </w:r>
    </w:p>
    <w:p>
      <w:pPr>
        <w:spacing w:after="0" w:line="1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75565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04" w:lineRule="exact"/>
        <w:rPr>
          <w:sz w:val="20"/>
          <w:szCs w:val="20"/>
          <w:color w:val="auto"/>
        </w:rPr>
      </w:pPr>
    </w:p>
    <w:p>
      <w:pPr>
        <w:ind w:left="1600" w:hanging="394"/>
        <w:spacing w:after="0"/>
        <w:tabs>
          <w:tab w:leader="none" w:pos="1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2,343,300 shares of Common Stock</w:t>
      </w:r>
    </w:p>
    <w:p>
      <w:pPr>
        <w:spacing w:after="0" w:line="98" w:lineRule="exact"/>
        <w:rPr>
          <w:rFonts w:ascii="Times New Roman" w:cs="Times New Roman" w:eastAsia="Times New Roman" w:hAnsi="Times New Roman"/>
          <w:sz w:val="18"/>
          <w:szCs w:val="18"/>
          <w:color w:val="auto"/>
        </w:rPr>
      </w:pPr>
    </w:p>
    <w:p>
      <w:pPr>
        <w:ind w:left="1600" w:hanging="400"/>
        <w:spacing w:after="0"/>
        <w:tabs>
          <w:tab w:leader="none" w:pos="1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w:t>
      </w:r>
    </w:p>
    <w:p>
      <w:pPr>
        <w:spacing w:after="0" w:line="98" w:lineRule="exact"/>
        <w:rPr>
          <w:rFonts w:ascii="Times New Roman" w:cs="Times New Roman" w:eastAsia="Times New Roman" w:hAnsi="Times New Roman"/>
          <w:sz w:val="18"/>
          <w:szCs w:val="18"/>
          <w:color w:val="auto"/>
        </w:rPr>
      </w:pPr>
    </w:p>
    <w:p>
      <w:pPr>
        <w:ind w:left="1600" w:hanging="394"/>
        <w:spacing w:after="0"/>
        <w:tabs>
          <w:tab w:leader="none" w:pos="1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220" w:right="6260" w:hanging="453"/>
        <w:spacing w:after="0" w:line="313" w:lineRule="auto"/>
        <w:tabs>
          <w:tab w:leader="none" w:pos="22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to direct the vote 2,343,300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-2540</wp:posOffset>
            </wp:positionV>
            <wp:extent cx="58400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-346075</wp:posOffset>
            </wp:positionV>
            <wp:extent cx="62344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-551815</wp:posOffset>
            </wp:positionV>
            <wp:extent cx="62344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-894715</wp:posOffset>
            </wp:positionV>
            <wp:extent cx="62344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10" w:lineRule="exact"/>
        <w:rPr>
          <w:sz w:val="20"/>
          <w:szCs w:val="20"/>
          <w:color w:val="auto"/>
        </w:rPr>
      </w:pPr>
    </w:p>
    <w:p>
      <w:pPr>
        <w:ind w:left="2220" w:right="6080" w:hanging="478"/>
        <w:spacing w:after="0" w:line="282" w:lineRule="auto"/>
        <w:tabs>
          <w:tab w:leader="none" w:pos="2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11430</wp:posOffset>
            </wp:positionV>
            <wp:extent cx="58400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4" w:lineRule="exact"/>
        <w:rPr>
          <w:sz w:val="20"/>
          <w:szCs w:val="20"/>
          <w:color w:val="auto"/>
        </w:rPr>
      </w:pPr>
    </w:p>
    <w:p>
      <w:pPr>
        <w:ind w:left="2220" w:right="5360" w:hanging="503"/>
        <w:spacing w:after="0" w:line="282" w:lineRule="auto"/>
        <w:tabs>
          <w:tab w:leader="none" w:pos="2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2,343,300 shares of Common Stock</w:t>
      </w:r>
    </w:p>
    <w:p>
      <w:pPr>
        <w:spacing w:after="0" w:line="53" w:lineRule="exact"/>
        <w:rPr>
          <w:rFonts w:ascii="Times New Roman" w:cs="Times New Roman" w:eastAsia="Times New Roman" w:hAnsi="Times New Roman"/>
          <w:sz w:val="18"/>
          <w:szCs w:val="18"/>
          <w:color w:val="auto"/>
        </w:rPr>
      </w:pPr>
    </w:p>
    <w:p>
      <w:pPr>
        <w:ind w:left="2220" w:right="5180" w:hanging="498"/>
        <w:spacing w:after="0" w:line="282" w:lineRule="auto"/>
        <w:tabs>
          <w:tab w:leader="none" w:pos="2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11430</wp:posOffset>
            </wp:positionV>
            <wp:extent cx="5840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-330835</wp:posOffset>
            </wp:positionV>
            <wp:extent cx="58400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08"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6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0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1120" w:hanging="1120"/>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0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0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jc w:val="both"/>
        <w:ind w:left="1120" w:right="2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75565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ectPr>
          <w:pgSz w:w="11900" w:h="16838" w:orient="portrait"/>
          <w:cols w:equalWidth="0" w:num="1">
            <w:col w:w="11280"/>
          </w:cols>
          <w:pgMar w:left="300" w:top="121" w:right="319" w:bottom="148" w:gutter="0" w:footer="0" w:header="0"/>
        </w:sectPr>
      </w:pPr>
    </w:p>
    <w:bookmarkStart w:id="5" w:name="page6"/>
    <w:bookmarkEnd w:id="5"/>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2005</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AEW CAPITAL MANAGEMENT, L.P.</w:t>
      </w:r>
    </w:p>
    <w:p>
      <w:pPr>
        <w:spacing w:after="0" w:line="207"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AEW Capital Management, Inc., its</w:t>
            </w:r>
          </w:p>
        </w:tc>
      </w:tr>
      <w:tr>
        <w:trPr>
          <w:trHeight w:val="234"/>
        </w:trPr>
        <w:tc>
          <w:tcPr>
            <w:tcW w:w="340" w:type="dxa"/>
            <w:vAlign w:val="bottom"/>
          </w:tcPr>
          <w:p>
            <w:pPr>
              <w:spacing w:after="0"/>
              <w:rPr>
                <w:sz w:val="20"/>
                <w:szCs w:val="20"/>
                <w:color w:val="auto"/>
              </w:rPr>
            </w:pPr>
          </w:p>
        </w:tc>
        <w:tc>
          <w:tcPr>
            <w:tcW w:w="45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40" w:type="dxa"/>
            <w:vAlign w:val="bottom"/>
          </w:tcPr>
          <w:p>
            <w:pPr>
              <w:spacing w:after="0"/>
              <w:rPr>
                <w:sz w:val="16"/>
                <w:szCs w:val="16"/>
                <w:color w:val="auto"/>
              </w:rPr>
            </w:pPr>
          </w:p>
        </w:tc>
        <w:tc>
          <w:tcPr>
            <w:tcW w:w="45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4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64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AEW CAPITAL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40" w:type="dxa"/>
            <w:vAlign w:val="bottom"/>
          </w:tcPr>
          <w:p>
            <w:pPr>
              <w:spacing w:after="0"/>
              <w:rPr>
                <w:sz w:val="16"/>
                <w:szCs w:val="16"/>
                <w:color w:val="auto"/>
              </w:rPr>
            </w:pPr>
          </w:p>
        </w:tc>
        <w:tc>
          <w:tcPr>
            <w:tcW w:w="45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4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AEW MANAGEMENT AND ADVISORS, L.P.</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AEW INVESTMENT GROUP, Inc., its</w:t>
            </w:r>
          </w:p>
        </w:tc>
      </w:tr>
      <w:tr>
        <w:trPr>
          <w:trHeight w:val="234"/>
        </w:trPr>
        <w:tc>
          <w:tcPr>
            <w:tcW w:w="340" w:type="dxa"/>
            <w:vAlign w:val="bottom"/>
          </w:tcPr>
          <w:p>
            <w:pPr>
              <w:spacing w:after="0"/>
              <w:rPr>
                <w:sz w:val="20"/>
                <w:szCs w:val="20"/>
                <w:color w:val="auto"/>
              </w:rPr>
            </w:pPr>
          </w:p>
        </w:tc>
        <w:tc>
          <w:tcPr>
            <w:tcW w:w="45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40" w:type="dxa"/>
            <w:vAlign w:val="bottom"/>
          </w:tcPr>
          <w:p>
            <w:pPr>
              <w:spacing w:after="0"/>
              <w:rPr>
                <w:sz w:val="16"/>
                <w:szCs w:val="16"/>
                <w:color w:val="auto"/>
              </w:rPr>
            </w:pPr>
          </w:p>
        </w:tc>
        <w:tc>
          <w:tcPr>
            <w:tcW w:w="45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4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64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AEW INVESTMENT GROUP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40" w:type="dxa"/>
            <w:vAlign w:val="bottom"/>
          </w:tcPr>
          <w:p>
            <w:pPr>
              <w:spacing w:after="0"/>
              <w:rPr>
                <w:sz w:val="16"/>
                <w:szCs w:val="16"/>
                <w:color w:val="auto"/>
              </w:rPr>
            </w:pPr>
          </w:p>
        </w:tc>
        <w:tc>
          <w:tcPr>
            <w:tcW w:w="45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4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of Federal Realty Investment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11th day of February,</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AEW CAPITAL MANAGEMENT, L.P.</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AEW Capital Management, Inc., its</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tbl>
      <w:tblPr>
        <w:tblLayout w:type="fixed"/>
        <w:tblInd w:w="65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60" w:type="dxa"/>
            <w:vAlign w:val="bottom"/>
          </w:tcPr>
          <w:p>
            <w:pPr>
              <w:spacing w:after="0"/>
              <w:rPr>
                <w:sz w:val="16"/>
                <w:szCs w:val="16"/>
                <w:color w:val="auto"/>
              </w:rPr>
            </w:pPr>
          </w:p>
        </w:tc>
        <w:tc>
          <w:tcPr>
            <w:tcW w:w="456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60" w:type="dxa"/>
            <w:vAlign w:val="bottom"/>
          </w:tcPr>
          <w:p>
            <w:pPr>
              <w:spacing w:after="0"/>
              <w:rPr>
                <w:sz w:val="20"/>
                <w:szCs w:val="20"/>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AEW CAPITAL MANAGEMENT, INC.</w:t>
      </w:r>
    </w:p>
    <w:p>
      <w:pPr>
        <w:spacing w:after="0" w:line="225" w:lineRule="exact"/>
        <w:rPr>
          <w:sz w:val="20"/>
          <w:szCs w:val="20"/>
          <w:color w:val="auto"/>
        </w:rPr>
      </w:pPr>
    </w:p>
    <w:tbl>
      <w:tblPr>
        <w:tblLayout w:type="fixed"/>
        <w:tblInd w:w="65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60" w:type="dxa"/>
            <w:vAlign w:val="bottom"/>
          </w:tcPr>
          <w:p>
            <w:pPr>
              <w:spacing w:after="0"/>
              <w:rPr>
                <w:sz w:val="16"/>
                <w:szCs w:val="16"/>
                <w:color w:val="auto"/>
              </w:rPr>
            </w:pPr>
          </w:p>
        </w:tc>
        <w:tc>
          <w:tcPr>
            <w:tcW w:w="456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60" w:type="dxa"/>
            <w:vAlign w:val="bottom"/>
          </w:tcPr>
          <w:p>
            <w:pPr>
              <w:spacing w:after="0"/>
              <w:rPr>
                <w:sz w:val="20"/>
                <w:szCs w:val="20"/>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AEW MANAGEMENT AND ADVISORS, L.P.</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AEW Investment Group, Inc., its</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tbl>
      <w:tblPr>
        <w:tblLayout w:type="fixed"/>
        <w:tblInd w:w="65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James J. Finnegan</w:t>
            </w:r>
          </w:p>
        </w:tc>
      </w:tr>
      <w:tr>
        <w:trPr>
          <w:trHeight w:val="191"/>
        </w:trPr>
        <w:tc>
          <w:tcPr>
            <w:tcW w:w="360" w:type="dxa"/>
            <w:vAlign w:val="bottom"/>
          </w:tcPr>
          <w:p>
            <w:pPr>
              <w:spacing w:after="0"/>
              <w:rPr>
                <w:sz w:val="16"/>
                <w:szCs w:val="16"/>
                <w:color w:val="auto"/>
              </w:rPr>
            </w:pPr>
          </w:p>
        </w:tc>
        <w:tc>
          <w:tcPr>
            <w:tcW w:w="456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Name: James J. Finnegan</w:t>
            </w:r>
          </w:p>
        </w:tc>
      </w:tr>
      <w:tr>
        <w:trPr>
          <w:trHeight w:val="234"/>
        </w:trPr>
        <w:tc>
          <w:tcPr>
            <w:tcW w:w="360" w:type="dxa"/>
            <w:vAlign w:val="bottom"/>
          </w:tcPr>
          <w:p>
            <w:pPr>
              <w:spacing w:after="0"/>
              <w:rPr>
                <w:sz w:val="20"/>
                <w:szCs w:val="20"/>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AEW INVESTMENT GROUP, INC.</w:t>
      </w:r>
    </w:p>
    <w:p>
      <w:pPr>
        <w:spacing w:after="0" w:line="225" w:lineRule="exact"/>
        <w:rPr>
          <w:sz w:val="20"/>
          <w:szCs w:val="20"/>
          <w:color w:val="auto"/>
        </w:rPr>
      </w:pPr>
    </w:p>
    <w:p>
      <w:pPr>
        <w:ind w:left="650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43" w:orient="portrait"/>
          <w:cols w:equalWidth="0" w:num="1">
            <w:col w:w="11420"/>
          </w:cols>
          <w:pgMar w:left="240" w:top="121" w:right="239" w:bottom="0" w:gutter="0" w:footer="0" w:header="0"/>
        </w:sectPr>
      </w:pPr>
    </w:p>
    <w:bookmarkStart w:id="6" w:name="page7"/>
    <w:bookmarkEnd w:id="6"/>
    <w:p>
      <w:pPr>
        <w:ind w:left="6020"/>
        <w:spacing w:after="0"/>
        <w:rPr>
          <w:sz w:val="20"/>
          <w:szCs w:val="20"/>
          <w:color w:val="auto"/>
        </w:rPr>
      </w:pPr>
      <w:r>
        <w:rPr>
          <w:rFonts w:ascii="Times New Roman" w:cs="Times New Roman" w:eastAsia="Times New Roman" w:hAnsi="Times New Roman"/>
          <w:sz w:val="18"/>
          <w:szCs w:val="18"/>
          <w:color w:val="auto"/>
        </w:rPr>
        <w:t>Name: James J. Finnegan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1"/>
    </w:lvl>
    <w:lvl w:ilvl="1">
      <w:lvlJc w:val="left"/>
      <w:lvlText w:val="%2."/>
      <w:numFmt w:val="decimal"/>
      <w:start w:val="7"/>
    </w:lvl>
  </w:abstractNum>
  <w:abstractNum w:abstractNumId="3">
    <w:nsid w:val="1F16E9E8"/>
    <w:multiLevelType w:val="hybridMultilevel"/>
    <w:lvl w:ilvl="0">
      <w:lvlJc w:val="left"/>
      <w:lvlText w:val="%1."/>
      <w:numFmt w:val="decimal"/>
      <w:start w:val="9"/>
    </w:lvl>
    <w:lvl w:ilvl="1">
      <w:lvlJc w:val="left"/>
      <w:lvlText w:val="%2"/>
      <w:numFmt w:val="decimal"/>
      <w:start w:val="1"/>
    </w:lvl>
  </w:abstractNum>
  <w:abstractNum w:abstractNumId="4">
    <w:nsid w:val="1190CDE7"/>
    <w:multiLevelType w:val="hybridMultilevel"/>
    <w:lvl w:ilvl="0">
      <w:lvlJc w:val="left"/>
      <w:lvlText w:val="%1."/>
      <w:numFmt w:val="decimal"/>
      <w:start w:val="1"/>
    </w:lvl>
    <w:lvl w:ilvl="1">
      <w:lvlJc w:val="left"/>
      <w:lvlText w:val="(%2)"/>
      <w:numFmt w:val="lowerLetter"/>
      <w:start w:val="1"/>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decimal"/>
      <w:start w:val="1"/>
    </w:lvl>
    <w:lvl w:ilvl="1">
      <w:lvlJc w:val="left"/>
      <w:lvlText w:val="(%2)"/>
      <w:numFmt w:val="lowerLetter"/>
      <w:start w:val="1"/>
    </w:lvl>
  </w:abstractNum>
  <w:abstractNum w:abstractNumId="7">
    <w:nsid w:val="3352255A"/>
    <w:multiLevelType w:val="hybridMultilevel"/>
    <w:lvl w:ilvl="0">
      <w:lvlJc w:val="left"/>
      <w:lvlText w:val="%1."/>
      <w:numFmt w:val="decimal"/>
      <w:start w:val="9"/>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lowerRoman"/>
      <w:start w:val="2"/>
    </w:lvl>
  </w:abstractNum>
  <w:abstractNum w:abstractNumId="17">
    <w:nsid w:val="431BD7B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2019-12-13T00:50:01Z</dcterms:created>
  <dcterms:modified xsi:type="dcterms:W3CDTF">2019-12-13T00:50:01Z</dcterms:modified>
</cp:coreProperties>
</file>