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59"/>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959"/>
        <w:spacing w:after="0" w:line="236" w:lineRule="auto"/>
        <w:rPr>
          <w:sz w:val="20"/>
          <w:szCs w:val="20"/>
          <w:color w:val="auto"/>
        </w:rPr>
      </w:pPr>
      <w:r>
        <w:rPr>
          <w:rFonts w:ascii="Courier New" w:cs="Courier New" w:eastAsia="Courier New" w:hAnsi="Courier New"/>
          <w:sz w:val="16"/>
          <w:szCs w:val="16"/>
          <w:color w:val="auto"/>
        </w:rPr>
        <w:t>Washington, D.C. 20549</w:t>
      </w:r>
    </w:p>
    <w:p>
      <w:pPr>
        <w:spacing w:after="0" w:line="356"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6"/>
          <w:szCs w:val="16"/>
          <w:color w:val="auto"/>
        </w:rPr>
        <w:t>FORM 8-K</w:t>
      </w:r>
    </w:p>
    <w:p>
      <w:pPr>
        <w:spacing w:after="0" w:line="177"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CURRENT REPORT</w:t>
      </w:r>
    </w:p>
    <w:p>
      <w:pPr>
        <w:spacing w:after="0" w:line="362" w:lineRule="exact"/>
        <w:rPr>
          <w:sz w:val="24"/>
          <w:szCs w:val="24"/>
          <w:color w:val="auto"/>
        </w:rPr>
      </w:pPr>
    </w:p>
    <w:p>
      <w:pPr>
        <w:ind w:right="3719"/>
        <w:spacing w:after="0" w:line="234" w:lineRule="auto"/>
        <w:rPr>
          <w:sz w:val="20"/>
          <w:szCs w:val="20"/>
          <w:color w:val="auto"/>
        </w:rPr>
      </w:pPr>
      <w:r>
        <w:rPr>
          <w:rFonts w:ascii="Courier New" w:cs="Courier New" w:eastAsia="Courier New" w:hAnsi="Courier New"/>
          <w:sz w:val="16"/>
          <w:szCs w:val="16"/>
          <w:color w:val="auto"/>
        </w:rPr>
        <w:t>Pursuant to Section 13 or 15(d) of the Securities Exchange Act of 1934 Date of Report: March 5, 1997</w:t>
      </w:r>
    </w:p>
    <w:p>
      <w:pPr>
        <w:spacing w:after="0" w:line="356"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FEDERAL REALTY INVESTMENT TRUST</w:t>
      </w:r>
    </w:p>
    <w:p>
      <w:pPr>
        <w:ind w:left="2220"/>
        <w:spacing w:after="0" w:line="236" w:lineRule="auto"/>
        <w:rPr>
          <w:sz w:val="20"/>
          <w:szCs w:val="20"/>
          <w:color w:val="auto"/>
        </w:rPr>
      </w:pPr>
      <w:r>
        <w:rPr>
          <w:rFonts w:ascii="Courier New" w:cs="Courier New" w:eastAsia="Courier New" w:hAnsi="Courier New"/>
          <w:sz w:val="16"/>
          <w:szCs w:val="16"/>
          <w:color w:val="auto"/>
        </w:rPr>
        <w:t>-------------------------------</w:t>
      </w:r>
    </w:p>
    <w:p>
      <w:pPr>
        <w:ind w:left="1120"/>
        <w:spacing w:after="0" w:line="237" w:lineRule="auto"/>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356" w:lineRule="exact"/>
        <w:rPr>
          <w:sz w:val="24"/>
          <w:szCs w:val="24"/>
          <w:color w:val="auto"/>
        </w:rPr>
      </w:pPr>
    </w:p>
    <w:tbl>
      <w:tblPr>
        <w:tblLayout w:type="fixed"/>
        <w:tblInd w:w="560" w:type="dxa"/>
        <w:tblCellMar>
          <w:top w:w="0" w:type="dxa"/>
          <w:left w:w="0" w:type="dxa"/>
          <w:bottom w:w="0" w:type="dxa"/>
          <w:right w:w="0" w:type="dxa"/>
        </w:tblCellMar>
      </w:tblPr>
      <w:tr>
        <w:trPr>
          <w:trHeight w:val="181"/>
        </w:trPr>
        <w:tc>
          <w:tcPr>
            <w:tcW w:w="2360" w:type="dxa"/>
            <w:vAlign w:val="bottom"/>
          </w:tcPr>
          <w:p>
            <w:pPr>
              <w:spacing w:after="0"/>
              <w:rPr>
                <w:sz w:val="20"/>
                <w:szCs w:val="20"/>
                <w:color w:val="auto"/>
              </w:rPr>
            </w:pPr>
            <w:r>
              <w:rPr>
                <w:rFonts w:ascii="Courier New" w:cs="Courier New" w:eastAsia="Courier New" w:hAnsi="Courier New"/>
                <w:sz w:val="16"/>
                <w:szCs w:val="16"/>
                <w:color w:val="auto"/>
              </w:rPr>
              <w:t>District of Columbia</w:t>
            </w:r>
          </w:p>
        </w:tc>
        <w:tc>
          <w:tcPr>
            <w:tcW w:w="192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1-7533</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52-0782497</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7" w:lineRule="exact"/>
        <w:rPr>
          <w:sz w:val="24"/>
          <w:szCs w:val="24"/>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(State or other jurisdiction (Commission (I.R.S. Employer of incorporation) File Number) Identification No.)</w:t>
      </w:r>
    </w:p>
    <w:p>
      <w:pPr>
        <w:spacing w:after="0" w:line="356" w:lineRule="exact"/>
        <w:rPr>
          <w:sz w:val="24"/>
          <w:szCs w:val="24"/>
          <w:color w:val="auto"/>
        </w:rPr>
      </w:pPr>
    </w:p>
    <w:p>
      <w:pPr>
        <w:ind w:left="1020"/>
        <w:spacing w:after="0"/>
        <w:tabs>
          <w:tab w:leader="none" w:pos="5640" w:val="left"/>
        </w:tabs>
        <w:rPr>
          <w:sz w:val="20"/>
          <w:szCs w:val="20"/>
          <w:color w:val="auto"/>
        </w:rPr>
      </w:pPr>
      <w:r>
        <w:rPr>
          <w:rFonts w:ascii="Courier New" w:cs="Courier New" w:eastAsia="Courier New" w:hAnsi="Courier New"/>
          <w:sz w:val="16"/>
          <w:szCs w:val="16"/>
          <w:color w:val="auto"/>
        </w:rPr>
        <w:t>1626 East Jefferson Street, Rockville, Maryland</w:t>
      </w:r>
      <w:r>
        <w:rPr>
          <w:sz w:val="20"/>
          <w:szCs w:val="20"/>
          <w:color w:val="auto"/>
        </w:rPr>
        <w:tab/>
      </w:r>
      <w:r>
        <w:rPr>
          <w:rFonts w:ascii="Courier New" w:cs="Courier New" w:eastAsia="Courier New" w:hAnsi="Courier New"/>
          <w:sz w:val="14"/>
          <w:szCs w:val="14"/>
          <w:color w:val="auto"/>
        </w:rPr>
        <w:t>20852-4041</w:t>
      </w:r>
    </w:p>
    <w:p>
      <w:pPr>
        <w:ind w:left="1020"/>
        <w:spacing w:after="0" w:line="236" w:lineRule="auto"/>
        <w:rPr>
          <w:sz w:val="20"/>
          <w:szCs w:val="20"/>
          <w:color w:val="auto"/>
        </w:rPr>
      </w:pPr>
      <w:r>
        <w:rPr>
          <w:rFonts w:ascii="Courier New" w:cs="Courier New" w:eastAsia="Courier New" w:hAnsi="Courier New"/>
          <w:sz w:val="16"/>
          <w:szCs w:val="16"/>
          <w:color w:val="auto"/>
        </w:rPr>
        <w:t>-------------------------------------------------------------</w:t>
      </w:r>
    </w:p>
    <w:p>
      <w:pPr>
        <w:ind w:left="1200"/>
        <w:spacing w:after="0"/>
        <w:tabs>
          <w:tab w:leader="none" w:pos="5560"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5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 301/998-8100</w:t>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 Index appears on page 5.</w:t>
      </w:r>
    </w:p>
    <w:p>
      <w:pPr>
        <w:sectPr>
          <w:pgSz w:w="11900" w:h="16838" w:orient="portrait"/>
          <w:cols w:equalWidth="0" w:num="1">
            <w:col w:w="10219"/>
          </w:cols>
          <w:pgMar w:left="240" w:top="58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Item 5. OTHER EVENTS</w:t>
      </w:r>
    </w:p>
    <w:p>
      <w:pPr>
        <w:spacing w:after="0" w:line="183" w:lineRule="exact"/>
        <w:rPr>
          <w:sz w:val="20"/>
          <w:szCs w:val="20"/>
          <w:color w:val="auto"/>
        </w:rPr>
      </w:pPr>
    </w:p>
    <w:p>
      <w:pPr>
        <w:ind w:right="3059" w:firstLine="465"/>
        <w:spacing w:after="0" w:line="235" w:lineRule="auto"/>
        <w:rPr>
          <w:sz w:val="20"/>
          <w:szCs w:val="20"/>
          <w:color w:val="auto"/>
        </w:rPr>
      </w:pPr>
      <w:r>
        <w:rPr>
          <w:rFonts w:ascii="Courier New" w:cs="Courier New" w:eastAsia="Courier New" w:hAnsi="Courier New"/>
          <w:sz w:val="16"/>
          <w:szCs w:val="16"/>
          <w:color w:val="auto"/>
        </w:rPr>
        <w:t>During the eight months from January 1, 1997 through August 31, 1997, Federal Realty Investment Trust (the "Trust") purchased two shopping centers, seven main street retail buildings and two parcels of land for future development.</w:t>
      </w:r>
    </w:p>
    <w:p>
      <w:pPr>
        <w:spacing w:after="0" w:line="185"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4"/>
          <w:szCs w:val="14"/>
          <w:color w:val="auto"/>
        </w:rPr>
        <w:t>On March 5, 1997 the Trust, through a Limited Liability Company ( "the LLC") organized by the Trust, purchased the 320,000 square foot San Jose Town &amp; Country Village Shopping Center in San Jose, California for $42.8 million. The other member of the LLC has a minor interest in the profits. On March 31, 1997 the 159,000 square foot Pike 7 Shopping Center in Tysons Corner, Virginia was purchased for $31.5 million by a partnership formed to own the center. The Trust contributed $30.9 million to the partnership which was used to pay existing debt on the center. The other partners contributed the shopping center and its existing debt in exchange for partnership units valued at $495,000 which are exchangeable, at the option of the Trust, for cash or 18,074 common shares of the Trust. On April 17, 1997 Street Retail West II, a partnership which was organized in December 1996, exercised its purchase option on a retail building in Santa Monica, California. The total cost, including the buyout of the existing tenant, was $7.1 million. In accordance with the provisions of the partnership agreement, the Trust contributed 90% of the costs to the partnership with the other 10% being contributed by the minority interests. The Trust funded its share of the acquisition of these three properties (the "Acquired Properties") with borrowings under its revolving credit facilities. Financial statements and pro forma financial information on the "Acquired Properties" are submitted in Item 7 of this report.</w:t>
      </w:r>
    </w:p>
    <w:p>
      <w:pPr>
        <w:spacing w:after="0" w:line="200" w:lineRule="exact"/>
        <w:rPr>
          <w:sz w:val="20"/>
          <w:szCs w:val="20"/>
          <w:color w:val="auto"/>
        </w:rPr>
      </w:pPr>
    </w:p>
    <w:p>
      <w:pPr>
        <w:spacing w:after="0" w:line="321"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Financial statements for the four properties described below are not available; however, none of these four buildings, individually, nor the four in the aggregate are significant. On January 22, 1997 the Trust purchased a 5,000 square foot main street retail building in Chicago, Illinois for cash of $4.2 million. On March 31, 1997 two partnerships were formed to purchase property in California. One of the partnerships purchased a 15,000 square foot building in Santa Monica, California for $4.0 million and the other purchased a 20,000 square foot building in San Diego, California for $850,000. In accordance with the provisions of the two partnership agreements, the Trust contributed 90% of the costs to the partnerships with the other 10% being contributed by the minority interests.</w:t>
      </w:r>
    </w:p>
    <w:p>
      <w:pPr>
        <w:spacing w:after="0" w:line="186"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On August 28, 1997 the Trust, through a second Limited Liability Company (Street Retail Forest Hills I,LLC, "SRFHI") organized by the Trust, purchased three main street retail properties in Forest Hills, New York for a total cost of approximately $12.6 million. The Trust contributed $11.4 million of the cost with the remaining cost of $1.2 million being</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48" w:right="1440" w:bottom="1440" w:gutter="0" w:footer="0" w:header="0"/>
        </w:sectPr>
      </w:pPr>
    </w:p>
    <w:bookmarkStart w:id="2" w:name="page3"/>
    <w:bookmarkEnd w:id="2"/>
    <w:p>
      <w:pPr>
        <w:ind w:right="2779"/>
        <w:spacing w:after="0" w:line="235" w:lineRule="auto"/>
        <w:rPr>
          <w:sz w:val="20"/>
          <w:szCs w:val="20"/>
          <w:color w:val="auto"/>
        </w:rPr>
      </w:pPr>
      <w:r>
        <w:rPr>
          <w:rFonts w:ascii="Courier New" w:cs="Courier New" w:eastAsia="Courier New" w:hAnsi="Courier New"/>
          <w:sz w:val="16"/>
          <w:szCs w:val="16"/>
          <w:color w:val="auto"/>
        </w:rPr>
        <w:t>contributed by the minority interest. Two of the properties with a cost of $8.9 million were occupied by their owners prior to the acquisition and are therefore not classified as real estate operations and consequently financial statements are not presented.</w:t>
      </w:r>
    </w:p>
    <w:p>
      <w:pPr>
        <w:spacing w:after="0" w:line="185" w:lineRule="exact"/>
        <w:rPr>
          <w:sz w:val="20"/>
          <w:szCs w:val="20"/>
          <w:color w:val="auto"/>
        </w:rPr>
      </w:pPr>
    </w:p>
    <w:p>
      <w:pPr>
        <w:ind w:right="3059" w:firstLine="465"/>
        <w:spacing w:after="0" w:line="234" w:lineRule="auto"/>
        <w:rPr>
          <w:sz w:val="20"/>
          <w:szCs w:val="20"/>
          <w:color w:val="auto"/>
        </w:rPr>
      </w:pPr>
      <w:r>
        <w:rPr>
          <w:rFonts w:ascii="Courier New" w:cs="Courier New" w:eastAsia="Courier New" w:hAnsi="Courier New"/>
          <w:sz w:val="16"/>
          <w:szCs w:val="16"/>
          <w:color w:val="auto"/>
        </w:rPr>
        <w:t>The Trust funded the acquisition of all these properties with borrowings under its revolving credit facilities.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4" w:right="1440" w:bottom="1440" w:gutter="0" w:footer="0" w:header="0"/>
        </w:sectPr>
      </w:pPr>
    </w:p>
    <w:bookmarkStart w:id="3" w:name="page4"/>
    <w:bookmarkEnd w:id="3"/>
    <w:p>
      <w:pPr>
        <w:ind w:left="5"/>
        <w:spacing w:after="0"/>
        <w:rPr>
          <w:sz w:val="20"/>
          <w:szCs w:val="20"/>
          <w:color w:val="auto"/>
        </w:rPr>
      </w:pPr>
      <w:r>
        <w:rPr>
          <w:rFonts w:ascii="Courier New" w:cs="Courier New" w:eastAsia="Courier New" w:hAnsi="Courier New"/>
          <w:sz w:val="16"/>
          <w:szCs w:val="16"/>
          <w:color w:val="auto"/>
        </w:rPr>
        <w:t>ITEM 7. FINANCIAL STATEMENTS AND EXHIBITS</w:t>
      </w:r>
    </w:p>
    <w:p>
      <w:pPr>
        <w:spacing w:after="0" w:line="183" w:lineRule="exact"/>
        <w:rPr>
          <w:sz w:val="20"/>
          <w:szCs w:val="20"/>
          <w:color w:val="auto"/>
        </w:rPr>
      </w:pPr>
    </w:p>
    <w:p>
      <w:pPr>
        <w:ind w:left="5" w:right="3159" w:firstLine="465"/>
        <w:spacing w:after="0" w:line="234" w:lineRule="auto"/>
        <w:rPr>
          <w:sz w:val="20"/>
          <w:szCs w:val="20"/>
          <w:color w:val="auto"/>
        </w:rPr>
      </w:pPr>
      <w:r>
        <w:rPr>
          <w:rFonts w:ascii="Courier New" w:cs="Courier New" w:eastAsia="Courier New" w:hAnsi="Courier New"/>
          <w:sz w:val="16"/>
          <w:szCs w:val="16"/>
          <w:color w:val="auto"/>
        </w:rPr>
        <w:t>The following financial statements, pro forma financial information and exhibits are filed as part of this report:</w:t>
      </w:r>
    </w:p>
    <w:p>
      <w:pPr>
        <w:spacing w:after="0" w:line="183" w:lineRule="exact"/>
        <w:rPr>
          <w:sz w:val="20"/>
          <w:szCs w:val="20"/>
          <w:color w:val="auto"/>
        </w:rPr>
      </w:pPr>
    </w:p>
    <w:p>
      <w:pPr>
        <w:ind w:left="565" w:right="3239" w:hanging="565"/>
        <w:spacing w:after="0" w:line="234" w:lineRule="auto"/>
        <w:tabs>
          <w:tab w:leader="none" w:pos="56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of the real estate operations acquired, prepared pursuant to Rule 3.14 of Regulation S-X:</w:t>
      </w:r>
    </w:p>
    <w:p>
      <w:pPr>
        <w:spacing w:after="0" w:line="356" w:lineRule="exact"/>
        <w:rPr>
          <w:sz w:val="20"/>
          <w:szCs w:val="20"/>
          <w:color w:val="auto"/>
        </w:rPr>
      </w:pPr>
    </w:p>
    <w:tbl>
      <w:tblPr>
        <w:tblLayout w:type="fixed"/>
        <w:tblInd w:w="565" w:type="dxa"/>
        <w:tblCellMar>
          <w:top w:w="0" w:type="dxa"/>
          <w:left w:w="0" w:type="dxa"/>
          <w:bottom w:w="0" w:type="dxa"/>
          <w:right w:w="0" w:type="dxa"/>
        </w:tblCellMar>
      </w:tblPr>
      <w:tr>
        <w:trPr>
          <w:trHeight w:val="181"/>
        </w:trPr>
        <w:tc>
          <w:tcPr>
            <w:tcW w:w="5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r>
      <w:tr>
        <w:trPr>
          <w:trHeight w:val="358"/>
        </w:trPr>
        <w:tc>
          <w:tcPr>
            <w:tcW w:w="5300" w:type="dxa"/>
            <w:vAlign w:val="bottom"/>
          </w:tcPr>
          <w:p>
            <w:pPr>
              <w:spacing w:after="0"/>
              <w:rPr>
                <w:sz w:val="20"/>
                <w:szCs w:val="20"/>
                <w:color w:val="auto"/>
              </w:rPr>
            </w:pPr>
            <w:r>
              <w:rPr>
                <w:rFonts w:ascii="Courier New" w:cs="Courier New" w:eastAsia="Courier New" w:hAnsi="Courier New"/>
                <w:sz w:val="16"/>
                <w:szCs w:val="16"/>
                <w:color w:val="auto"/>
              </w:rPr>
              <w:t>1. Town and Country Village Shopping Center</w:t>
            </w:r>
          </w:p>
        </w:tc>
        <w:tc>
          <w:tcPr>
            <w:tcW w:w="920" w:type="dxa"/>
            <w:vAlign w:val="bottom"/>
          </w:tcPr>
          <w:p>
            <w:pPr>
              <w:spacing w:after="0"/>
              <w:rPr>
                <w:sz w:val="24"/>
                <w:szCs w:val="24"/>
                <w:color w:val="auto"/>
              </w:rPr>
            </w:pPr>
          </w:p>
        </w:tc>
      </w:tr>
      <w:tr>
        <w:trPr>
          <w:trHeight w:val="179"/>
        </w:trPr>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Report of Independent Certified Public Accountants</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w:t>
            </w:r>
          </w:p>
        </w:tc>
      </w:tr>
      <w:tr>
        <w:trPr>
          <w:trHeight w:val="179"/>
        </w:trPr>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Historical Summary of Gross Income and Direct</w:t>
            </w:r>
          </w:p>
        </w:tc>
        <w:tc>
          <w:tcPr>
            <w:tcW w:w="920" w:type="dxa"/>
            <w:vAlign w:val="bottom"/>
          </w:tcPr>
          <w:p>
            <w:pPr>
              <w:spacing w:after="0"/>
              <w:rPr>
                <w:sz w:val="15"/>
                <w:szCs w:val="15"/>
                <w:color w:val="auto"/>
              </w:rPr>
            </w:pPr>
          </w:p>
        </w:tc>
      </w:tr>
      <w:tr>
        <w:trPr>
          <w:trHeight w:val="179"/>
        </w:trPr>
        <w:tc>
          <w:tcPr>
            <w:tcW w:w="53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w:t>
            </w:r>
          </w:p>
        </w:tc>
      </w:tr>
      <w:tr>
        <w:trPr>
          <w:trHeight w:val="358"/>
        </w:trPr>
        <w:tc>
          <w:tcPr>
            <w:tcW w:w="5300" w:type="dxa"/>
            <w:vAlign w:val="bottom"/>
          </w:tcPr>
          <w:p>
            <w:pPr>
              <w:ind w:left="740"/>
              <w:spacing w:after="0"/>
              <w:rPr>
                <w:sz w:val="20"/>
                <w:szCs w:val="20"/>
                <w:color w:val="auto"/>
              </w:rPr>
            </w:pPr>
            <w:r>
              <w:rPr>
                <w:rFonts w:ascii="Courier New" w:cs="Courier New" w:eastAsia="Courier New" w:hAnsi="Courier New"/>
                <w:sz w:val="16"/>
                <w:szCs w:val="16"/>
                <w:color w:val="auto"/>
              </w:rPr>
              <w:t>Notes to Historical Summary of Gross Income</w:t>
            </w:r>
          </w:p>
        </w:tc>
        <w:tc>
          <w:tcPr>
            <w:tcW w:w="920" w:type="dxa"/>
            <w:vAlign w:val="bottom"/>
          </w:tcPr>
          <w:p>
            <w:pPr>
              <w:spacing w:after="0"/>
              <w:rPr>
                <w:sz w:val="24"/>
                <w:szCs w:val="24"/>
                <w:color w:val="auto"/>
              </w:rPr>
            </w:pPr>
          </w:p>
        </w:tc>
      </w:tr>
      <w:tr>
        <w:trPr>
          <w:trHeight w:val="179"/>
        </w:trPr>
        <w:tc>
          <w:tcPr>
            <w:tcW w:w="530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and Direct Operating Expenses</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8-9</w:t>
            </w:r>
          </w:p>
        </w:tc>
      </w:tr>
      <w:tr>
        <w:trPr>
          <w:trHeight w:val="358"/>
        </w:trPr>
        <w:tc>
          <w:tcPr>
            <w:tcW w:w="5300" w:type="dxa"/>
            <w:vAlign w:val="bottom"/>
          </w:tcPr>
          <w:p>
            <w:pPr>
              <w:spacing w:after="0"/>
              <w:rPr>
                <w:sz w:val="20"/>
                <w:szCs w:val="20"/>
                <w:color w:val="auto"/>
              </w:rPr>
            </w:pPr>
            <w:r>
              <w:rPr>
                <w:rFonts w:ascii="Courier New" w:cs="Courier New" w:eastAsia="Courier New" w:hAnsi="Courier New"/>
                <w:sz w:val="16"/>
                <w:szCs w:val="16"/>
                <w:color w:val="auto"/>
              </w:rPr>
              <w:t>2. M &amp; R Associates Limited Partnership</w:t>
            </w:r>
          </w:p>
        </w:tc>
        <w:tc>
          <w:tcPr>
            <w:tcW w:w="920" w:type="dxa"/>
            <w:vAlign w:val="bottom"/>
          </w:tcPr>
          <w:p>
            <w:pPr>
              <w:spacing w:after="0"/>
              <w:rPr>
                <w:sz w:val="24"/>
                <w:szCs w:val="24"/>
                <w:color w:val="auto"/>
              </w:rPr>
            </w:pPr>
          </w:p>
        </w:tc>
      </w:tr>
      <w:tr>
        <w:trPr>
          <w:trHeight w:val="179"/>
        </w:trPr>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Independent Auditor's Report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Statements of Assets, Liabilities and Partners'</w:t>
            </w:r>
          </w:p>
        </w:tc>
        <w:tc>
          <w:tcPr>
            <w:tcW w:w="920" w:type="dxa"/>
            <w:vAlign w:val="bottom"/>
          </w:tcPr>
          <w:p>
            <w:pPr>
              <w:spacing w:after="0"/>
              <w:rPr>
                <w:sz w:val="15"/>
                <w:szCs w:val="15"/>
                <w:color w:val="auto"/>
              </w:rPr>
            </w:pPr>
          </w:p>
        </w:tc>
      </w:tr>
      <w:tr>
        <w:trPr>
          <w:trHeight w:val="179"/>
        </w:trPr>
        <w:tc>
          <w:tcPr>
            <w:tcW w:w="530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Equity Deficiency</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11-12</w:t>
            </w:r>
          </w:p>
        </w:tc>
      </w:tr>
      <w:tr>
        <w:trPr>
          <w:trHeight w:val="179"/>
        </w:trPr>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Statements of Revenue and Expenses</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w:t>
            </w:r>
          </w:p>
        </w:tc>
      </w:tr>
      <w:tr>
        <w:trPr>
          <w:trHeight w:val="179"/>
        </w:trPr>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Statements of Partners' Equity Deficiency</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w:t>
            </w:r>
          </w:p>
        </w:tc>
      </w:tr>
      <w:tr>
        <w:trPr>
          <w:trHeight w:val="179"/>
        </w:trPr>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Statements of Cash Flows</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w:t>
            </w:r>
          </w:p>
        </w:tc>
      </w:tr>
      <w:tr>
        <w:trPr>
          <w:trHeight w:val="179"/>
        </w:trPr>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Notes to Financial Statements</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16-19</w:t>
            </w:r>
          </w:p>
        </w:tc>
      </w:tr>
      <w:tr>
        <w:trPr>
          <w:trHeight w:val="358"/>
        </w:trPr>
        <w:tc>
          <w:tcPr>
            <w:tcW w:w="5300" w:type="dxa"/>
            <w:vAlign w:val="bottom"/>
          </w:tcPr>
          <w:p>
            <w:pPr>
              <w:spacing w:after="0"/>
              <w:rPr>
                <w:sz w:val="20"/>
                <w:szCs w:val="20"/>
                <w:color w:val="auto"/>
              </w:rPr>
            </w:pPr>
            <w:r>
              <w:rPr>
                <w:rFonts w:ascii="Courier New" w:cs="Courier New" w:eastAsia="Courier New" w:hAnsi="Courier New"/>
                <w:sz w:val="16"/>
                <w:szCs w:val="16"/>
                <w:color w:val="auto"/>
              </w:rPr>
              <w:t>3. J.C. Penney Company Building</w:t>
            </w:r>
          </w:p>
        </w:tc>
        <w:tc>
          <w:tcPr>
            <w:tcW w:w="920" w:type="dxa"/>
            <w:vAlign w:val="bottom"/>
          </w:tcPr>
          <w:p>
            <w:pPr>
              <w:spacing w:after="0"/>
              <w:rPr>
                <w:sz w:val="24"/>
                <w:szCs w:val="24"/>
                <w:color w:val="auto"/>
              </w:rPr>
            </w:pPr>
          </w:p>
        </w:tc>
      </w:tr>
      <w:tr>
        <w:trPr>
          <w:trHeight w:val="179"/>
        </w:trPr>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Report of Independent Certified Public Accountants</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w:t>
            </w:r>
          </w:p>
        </w:tc>
      </w:tr>
      <w:tr>
        <w:trPr>
          <w:trHeight w:val="179"/>
        </w:trPr>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Historical Summary of Gross Income and Direct</w:t>
            </w:r>
          </w:p>
        </w:tc>
        <w:tc>
          <w:tcPr>
            <w:tcW w:w="920" w:type="dxa"/>
            <w:vAlign w:val="bottom"/>
          </w:tcPr>
          <w:p>
            <w:pPr>
              <w:spacing w:after="0"/>
              <w:rPr>
                <w:sz w:val="15"/>
                <w:szCs w:val="15"/>
                <w:color w:val="auto"/>
              </w:rPr>
            </w:pPr>
          </w:p>
        </w:tc>
      </w:tr>
      <w:tr>
        <w:trPr>
          <w:trHeight w:val="179"/>
        </w:trPr>
        <w:tc>
          <w:tcPr>
            <w:tcW w:w="530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w:t>
            </w:r>
          </w:p>
        </w:tc>
      </w:tr>
      <w:tr>
        <w:trPr>
          <w:trHeight w:val="179"/>
        </w:trPr>
        <w:tc>
          <w:tcPr>
            <w:tcW w:w="5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Notes to Historical Summary of Gross Income and</w:t>
            </w:r>
          </w:p>
        </w:tc>
        <w:tc>
          <w:tcPr>
            <w:tcW w:w="920" w:type="dxa"/>
            <w:vAlign w:val="bottom"/>
          </w:tcPr>
          <w:p>
            <w:pPr>
              <w:spacing w:after="0"/>
              <w:rPr>
                <w:sz w:val="15"/>
                <w:szCs w:val="15"/>
                <w:color w:val="auto"/>
              </w:rPr>
            </w:pPr>
          </w:p>
        </w:tc>
      </w:tr>
      <w:tr>
        <w:trPr>
          <w:trHeight w:val="179"/>
        </w:trPr>
        <w:tc>
          <w:tcPr>
            <w:tcW w:w="530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Direct Operating Expenses</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22-23</w:t>
            </w:r>
          </w:p>
        </w:tc>
      </w:tr>
    </w:tbl>
    <w:p>
      <w:pPr>
        <w:spacing w:after="0" w:line="362" w:lineRule="exact"/>
        <w:rPr>
          <w:sz w:val="20"/>
          <w:szCs w:val="20"/>
          <w:color w:val="auto"/>
        </w:rPr>
      </w:pPr>
    </w:p>
    <w:p>
      <w:pPr>
        <w:ind w:left="565" w:right="3519" w:hanging="565"/>
        <w:spacing w:after="0" w:line="234" w:lineRule="auto"/>
        <w:tabs>
          <w:tab w:leader="none" w:pos="56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financial information required pursuant to Article 11 of Regulation S-X:</w:t>
      </w:r>
    </w:p>
    <w:p>
      <w:pPr>
        <w:spacing w:after="0" w:line="362" w:lineRule="exact"/>
        <w:rPr>
          <w:sz w:val="20"/>
          <w:szCs w:val="20"/>
          <w:color w:val="auto"/>
        </w:rPr>
      </w:pPr>
    </w:p>
    <w:p>
      <w:pPr>
        <w:ind w:left="845" w:right="3899" w:hanging="286"/>
        <w:spacing w:after="0" w:line="295" w:lineRule="auto"/>
        <w:tabs>
          <w:tab w:leader="none" w:pos="84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Condensed Financial Statements (unaudited) of Federal Realty Investment Trust and the Acquired Properties</w:t>
      </w:r>
    </w:p>
    <w:p>
      <w:pPr>
        <w:spacing w:after="0" w:line="141" w:lineRule="exact"/>
        <w:rPr>
          <w:sz w:val="20"/>
          <w:szCs w:val="20"/>
          <w:color w:val="auto"/>
        </w:rPr>
      </w:pPr>
    </w:p>
    <w:tbl>
      <w:tblPr>
        <w:tblLayout w:type="fixed"/>
        <w:tblInd w:w="845" w:type="dxa"/>
        <w:tblCellMar>
          <w:top w:w="0" w:type="dxa"/>
          <w:left w:w="0" w:type="dxa"/>
          <w:bottom w:w="0" w:type="dxa"/>
          <w:right w:w="0" w:type="dxa"/>
        </w:tblCellMar>
      </w:tblPr>
      <w:tr>
        <w:trPr>
          <w:trHeight w:val="181"/>
        </w:trPr>
        <w:tc>
          <w:tcPr>
            <w:tcW w:w="1800" w:type="dxa"/>
            <w:vAlign w:val="bottom"/>
            <w:gridSpan w:val="2"/>
          </w:tcPr>
          <w:p>
            <w:pPr>
              <w:spacing w:after="0"/>
              <w:rPr>
                <w:sz w:val="20"/>
                <w:szCs w:val="20"/>
                <w:color w:val="auto"/>
              </w:rPr>
            </w:pPr>
            <w:r>
              <w:rPr>
                <w:rFonts w:ascii="Courier New" w:cs="Courier New" w:eastAsia="Courier New" w:hAnsi="Courier New"/>
                <w:sz w:val="16"/>
                <w:szCs w:val="16"/>
                <w:color w:val="auto"/>
                <w:w w:val="97"/>
              </w:rPr>
              <w:t>Pro Forma Condensed</w:t>
            </w:r>
          </w:p>
        </w:tc>
        <w:tc>
          <w:tcPr>
            <w:tcW w:w="3260" w:type="dxa"/>
            <w:vAlign w:val="bottom"/>
          </w:tcPr>
          <w:p>
            <w:pPr>
              <w:ind w:left="60"/>
              <w:spacing w:after="0"/>
              <w:rPr>
                <w:sz w:val="20"/>
                <w:szCs w:val="20"/>
                <w:color w:val="auto"/>
              </w:rPr>
            </w:pPr>
            <w:r>
              <w:rPr>
                <w:rFonts w:ascii="Courier New" w:cs="Courier New" w:eastAsia="Courier New" w:hAnsi="Courier New"/>
                <w:sz w:val="16"/>
                <w:szCs w:val="16"/>
                <w:color w:val="auto"/>
              </w:rPr>
              <w:t>Balance Sheet - June 30, 1997</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58"/>
        </w:trPr>
        <w:tc>
          <w:tcPr>
            <w:tcW w:w="1800" w:type="dxa"/>
            <w:vAlign w:val="bottom"/>
            <w:gridSpan w:val="2"/>
          </w:tcPr>
          <w:p>
            <w:pPr>
              <w:spacing w:after="0"/>
              <w:rPr>
                <w:sz w:val="20"/>
                <w:szCs w:val="20"/>
                <w:color w:val="auto"/>
              </w:rPr>
            </w:pPr>
            <w:r>
              <w:rPr>
                <w:rFonts w:ascii="Courier New" w:cs="Courier New" w:eastAsia="Courier New" w:hAnsi="Courier New"/>
                <w:sz w:val="16"/>
                <w:szCs w:val="16"/>
                <w:color w:val="auto"/>
                <w:w w:val="97"/>
              </w:rPr>
              <w:t>Pro Forma Condensed</w:t>
            </w:r>
          </w:p>
        </w:tc>
        <w:tc>
          <w:tcPr>
            <w:tcW w:w="3260" w:type="dxa"/>
            <w:vAlign w:val="bottom"/>
          </w:tcPr>
          <w:p>
            <w:pPr>
              <w:ind w:left="60"/>
              <w:spacing w:after="0"/>
              <w:rPr>
                <w:sz w:val="20"/>
                <w:szCs w:val="20"/>
                <w:color w:val="auto"/>
              </w:rPr>
            </w:pPr>
            <w:r>
              <w:rPr>
                <w:rFonts w:ascii="Courier New" w:cs="Courier New" w:eastAsia="Courier New" w:hAnsi="Courier New"/>
                <w:sz w:val="16"/>
                <w:szCs w:val="16"/>
                <w:color w:val="auto"/>
              </w:rPr>
              <w:t>Statement of Operations</w:t>
            </w:r>
          </w:p>
        </w:tc>
        <w:tc>
          <w:tcPr>
            <w:tcW w:w="700" w:type="dxa"/>
            <w:vAlign w:val="bottom"/>
          </w:tcPr>
          <w:p>
            <w:pPr>
              <w:spacing w:after="0"/>
              <w:rPr>
                <w:sz w:val="24"/>
                <w:szCs w:val="24"/>
                <w:color w:val="auto"/>
              </w:rPr>
            </w:pPr>
          </w:p>
        </w:tc>
      </w:tr>
      <w:tr>
        <w:trPr>
          <w:trHeight w:val="179"/>
        </w:trPr>
        <w:tc>
          <w:tcPr>
            <w:tcW w:w="18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Year ended December</w:t>
            </w:r>
          </w:p>
        </w:tc>
        <w:tc>
          <w:tcPr>
            <w:tcW w:w="32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31, 1996</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w:t>
            </w:r>
          </w:p>
        </w:tc>
      </w:tr>
      <w:tr>
        <w:trPr>
          <w:trHeight w:val="358"/>
        </w:trPr>
        <w:tc>
          <w:tcPr>
            <w:tcW w:w="320" w:type="dxa"/>
            <w:vAlign w:val="bottom"/>
          </w:tcPr>
          <w:p>
            <w:pPr>
              <w:spacing w:after="0"/>
              <w:rPr>
                <w:sz w:val="20"/>
                <w:szCs w:val="20"/>
                <w:color w:val="auto"/>
              </w:rPr>
            </w:pPr>
            <w:r>
              <w:rPr>
                <w:rFonts w:ascii="Courier New" w:cs="Courier New" w:eastAsia="Courier New" w:hAnsi="Courier New"/>
                <w:sz w:val="16"/>
                <w:szCs w:val="16"/>
                <w:color w:val="auto"/>
              </w:rPr>
              <w:t>Pro</w:t>
            </w: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w w:val="98"/>
              </w:rPr>
              <w:t>Forma Condensed</w:t>
            </w:r>
          </w:p>
        </w:tc>
        <w:tc>
          <w:tcPr>
            <w:tcW w:w="3260" w:type="dxa"/>
            <w:vAlign w:val="bottom"/>
          </w:tcPr>
          <w:p>
            <w:pPr>
              <w:ind w:left="60"/>
              <w:spacing w:after="0"/>
              <w:rPr>
                <w:sz w:val="20"/>
                <w:szCs w:val="20"/>
                <w:color w:val="auto"/>
              </w:rPr>
            </w:pPr>
            <w:r>
              <w:rPr>
                <w:rFonts w:ascii="Courier New" w:cs="Courier New" w:eastAsia="Courier New" w:hAnsi="Courier New"/>
                <w:sz w:val="16"/>
                <w:szCs w:val="16"/>
                <w:color w:val="auto"/>
              </w:rPr>
              <w:t>Statement of Operations</w:t>
            </w:r>
          </w:p>
        </w:tc>
        <w:tc>
          <w:tcPr>
            <w:tcW w:w="700" w:type="dxa"/>
            <w:vAlign w:val="bottom"/>
          </w:tcPr>
          <w:p>
            <w:pPr>
              <w:spacing w:after="0"/>
              <w:rPr>
                <w:sz w:val="24"/>
                <w:szCs w:val="24"/>
                <w:color w:val="auto"/>
              </w:rPr>
            </w:pPr>
          </w:p>
        </w:tc>
      </w:tr>
      <w:tr>
        <w:trPr>
          <w:trHeight w:val="179"/>
        </w:trPr>
        <w:tc>
          <w:tcPr>
            <w:tcW w:w="320" w:type="dxa"/>
            <w:vAlign w:val="bottom"/>
          </w:tcPr>
          <w:p>
            <w:pPr>
              <w:spacing w:after="0" w:line="179" w:lineRule="exact"/>
              <w:rPr>
                <w:sz w:val="20"/>
                <w:szCs w:val="20"/>
                <w:color w:val="auto"/>
              </w:rPr>
            </w:pPr>
            <w:r>
              <w:rPr>
                <w:rFonts w:ascii="Courier New" w:cs="Courier New" w:eastAsia="Courier New" w:hAnsi="Courier New"/>
                <w:sz w:val="16"/>
                <w:szCs w:val="16"/>
                <w:color w:val="auto"/>
              </w:rPr>
              <w:t>Six</w:t>
            </w:r>
          </w:p>
        </w:tc>
        <w:tc>
          <w:tcPr>
            <w:tcW w:w="474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months ended June 30, 1997</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w:t>
            </w:r>
          </w:p>
        </w:tc>
      </w:tr>
    </w:tbl>
    <w:p>
      <w:pPr>
        <w:spacing w:after="0" w:line="362" w:lineRule="exact"/>
        <w:rPr>
          <w:sz w:val="20"/>
          <w:szCs w:val="20"/>
          <w:color w:val="auto"/>
        </w:rPr>
      </w:pPr>
    </w:p>
    <w:p>
      <w:pPr>
        <w:ind w:left="5" w:right="2779" w:firstLine="554"/>
        <w:spacing w:after="0" w:line="235" w:lineRule="auto"/>
        <w:tabs>
          <w:tab w:leader="none" w:pos="84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Pro Forma Condensed Balance Sheet as of June 30, 1997 is filed since the acquisition of the Acquired Properties is reflected in the actual balance sheet of Federal Realty as of June 30, 1997.</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4"/>
          </w:cols>
          <w:pgMar w:left="235" w:top="648" w:right="1440" w:bottom="1440" w:gutter="0" w:footer="0" w:header="0"/>
        </w:sectPr>
      </w:pPr>
    </w:p>
    <w:bookmarkStart w:id="4" w:name="page5"/>
    <w:bookmarkEnd w:id="4"/>
    <w:p>
      <w:pPr>
        <w:ind w:left="5" w:right="2779" w:firstLine="465"/>
        <w:spacing w:after="0" w:line="235" w:lineRule="auto"/>
        <w:rPr>
          <w:sz w:val="20"/>
          <w:szCs w:val="20"/>
          <w:color w:val="auto"/>
        </w:rPr>
      </w:pPr>
      <w:r>
        <w:rPr>
          <w:rFonts w:ascii="Courier New" w:cs="Courier New" w:eastAsia="Courier New" w:hAnsi="Courier New"/>
          <w:sz w:val="16"/>
          <w:szCs w:val="16"/>
          <w:color w:val="auto"/>
        </w:rPr>
        <w:t>The Pro Forma Condensed Statement of Operations for the year ended December 31, 1996 is based on audited historical financial statements of operations of the Acquired Properties and the Trust after giving effect to the acquisition of the Acquired Properties and the adjustments as described in the accompanying notes to the pro forma financial statements.</w:t>
      </w:r>
    </w:p>
    <w:p>
      <w:pPr>
        <w:spacing w:after="0" w:line="186" w:lineRule="exact"/>
        <w:rPr>
          <w:sz w:val="20"/>
          <w:szCs w:val="20"/>
          <w:color w:val="auto"/>
        </w:rPr>
      </w:pPr>
    </w:p>
    <w:p>
      <w:pPr>
        <w:ind w:left="5" w:right="2879" w:firstLine="465"/>
        <w:spacing w:after="0" w:line="235" w:lineRule="auto"/>
        <w:rPr>
          <w:sz w:val="20"/>
          <w:szCs w:val="20"/>
          <w:color w:val="auto"/>
        </w:rPr>
      </w:pPr>
      <w:r>
        <w:rPr>
          <w:rFonts w:ascii="Courier New" w:cs="Courier New" w:eastAsia="Courier New" w:hAnsi="Courier New"/>
          <w:sz w:val="16"/>
          <w:szCs w:val="16"/>
          <w:color w:val="auto"/>
        </w:rPr>
        <w:t>The Pro Forma Condensed Statement of Operations for the six months ended June 30, 1997 is based on unaudited historical financial statements of the Acquired Properties and the Trust after giving effect to the acquisition of the Acquired Properties and the adjustments as described in the accompanying notes to the pro forma financial statement.</w:t>
      </w:r>
    </w:p>
    <w:p>
      <w:pPr>
        <w:spacing w:after="0" w:line="186" w:lineRule="exact"/>
        <w:rPr>
          <w:sz w:val="20"/>
          <w:szCs w:val="20"/>
          <w:color w:val="auto"/>
        </w:rPr>
      </w:pPr>
    </w:p>
    <w:p>
      <w:pPr>
        <w:ind w:left="5" w:right="2779" w:firstLine="465"/>
        <w:spacing w:after="0" w:line="236" w:lineRule="auto"/>
        <w:rPr>
          <w:sz w:val="20"/>
          <w:szCs w:val="20"/>
          <w:color w:val="auto"/>
        </w:rPr>
      </w:pPr>
      <w:r>
        <w:rPr>
          <w:rFonts w:ascii="Courier New" w:cs="Courier New" w:eastAsia="Courier New" w:hAnsi="Courier New"/>
          <w:sz w:val="16"/>
          <w:szCs w:val="16"/>
          <w:color w:val="auto"/>
        </w:rPr>
        <w:t>The Pro Forma Condensed Statements of Operations have been prepared by the Trust based upon the financial statements of the Acquired Properties. These pro forma financial statements may not be indicative of the results that actually would have occurred if the acquisitions had been in effect on the dates indicated or which may be obtained in the future. The pro forma financial statements should be read in conjunction with the audited financial statements and notes of the Acquired Centers filed herein, the audited consolidated financial statements of the Trust in its Annual Report on Form 10-K for the year ended December 31, 1996 and the unaudited financial statements of the Trust on Form 10-Q for the six months ended June 30, 1997.</w:t>
      </w:r>
    </w:p>
    <w:p>
      <w:pPr>
        <w:spacing w:after="0" w:line="186" w:lineRule="exact"/>
        <w:rPr>
          <w:sz w:val="20"/>
          <w:szCs w:val="20"/>
          <w:color w:val="auto"/>
        </w:rPr>
      </w:pPr>
    </w:p>
    <w:p>
      <w:pPr>
        <w:ind w:left="465" w:right="4459" w:hanging="465"/>
        <w:spacing w:after="0" w:line="234" w:lineRule="auto"/>
        <w:tabs>
          <w:tab w:leader="none" w:pos="46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in accordance with the provisions of Item 601 of Regulation S-K:</w:t>
      </w:r>
    </w:p>
    <w:p>
      <w:pPr>
        <w:ind w:left="4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Item 23. Independent Auditors' Consents</w:t>
      </w:r>
    </w:p>
    <w:p>
      <w:pPr>
        <w:spacing w:after="0" w:line="177" w:lineRule="exact"/>
        <w:rPr>
          <w:sz w:val="20"/>
          <w:szCs w:val="20"/>
          <w:color w:val="auto"/>
        </w:rPr>
      </w:pPr>
    </w:p>
    <w:p>
      <w:pPr>
        <w:ind w:left="2425"/>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ind w:left="5" w:right="3059" w:firstLine="465"/>
        <w:spacing w:after="0" w:line="235"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hereto duly authorized.</w:t>
      </w:r>
    </w:p>
    <w:p>
      <w:pPr>
        <w:spacing w:after="0" w:line="177"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Federal Realty Investment Trust</w:t>
      </w:r>
    </w:p>
    <w:p>
      <w:pPr>
        <w:ind w:left="3345"/>
        <w:spacing w:after="0" w:line="236" w:lineRule="auto"/>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24"/>
          </w:cols>
          <w:pgMar w:left="235" w:top="654" w:right="1440" w:bottom="1440" w:gutter="0" w:footer="0" w:header="0"/>
        </w:sectPr>
      </w:pPr>
    </w:p>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Date: October 1, 1997</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Cecily A. Ward</w:t>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Cecily A. Ward</w:t>
      </w:r>
    </w:p>
    <w:p>
      <w:pPr>
        <w:spacing w:after="0" w:line="237" w:lineRule="auto"/>
        <w:rPr>
          <w:sz w:val="20"/>
          <w:szCs w:val="20"/>
          <w:color w:val="auto"/>
        </w:rPr>
      </w:pPr>
      <w:r>
        <w:rPr>
          <w:rFonts w:ascii="Courier New" w:cs="Courier New" w:eastAsia="Courier New" w:hAnsi="Courier New"/>
          <w:sz w:val="16"/>
          <w:szCs w:val="16"/>
          <w:color w:val="auto"/>
        </w:rPr>
        <w:t>Vice President - Controller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Officer)</w:t>
      </w:r>
    </w:p>
    <w:p>
      <w:pPr>
        <w:spacing w:after="0" w:line="200" w:lineRule="exact"/>
        <w:rPr>
          <w:sz w:val="20"/>
          <w:szCs w:val="20"/>
          <w:color w:val="auto"/>
        </w:rPr>
      </w:pPr>
    </w:p>
    <w:p>
      <w:pPr>
        <w:sectPr>
          <w:pgSz w:w="11900" w:h="16838" w:orient="portrait"/>
          <w:cols w:equalWidth="0" w:num="2">
            <w:col w:w="2625" w:space="720"/>
            <w:col w:w="6879"/>
          </w:cols>
          <w:pgMar w:left="235" w:top="654" w:right="1440" w:bottom="1440" w:gutter="0" w:footer="0" w:header="0"/>
          <w:type w:val="continuous"/>
        </w:sectPr>
      </w:pPr>
    </w:p>
    <w:p>
      <w:pPr>
        <w:spacing w:after="0" w:line="178" w:lineRule="exact"/>
        <w:rPr>
          <w:sz w:val="20"/>
          <w:szCs w:val="20"/>
          <w:color w:val="auto"/>
        </w:rPr>
      </w:pPr>
    </w:p>
    <w:p>
      <w:pPr>
        <w:ind w:left="2425"/>
        <w:spacing w:after="0"/>
        <w:rPr>
          <w:sz w:val="20"/>
          <w:szCs w:val="20"/>
          <w:color w:val="auto"/>
        </w:rPr>
      </w:pPr>
      <w:r>
        <w:rPr>
          <w:rFonts w:ascii="Courier New" w:cs="Courier New" w:eastAsia="Courier New" w:hAnsi="Courier New"/>
          <w:sz w:val="14"/>
          <w:szCs w:val="14"/>
          <w:color w:val="auto"/>
        </w:rPr>
        <w:t>EXHIBIT INDEX</w:t>
      </w:r>
    </w:p>
    <w:p>
      <w:pPr>
        <w:spacing w:after="0" w:line="193"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ITEM NO.</w:t>
      </w:r>
    </w:p>
    <w:p>
      <w:pPr>
        <w:sectPr>
          <w:pgSz w:w="11900" w:h="16838" w:orient="portrait"/>
          <w:cols w:equalWidth="0" w:num="1">
            <w:col w:w="10224"/>
          </w:cols>
          <w:pgMar w:left="235" w:top="654" w:right="1440" w:bottom="1440" w:gutter="0" w:footer="0" w:header="0"/>
          <w:type w:val="continuous"/>
        </w:sectPr>
      </w:pPr>
    </w:p>
    <w:p>
      <w:pPr>
        <w:ind w:left="185" w:hanging="185"/>
        <w:spacing w:after="0" w:line="236" w:lineRule="auto"/>
        <w:tabs>
          <w:tab w:leader="none" w:pos="18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65" w:hanging="472"/>
        <w:spacing w:after="0" w:line="236" w:lineRule="auto"/>
        <w:tabs>
          <w:tab w:leader="none" w:pos="565"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Auditors' Consents</w:t>
      </w:r>
    </w:p>
    <w:p>
      <w:pPr>
        <w:spacing w:after="0" w:line="35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4"/>
          </w:cols>
          <w:pgMar w:left="235" w:top="654" w:right="1440" w:bottom="1440" w:gutter="0" w:footer="0" w:header="0"/>
          <w:type w:val="continuous"/>
        </w:sectPr>
      </w:pPr>
    </w:p>
    <w:bookmarkStart w:id="5" w:name="page6"/>
    <w:bookmarkEnd w:id="5"/>
    <w:p>
      <w:pPr>
        <w:ind w:left="1940"/>
        <w:spacing w:after="0"/>
        <w:rPr>
          <w:sz w:val="20"/>
          <w:szCs w:val="20"/>
          <w:color w:val="auto"/>
        </w:rPr>
      </w:pPr>
      <w:r>
        <w:rPr>
          <w:rFonts w:ascii="Courier New" w:cs="Courier New" w:eastAsia="Courier New" w:hAnsi="Courier New"/>
          <w:sz w:val="16"/>
          <w:szCs w:val="16"/>
          <w:color w:val="auto"/>
        </w:rPr>
        <w:t>Report of Certified Public Accountants</w:t>
      </w:r>
    </w:p>
    <w:p>
      <w:pPr>
        <w:ind w:left="1940"/>
        <w:spacing w:after="0" w:line="236" w:lineRule="auto"/>
        <w:rPr>
          <w:sz w:val="20"/>
          <w:szCs w:val="20"/>
          <w:color w:val="auto"/>
        </w:rPr>
      </w:pPr>
      <w:r>
        <w:rPr>
          <w:rFonts w:ascii="Courier New" w:cs="Courier New" w:eastAsia="Courier New" w:hAnsi="Courier New"/>
          <w:sz w:val="16"/>
          <w:szCs w:val="16"/>
          <w:color w:val="auto"/>
        </w:rPr>
        <w:t>--------------------------------------</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Trustees of</w:t>
      </w:r>
    </w:p>
    <w:p>
      <w:pPr>
        <w:spacing w:after="0" w:line="236" w:lineRule="auto"/>
        <w:rPr>
          <w:sz w:val="20"/>
          <w:szCs w:val="20"/>
          <w:color w:val="auto"/>
        </w:rPr>
      </w:pPr>
      <w:r>
        <w:rPr>
          <w:rFonts w:ascii="Courier New" w:cs="Courier New" w:eastAsia="Courier New" w:hAnsi="Courier New"/>
          <w:sz w:val="16"/>
          <w:szCs w:val="16"/>
          <w:color w:val="auto"/>
        </w:rPr>
        <w:t>Federal Realty Investment Trust</w:t>
      </w:r>
    </w:p>
    <w:p>
      <w:pPr>
        <w:spacing w:after="0" w:line="183"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We have audited the accompanying Historical Summary of Gross Income and Direct Operating Expenses of Town and Country Village Shopping Center, San Jose, California, ("Historical Summary"), for the year ended December 31, 1996. The Historical Summary is the responsibility of the Center's management. Our responsibility is to express an opinion on the Historical Summary based on our audit.</w:t>
      </w:r>
    </w:p>
    <w:p>
      <w:pPr>
        <w:spacing w:after="0" w:line="183"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Historical Summary is free of material misstatement. An audit includes examining, on a test basis, evidence supporting the amounts and disclosures in the Historical Summary. An audit also includes assessing the accounting principles used and significant estimates made by management, as well as evaluating the overall presentation of Historical Summary. We believe that our audit provides a reasonable basis for our opinion.</w:t>
      </w:r>
    </w:p>
    <w:p>
      <w:pPr>
        <w:spacing w:after="0" w:line="162"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The accompanying Historical Summary was prepared for the purpose of complying with the rules and regulations of the Securities and Exchange Commission and excludes certain material items of income and expense, as described in Note B, that would not be comparable to those resulting from the future operations of the Center acquired by Federal Realty Investment Trust. The Historical Summary is not intended to be a complete presentation of the Center's income and expenses.</w:t>
      </w:r>
    </w:p>
    <w:p>
      <w:pPr>
        <w:spacing w:after="0" w:line="184" w:lineRule="exact"/>
        <w:rPr>
          <w:sz w:val="20"/>
          <w:szCs w:val="20"/>
          <w:color w:val="auto"/>
        </w:rPr>
      </w:pPr>
    </w:p>
    <w:p>
      <w:pPr>
        <w:ind w:right="2779"/>
        <w:spacing w:after="0" w:line="279" w:lineRule="auto"/>
        <w:rPr>
          <w:sz w:val="20"/>
          <w:szCs w:val="20"/>
          <w:color w:val="auto"/>
        </w:rPr>
      </w:pPr>
      <w:r>
        <w:rPr>
          <w:rFonts w:ascii="Courier New" w:cs="Courier New" w:eastAsia="Courier New" w:hAnsi="Courier New"/>
          <w:sz w:val="14"/>
          <w:szCs w:val="14"/>
          <w:color w:val="auto"/>
        </w:rPr>
        <w:t>In our opinion, the Historical Summary referred to above presents fairly, in all material respects, the gross income and direct operating expenses as described in Note B of Town and Country Village Shopping Center for the year ended December 31, 1996, in conformity with generally accepted accounting principles.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 Thornton LLP</w:t>
      </w:r>
    </w:p>
    <w:p>
      <w:pPr>
        <w:spacing w:after="0" w:line="236" w:lineRule="auto"/>
        <w:rPr>
          <w:sz w:val="20"/>
          <w:szCs w:val="20"/>
          <w:color w:val="auto"/>
        </w:rPr>
      </w:pPr>
      <w:r>
        <w:rPr>
          <w:rFonts w:ascii="Courier New" w:cs="Courier New" w:eastAsia="Courier New" w:hAnsi="Courier New"/>
          <w:sz w:val="16"/>
          <w:szCs w:val="16"/>
          <w:color w:val="auto"/>
        </w:rPr>
        <w:t>San Jose, California</w:t>
      </w:r>
    </w:p>
    <w:p>
      <w:pPr>
        <w:spacing w:after="0" w:line="237" w:lineRule="auto"/>
        <w:rPr>
          <w:sz w:val="20"/>
          <w:szCs w:val="20"/>
          <w:color w:val="auto"/>
        </w:rPr>
      </w:pPr>
      <w:r>
        <w:rPr>
          <w:rFonts w:ascii="Courier New" w:cs="Courier New" w:eastAsia="Courier New" w:hAnsi="Courier New"/>
          <w:sz w:val="16"/>
          <w:szCs w:val="16"/>
          <w:color w:val="auto"/>
        </w:rPr>
        <w:t>April 11, 1997</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48" w:right="1440" w:bottom="1440" w:gutter="0" w:footer="0" w:header="0"/>
        </w:sectPr>
      </w:pPr>
    </w:p>
    <w:bookmarkStart w:id="6" w:name="page7"/>
    <w:bookmarkEnd w:id="6"/>
    <w:p>
      <w:pPr>
        <w:jc w:val="center"/>
        <w:ind w:right="2779"/>
        <w:spacing w:after="0"/>
        <w:rPr>
          <w:sz w:val="20"/>
          <w:szCs w:val="20"/>
          <w:color w:val="auto"/>
        </w:rPr>
      </w:pPr>
      <w:r>
        <w:rPr>
          <w:rFonts w:ascii="Courier New" w:cs="Courier New" w:eastAsia="Courier New" w:hAnsi="Courier New"/>
          <w:sz w:val="16"/>
          <w:szCs w:val="16"/>
          <w:color w:val="auto"/>
        </w:rPr>
        <w:t>Town and Country Village Shopping Center</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HISTORICAL SUMMARY OF GROSS INCOME AND</w:t>
      </w:r>
    </w:p>
    <w:p>
      <w:pPr>
        <w:ind w:left="2600"/>
        <w:spacing w:after="0" w:line="236" w:lineRule="auto"/>
        <w:rPr>
          <w:sz w:val="20"/>
          <w:szCs w:val="20"/>
          <w:color w:val="auto"/>
        </w:rPr>
      </w:pPr>
      <w:r>
        <w:rPr>
          <w:rFonts w:ascii="Courier New" w:cs="Courier New" w:eastAsia="Courier New" w:hAnsi="Courier New"/>
          <w:sz w:val="16"/>
          <w:szCs w:val="16"/>
          <w:color w:val="auto"/>
        </w:rPr>
        <w:t>DIRECT OPERATING EXPENSES</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Year ended December 31,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80" w:type="dxa"/>
            <w:vAlign w:val="bottom"/>
          </w:tcPr>
          <w:p>
            <w:pPr>
              <w:spacing w:after="0"/>
              <w:rPr>
                <w:sz w:val="20"/>
                <w:szCs w:val="20"/>
                <w:color w:val="auto"/>
              </w:rPr>
            </w:pPr>
            <w:r>
              <w:rPr>
                <w:rFonts w:ascii="Courier New" w:cs="Courier New" w:eastAsia="Courier New" w:hAnsi="Courier New"/>
                <w:sz w:val="16"/>
                <w:szCs w:val="16"/>
                <w:color w:val="auto"/>
              </w:rPr>
              <w:t>GROSS INCOME:</w:t>
            </w:r>
          </w:p>
        </w:tc>
        <w:tc>
          <w:tcPr>
            <w:tcW w:w="1260" w:type="dxa"/>
            <w:vAlign w:val="bottom"/>
          </w:tcPr>
          <w:p>
            <w:pPr>
              <w:spacing w:after="0"/>
              <w:rPr>
                <w:sz w:val="15"/>
                <w:szCs w:val="15"/>
                <w:color w:val="auto"/>
              </w:rPr>
            </w:pPr>
          </w:p>
        </w:tc>
      </w:tr>
      <w:tr>
        <w:trPr>
          <w:trHeight w:val="179"/>
        </w:trPr>
        <w:tc>
          <w:tcPr>
            <w:tcW w:w="6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Base rent</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$3,445,734</w:t>
            </w:r>
          </w:p>
        </w:tc>
      </w:tr>
      <w:tr>
        <w:trPr>
          <w:trHeight w:val="179"/>
        </w:trPr>
        <w:tc>
          <w:tcPr>
            <w:tcW w:w="6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Percentage rent</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199,360</w:t>
            </w:r>
          </w:p>
        </w:tc>
      </w:tr>
      <w:tr>
        <w:trPr>
          <w:trHeight w:val="179"/>
        </w:trPr>
        <w:tc>
          <w:tcPr>
            <w:tcW w:w="6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Expense recoveries</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1,080,995</w:t>
            </w:r>
          </w:p>
        </w:tc>
      </w:tr>
      <w:tr>
        <w:trPr>
          <w:trHeight w:val="179"/>
        </w:trPr>
        <w:tc>
          <w:tcPr>
            <w:tcW w:w="6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Other</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61,047</w:t>
            </w:r>
          </w:p>
        </w:tc>
      </w:tr>
      <w:tr>
        <w:trPr>
          <w:trHeight w:val="179"/>
        </w:trPr>
        <w:tc>
          <w:tcPr>
            <w:tcW w:w="6180" w:type="dxa"/>
            <w:vAlign w:val="bottom"/>
          </w:tcPr>
          <w:p>
            <w:pPr>
              <w:spacing w:after="0"/>
              <w:rPr>
                <w:sz w:val="15"/>
                <w:szCs w:val="15"/>
                <w:color w:val="auto"/>
              </w:rPr>
            </w:pP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18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Total Gross Income</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4,787,136</w:t>
            </w:r>
          </w:p>
        </w:tc>
      </w:tr>
      <w:tr>
        <w:trPr>
          <w:trHeight w:val="358"/>
        </w:trPr>
        <w:tc>
          <w:tcPr>
            <w:tcW w:w="6180" w:type="dxa"/>
            <w:vAlign w:val="bottom"/>
          </w:tcPr>
          <w:p>
            <w:pPr>
              <w:spacing w:after="0"/>
              <w:rPr>
                <w:sz w:val="20"/>
                <w:szCs w:val="20"/>
                <w:color w:val="auto"/>
              </w:rPr>
            </w:pPr>
            <w:r>
              <w:rPr>
                <w:rFonts w:ascii="Courier New" w:cs="Courier New" w:eastAsia="Courier New" w:hAnsi="Courier New"/>
                <w:sz w:val="16"/>
                <w:szCs w:val="16"/>
                <w:color w:val="auto"/>
              </w:rPr>
              <w:t>DIRECT OPERATING EXPENSES:</w:t>
            </w:r>
          </w:p>
        </w:tc>
        <w:tc>
          <w:tcPr>
            <w:tcW w:w="1260" w:type="dxa"/>
            <w:vAlign w:val="bottom"/>
          </w:tcPr>
          <w:p>
            <w:pPr>
              <w:spacing w:after="0"/>
              <w:rPr>
                <w:sz w:val="24"/>
                <w:szCs w:val="24"/>
                <w:color w:val="auto"/>
              </w:rPr>
            </w:pPr>
          </w:p>
        </w:tc>
      </w:tr>
      <w:tr>
        <w:trPr>
          <w:trHeight w:val="179"/>
        </w:trPr>
        <w:tc>
          <w:tcPr>
            <w:tcW w:w="6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Bad debts</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156,867</w:t>
            </w:r>
          </w:p>
        </w:tc>
      </w:tr>
      <w:tr>
        <w:trPr>
          <w:trHeight w:val="179"/>
        </w:trPr>
        <w:tc>
          <w:tcPr>
            <w:tcW w:w="6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Supplies</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55,915</w:t>
            </w:r>
          </w:p>
        </w:tc>
      </w:tr>
      <w:tr>
        <w:trPr>
          <w:trHeight w:val="179"/>
        </w:trPr>
        <w:tc>
          <w:tcPr>
            <w:tcW w:w="6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Security</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76,380</w:t>
            </w:r>
          </w:p>
        </w:tc>
      </w:tr>
      <w:tr>
        <w:trPr>
          <w:trHeight w:val="179"/>
        </w:trPr>
        <w:tc>
          <w:tcPr>
            <w:tcW w:w="6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Insurance</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73,512</w:t>
            </w:r>
          </w:p>
        </w:tc>
      </w:tr>
      <w:tr>
        <w:trPr>
          <w:trHeight w:val="179"/>
        </w:trPr>
        <w:tc>
          <w:tcPr>
            <w:tcW w:w="6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Office</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166,398</w:t>
            </w:r>
          </w:p>
        </w:tc>
      </w:tr>
      <w:tr>
        <w:trPr>
          <w:trHeight w:val="179"/>
        </w:trPr>
        <w:tc>
          <w:tcPr>
            <w:tcW w:w="6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Professional fees</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63,858</w:t>
            </w:r>
          </w:p>
        </w:tc>
      </w:tr>
      <w:tr>
        <w:trPr>
          <w:trHeight w:val="179"/>
        </w:trPr>
        <w:tc>
          <w:tcPr>
            <w:tcW w:w="6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Marketing and promotions</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344,389</w:t>
            </w:r>
          </w:p>
        </w:tc>
      </w:tr>
      <w:tr>
        <w:trPr>
          <w:trHeight w:val="179"/>
        </w:trPr>
        <w:tc>
          <w:tcPr>
            <w:tcW w:w="6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Property taxes</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861,342</w:t>
            </w:r>
          </w:p>
        </w:tc>
      </w:tr>
      <w:tr>
        <w:trPr>
          <w:trHeight w:val="179"/>
        </w:trPr>
        <w:tc>
          <w:tcPr>
            <w:tcW w:w="6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Repairs and maintenance</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388,937</w:t>
            </w:r>
          </w:p>
        </w:tc>
      </w:tr>
      <w:tr>
        <w:trPr>
          <w:trHeight w:val="179"/>
        </w:trPr>
        <w:tc>
          <w:tcPr>
            <w:tcW w:w="6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Utilities</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111,377</w:t>
            </w:r>
          </w:p>
        </w:tc>
      </w:tr>
      <w:tr>
        <w:trPr>
          <w:trHeight w:val="179"/>
        </w:trPr>
        <w:tc>
          <w:tcPr>
            <w:tcW w:w="6180" w:type="dxa"/>
            <w:vAlign w:val="bottom"/>
          </w:tcPr>
          <w:p>
            <w:pPr>
              <w:spacing w:after="0"/>
              <w:rPr>
                <w:sz w:val="15"/>
                <w:szCs w:val="15"/>
                <w:color w:val="auto"/>
              </w:rPr>
            </w:pP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18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Total Direct Operating Expenses</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2,298,975</w:t>
            </w:r>
          </w:p>
        </w:tc>
      </w:tr>
      <w:tr>
        <w:trPr>
          <w:trHeight w:val="179"/>
        </w:trPr>
        <w:tc>
          <w:tcPr>
            <w:tcW w:w="6180" w:type="dxa"/>
            <w:vAlign w:val="bottom"/>
          </w:tcPr>
          <w:p>
            <w:pPr>
              <w:spacing w:after="0"/>
              <w:rPr>
                <w:sz w:val="15"/>
                <w:szCs w:val="15"/>
                <w:color w:val="auto"/>
              </w:rPr>
            </w:pP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180" w:type="dxa"/>
            <w:vAlign w:val="bottom"/>
          </w:tcPr>
          <w:p>
            <w:pPr>
              <w:ind w:left="920"/>
              <w:spacing w:after="0"/>
              <w:rPr>
                <w:sz w:val="20"/>
                <w:szCs w:val="20"/>
                <w:color w:val="auto"/>
              </w:rPr>
            </w:pPr>
            <w:r>
              <w:rPr>
                <w:rFonts w:ascii="Courier New" w:cs="Courier New" w:eastAsia="Courier New" w:hAnsi="Courier New"/>
                <w:sz w:val="16"/>
                <w:szCs w:val="16"/>
                <w:color w:val="auto"/>
              </w:rPr>
              <w:t>Excess of Gross Income Over Direct Operating Expenses</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$2,488,161</w:t>
            </w:r>
          </w:p>
        </w:tc>
      </w:tr>
      <w:tr>
        <w:trPr>
          <w:trHeight w:val="179"/>
        </w:trPr>
        <w:tc>
          <w:tcPr>
            <w:tcW w:w="6180" w:type="dxa"/>
            <w:vAlign w:val="bottom"/>
          </w:tcPr>
          <w:p>
            <w:pPr>
              <w:spacing w:after="0"/>
              <w:rPr>
                <w:sz w:val="15"/>
                <w:szCs w:val="15"/>
                <w:color w:val="auto"/>
              </w:rPr>
            </w:pP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The accompanying notes are an integral part of the Historical Summary.</w:t>
      </w:r>
    </w:p>
    <w:p>
      <w:pPr>
        <w:spacing w:after="0" w:line="3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69" w:right="1440" w:bottom="1440" w:gutter="0" w:footer="0" w:header="0"/>
        </w:sectPr>
      </w:pPr>
    </w:p>
    <w:bookmarkStart w:id="7" w:name="page8"/>
    <w:bookmarkEnd w:id="7"/>
    <w:p>
      <w:pPr>
        <w:ind w:left="1760"/>
        <w:spacing w:after="0"/>
        <w:rPr>
          <w:sz w:val="20"/>
          <w:szCs w:val="20"/>
          <w:color w:val="auto"/>
        </w:rPr>
      </w:pPr>
      <w:r>
        <w:rPr>
          <w:rFonts w:ascii="Courier New" w:cs="Courier New" w:eastAsia="Courier New" w:hAnsi="Courier New"/>
          <w:sz w:val="16"/>
          <w:szCs w:val="16"/>
          <w:color w:val="auto"/>
        </w:rPr>
        <w:t>Town and Country Village Shopping Center</w:t>
      </w:r>
    </w:p>
    <w:p>
      <w:pPr>
        <w:spacing w:after="0" w:line="17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NOTES TO HISTORICAL SUMMARY OF GROSS INCOME AND</w:t>
      </w:r>
    </w:p>
    <w:p>
      <w:pPr>
        <w:ind w:left="2500"/>
        <w:spacing w:after="0" w:line="236" w:lineRule="auto"/>
        <w:rPr>
          <w:sz w:val="20"/>
          <w:szCs w:val="20"/>
          <w:color w:val="auto"/>
        </w:rPr>
      </w:pPr>
      <w:r>
        <w:rPr>
          <w:rFonts w:ascii="Courier New" w:cs="Courier New" w:eastAsia="Courier New" w:hAnsi="Courier New"/>
          <w:sz w:val="16"/>
          <w:szCs w:val="16"/>
          <w:color w:val="auto"/>
        </w:rPr>
        <w:t>DIRECT OPERATING EXPENSES</w:t>
      </w:r>
    </w:p>
    <w:p>
      <w:pPr>
        <w:ind w:left="2320"/>
        <w:spacing w:after="0" w:line="237" w:lineRule="auto"/>
        <w:rPr>
          <w:sz w:val="20"/>
          <w:szCs w:val="20"/>
          <w:color w:val="auto"/>
        </w:rPr>
      </w:pPr>
      <w:r>
        <w:rPr>
          <w:rFonts w:ascii="Courier New" w:cs="Courier New" w:eastAsia="Courier New" w:hAnsi="Courier New"/>
          <w:sz w:val="16"/>
          <w:szCs w:val="16"/>
          <w:color w:val="auto"/>
        </w:rPr>
        <w:t>Year ended December 31, 1996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A - NATURE OF BUSINESS</w:t>
      </w:r>
    </w:p>
    <w:p>
      <w:pPr>
        <w:spacing w:after="0" w:line="183" w:lineRule="exact"/>
        <w:rPr>
          <w:sz w:val="20"/>
          <w:szCs w:val="20"/>
          <w:color w:val="auto"/>
        </w:rPr>
      </w:pPr>
    </w:p>
    <w:p>
      <w:pPr>
        <w:ind w:left="840" w:right="2779"/>
        <w:spacing w:after="0" w:line="235" w:lineRule="auto"/>
        <w:rPr>
          <w:sz w:val="20"/>
          <w:szCs w:val="20"/>
          <w:color w:val="auto"/>
        </w:rPr>
      </w:pPr>
      <w:r>
        <w:rPr>
          <w:rFonts w:ascii="Courier New" w:cs="Courier New" w:eastAsia="Courier New" w:hAnsi="Courier New"/>
          <w:sz w:val="16"/>
          <w:szCs w:val="16"/>
          <w:color w:val="auto"/>
        </w:rPr>
        <w:t>Town and Country Village Shopping Center (the "Center") is located at the intersection of Stevens Creek and Winchester Boulevard in San Jose, California. The Center consists of a retail shopping center with approximately 320,000 square feet of rentable space.</w:t>
      </w:r>
    </w:p>
    <w:p>
      <w:pPr>
        <w:spacing w:after="0" w:line="185" w:lineRule="exact"/>
        <w:rPr>
          <w:sz w:val="20"/>
          <w:szCs w:val="20"/>
          <w:color w:val="auto"/>
        </w:rPr>
      </w:pPr>
    </w:p>
    <w:p>
      <w:pPr>
        <w:ind w:left="840" w:right="2779"/>
        <w:spacing w:after="0" w:line="274" w:lineRule="auto"/>
        <w:rPr>
          <w:sz w:val="20"/>
          <w:szCs w:val="20"/>
          <w:color w:val="auto"/>
        </w:rPr>
      </w:pPr>
      <w:r>
        <w:rPr>
          <w:rFonts w:ascii="Courier New" w:cs="Courier New" w:eastAsia="Courier New" w:hAnsi="Courier New"/>
          <w:sz w:val="14"/>
          <w:szCs w:val="14"/>
          <w:color w:val="auto"/>
        </w:rPr>
        <w:t>The Center's activities consist of the operation of the shopping center and the leasing of retail stores as well as office space to various tenants. Expense recoveries represent property operating expenses billed to the tenants, including common area maintenance, real estate taxes and other recoverable costs. Expense recoveries are recognized in the period the expenses are incurred. All leases are classified as operating leases and expire at various times through 2011.</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B - SUMMARY OF ACCOUNTING POLICIES</w:t>
      </w:r>
    </w:p>
    <w:p>
      <w:pPr>
        <w:spacing w:after="0" w:line="183" w:lineRule="exact"/>
        <w:rPr>
          <w:sz w:val="20"/>
          <w:szCs w:val="20"/>
          <w:color w:val="auto"/>
        </w:rPr>
      </w:pPr>
    </w:p>
    <w:p>
      <w:pPr>
        <w:ind w:left="840" w:right="3239"/>
        <w:spacing w:after="0" w:line="235" w:lineRule="auto"/>
        <w:rPr>
          <w:sz w:val="20"/>
          <w:szCs w:val="20"/>
          <w:color w:val="auto"/>
        </w:rPr>
      </w:pPr>
      <w:r>
        <w:rPr>
          <w:rFonts w:ascii="Courier New" w:cs="Courier New" w:eastAsia="Courier New" w:hAnsi="Courier New"/>
          <w:sz w:val="16"/>
          <w:szCs w:val="16"/>
          <w:color w:val="auto"/>
        </w:rPr>
        <w:t>The following is a summary of the Center's significant accounting policies applied in the preparation of the accompanying Historical Summary of Gross Income and Direct Operating Expenses.</w:t>
      </w:r>
    </w:p>
    <w:p>
      <w:pPr>
        <w:spacing w:after="0" w:line="178"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Basis of Presentation</w:t>
      </w:r>
    </w:p>
    <w:p>
      <w:pPr>
        <w:ind w:left="84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840" w:right="2879"/>
        <w:spacing w:after="0" w:line="273" w:lineRule="auto"/>
        <w:rPr>
          <w:sz w:val="20"/>
          <w:szCs w:val="20"/>
          <w:color w:val="auto"/>
        </w:rPr>
      </w:pPr>
      <w:r>
        <w:rPr>
          <w:rFonts w:ascii="Courier New" w:cs="Courier New" w:eastAsia="Courier New" w:hAnsi="Courier New"/>
          <w:sz w:val="14"/>
          <w:szCs w:val="14"/>
          <w:color w:val="auto"/>
        </w:rPr>
        <w:t>Federal Realty Investment Trust purchased the Center on March 5, 1997. The Historical Summary of Gross Income and Direct Operating Expenses has been prepared for the purpose of complying with Regulation S-X, Rule 3-14 of the Securities and Exchange Commission ("SEC"), which requires certain information with respect to real estate operations be included with certain filings with the SEC. The Historical Summary includes the historical gross income and direct operating expenses of the Center, exclusive of certain items of income and expense which are not comparable to the proposed future operations of the Center. Upon the purchase of the Center, Federal Realty Investment Trust began operating the shopping center under its policies and procedures. The excluded income and expense items are as follows:</w:t>
      </w:r>
    </w:p>
    <w:p>
      <w:pPr>
        <w:spacing w:after="0" w:line="335" w:lineRule="exact"/>
        <w:rPr>
          <w:sz w:val="20"/>
          <w:szCs w:val="20"/>
          <w:color w:val="auto"/>
        </w:rPr>
      </w:pPr>
    </w:p>
    <w:p>
      <w:pPr>
        <w:ind w:left="2320" w:hanging="650"/>
        <w:spacing w:after="0"/>
        <w:tabs>
          <w:tab w:leader="none" w:pos="23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tax refunds</w:t>
      </w:r>
    </w:p>
    <w:p>
      <w:pPr>
        <w:ind w:left="2320" w:hanging="650"/>
        <w:spacing w:after="0" w:line="236" w:lineRule="auto"/>
        <w:tabs>
          <w:tab w:leader="none" w:pos="23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Bad debt recoveries</w:t>
      </w:r>
    </w:p>
    <w:p>
      <w:pPr>
        <w:ind w:left="2320" w:hanging="650"/>
        <w:spacing w:after="0" w:line="236" w:lineRule="auto"/>
        <w:tabs>
          <w:tab w:leader="none" w:pos="23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Depreciation of property and equipment</w:t>
      </w:r>
    </w:p>
    <w:p>
      <w:pPr>
        <w:ind w:left="2320" w:hanging="650"/>
        <w:spacing w:after="0" w:line="236" w:lineRule="auto"/>
        <w:tabs>
          <w:tab w:leader="none" w:pos="23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and leasing fees</w:t>
      </w:r>
    </w:p>
    <w:p>
      <w:pPr>
        <w:ind w:left="2320" w:hanging="650"/>
        <w:spacing w:after="0" w:line="236" w:lineRule="auto"/>
        <w:tabs>
          <w:tab w:leader="none" w:pos="23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Brokers' fees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48" w:right="1440" w:bottom="1440" w:gutter="0" w:footer="0" w:header="0"/>
        </w:sectPr>
      </w:pPr>
    </w:p>
    <w:bookmarkStart w:id="8" w:name="page9"/>
    <w:bookmarkEnd w:id="8"/>
    <w:p>
      <w:pPr>
        <w:ind w:left="1860"/>
        <w:spacing w:after="0"/>
        <w:rPr>
          <w:sz w:val="20"/>
          <w:szCs w:val="20"/>
          <w:color w:val="auto"/>
        </w:rPr>
      </w:pPr>
      <w:r>
        <w:rPr>
          <w:rFonts w:ascii="Courier New" w:cs="Courier New" w:eastAsia="Courier New" w:hAnsi="Courier New"/>
          <w:sz w:val="16"/>
          <w:szCs w:val="16"/>
          <w:color w:val="auto"/>
        </w:rPr>
        <w:t>Town and Country Village Shopping Center</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NOTES TO HISTORICAL SUMMARY OF GROSS INCOME AND</w:t>
      </w:r>
    </w:p>
    <w:p>
      <w:pPr>
        <w:jc w:val="center"/>
        <w:ind w:right="2699"/>
        <w:spacing w:after="0" w:line="236" w:lineRule="auto"/>
        <w:rPr>
          <w:sz w:val="20"/>
          <w:szCs w:val="20"/>
          <w:color w:val="auto"/>
        </w:rPr>
      </w:pPr>
      <w:r>
        <w:rPr>
          <w:rFonts w:ascii="Courier New" w:cs="Courier New" w:eastAsia="Courier New" w:hAnsi="Courier New"/>
          <w:sz w:val="16"/>
          <w:szCs w:val="16"/>
          <w:color w:val="auto"/>
        </w:rPr>
        <w:t>DIRECT OPERATING EXPENSES</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Year ended December 31, 1996</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B - SUMMARY OF ACCOUNTING POLICIES (continued)</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Revenue Recognition</w:t>
      </w:r>
    </w:p>
    <w:p>
      <w:pPr>
        <w:ind w:left="84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840" w:right="2779"/>
        <w:spacing w:after="0" w:line="235" w:lineRule="auto"/>
        <w:rPr>
          <w:sz w:val="20"/>
          <w:szCs w:val="20"/>
          <w:color w:val="auto"/>
        </w:rPr>
      </w:pPr>
      <w:r>
        <w:rPr>
          <w:rFonts w:ascii="Courier New" w:cs="Courier New" w:eastAsia="Courier New" w:hAnsi="Courier New"/>
          <w:sz w:val="16"/>
          <w:szCs w:val="16"/>
          <w:color w:val="auto"/>
        </w:rPr>
        <w:t>Lease revenue is recognized over the lease term on a straight line basis as it is earned. Revenue from reimbursement by tenants, of costs incurred on their behalf, is recognized when the expenses are incurred. These expenses include property taxes and common area maintenance costs.</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Allowance for Doubtful Receivables</w:t>
      </w:r>
    </w:p>
    <w:p>
      <w:pPr>
        <w:ind w:left="84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840" w:right="2779"/>
        <w:spacing w:after="0" w:line="234" w:lineRule="auto"/>
        <w:rPr>
          <w:sz w:val="20"/>
          <w:szCs w:val="20"/>
          <w:color w:val="auto"/>
        </w:rPr>
      </w:pPr>
      <w:r>
        <w:rPr>
          <w:rFonts w:ascii="Courier New" w:cs="Courier New" w:eastAsia="Courier New" w:hAnsi="Courier New"/>
          <w:sz w:val="16"/>
          <w:szCs w:val="16"/>
          <w:color w:val="auto"/>
        </w:rPr>
        <w:t>An allowance for doubtful accounts receivable is recognized for amounts aged greater than 90 days.</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Use of Estimates</w:t>
      </w:r>
    </w:p>
    <w:p>
      <w:pPr>
        <w:ind w:left="840"/>
        <w:spacing w:after="0" w:line="236" w:lineRule="auto"/>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840" w:right="2779"/>
        <w:spacing w:after="0" w:line="235" w:lineRule="auto"/>
        <w:rPr>
          <w:sz w:val="20"/>
          <w:szCs w:val="20"/>
          <w:color w:val="auto"/>
        </w:rPr>
      </w:pPr>
      <w:r>
        <w:rPr>
          <w:rFonts w:ascii="Courier New" w:cs="Courier New" w:eastAsia="Courier New" w:hAnsi="Courier New"/>
          <w:sz w:val="16"/>
          <w:szCs w:val="16"/>
          <w:color w:val="auto"/>
        </w:rPr>
        <w:t>In preparing the Center's Historical Summary of Gross Income and Direct Operating Expenses, management is required to make estimates and assumptions that affect the reported amounts of revenue and expenses during the reporting period. Actual results could differ from those estimates.</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48" w:right="1440" w:bottom="1440" w:gutter="0" w:footer="0" w:header="0"/>
        </w:sectPr>
      </w:pPr>
    </w:p>
    <w:bookmarkStart w:id="9" w:name="page10"/>
    <w:bookmarkEnd w:id="9"/>
    <w:p>
      <w:pPr>
        <w:ind w:left="2420"/>
        <w:spacing w:after="0"/>
        <w:rPr>
          <w:sz w:val="20"/>
          <w:szCs w:val="20"/>
          <w:color w:val="auto"/>
        </w:rPr>
      </w:pPr>
      <w:r>
        <w:rPr>
          <w:rFonts w:ascii="Courier New" w:cs="Courier New" w:eastAsia="Courier New" w:hAnsi="Courier New"/>
          <w:sz w:val="16"/>
          <w:szCs w:val="16"/>
          <w:color w:val="auto"/>
        </w:rPr>
        <w:t>INDEPENDENT AUDITOR'S REPORT</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Partners</w:t>
      </w:r>
    </w:p>
    <w:p>
      <w:pPr>
        <w:spacing w:after="0" w:line="236" w:lineRule="auto"/>
        <w:rPr>
          <w:sz w:val="20"/>
          <w:szCs w:val="20"/>
          <w:color w:val="auto"/>
        </w:rPr>
      </w:pPr>
      <w:r>
        <w:rPr>
          <w:rFonts w:ascii="Courier New" w:cs="Courier New" w:eastAsia="Courier New" w:hAnsi="Courier New"/>
          <w:sz w:val="16"/>
          <w:szCs w:val="16"/>
          <w:color w:val="auto"/>
        </w:rPr>
        <w:t>M &amp; R Associates Limited Partnership</w:t>
      </w:r>
    </w:p>
    <w:p>
      <w:pPr>
        <w:spacing w:after="0" w:line="237" w:lineRule="auto"/>
        <w:rPr>
          <w:sz w:val="20"/>
          <w:szCs w:val="20"/>
          <w:color w:val="auto"/>
        </w:rPr>
      </w:pPr>
      <w:r>
        <w:rPr>
          <w:rFonts w:ascii="Courier New" w:cs="Courier New" w:eastAsia="Courier New" w:hAnsi="Courier New"/>
          <w:sz w:val="16"/>
          <w:szCs w:val="16"/>
          <w:color w:val="auto"/>
        </w:rPr>
        <w:t>Rockville, Maryland</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We have audited the accompanying statements of assets, liabilities and partners' equity deficiency (income tax basis) of M &amp; R Associates Limited Partnership as of December 31, 1996 and 1995, and the related statements (income tax basis) of revenue and expenses, partners' equity deficiency and cash flows for the years then ended. These financial statements are the responsibility of the Partnership's management. Our responsibility is to express an opinion on these financial statements based on our audits.</w:t>
      </w:r>
    </w:p>
    <w:p>
      <w:pPr>
        <w:spacing w:after="0" w:line="184"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2"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As described in Note 2, the financial statements were prepared on the accounting basis used for income tax purposes and are not intended to be a presentation in conformity with generally accepted accounting principles.</w:t>
      </w:r>
    </w:p>
    <w:p>
      <w:pPr>
        <w:spacing w:after="0" w:line="183" w:lineRule="exact"/>
        <w:rPr>
          <w:sz w:val="20"/>
          <w:szCs w:val="20"/>
          <w:color w:val="auto"/>
        </w:rPr>
      </w:pPr>
    </w:p>
    <w:p>
      <w:pPr>
        <w:jc w:val="both"/>
        <w:ind w:right="2959"/>
        <w:spacing w:after="0" w:line="235"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assets, liabilities and partners' equity deficiency of M &amp; R Associates Limited Partnership as of December 31, 1996 and 1995, and its revenue, expenses, and cash flows for the years then ended, on the income tax basis of accounting described in Note 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Friedman &amp; Fuller, P.C.</w:t>
      </w:r>
    </w:p>
    <w:p>
      <w:pPr>
        <w:spacing w:after="0" w:line="236" w:lineRule="auto"/>
        <w:rPr>
          <w:sz w:val="20"/>
          <w:szCs w:val="20"/>
          <w:color w:val="auto"/>
        </w:rPr>
      </w:pPr>
      <w:r>
        <w:rPr>
          <w:rFonts w:ascii="Courier New" w:cs="Courier New" w:eastAsia="Courier New" w:hAnsi="Courier New"/>
          <w:sz w:val="16"/>
          <w:szCs w:val="16"/>
          <w:color w:val="auto"/>
        </w:rPr>
        <w:t>February 17, 1997</w:t>
      </w:r>
    </w:p>
    <w:p>
      <w:pPr>
        <w:spacing w:after="0" w:line="237" w:lineRule="auto"/>
        <w:rPr>
          <w:sz w:val="20"/>
          <w:szCs w:val="20"/>
          <w:color w:val="auto"/>
        </w:rPr>
      </w:pPr>
      <w:r>
        <w:rPr>
          <w:rFonts w:ascii="Courier New" w:cs="Courier New" w:eastAsia="Courier New" w:hAnsi="Courier New"/>
          <w:sz w:val="16"/>
          <w:szCs w:val="16"/>
          <w:color w:val="auto"/>
        </w:rPr>
        <w:t>(April 22, 1997 as to Note 7)</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48" w:right="1440" w:bottom="1440" w:gutter="0" w:footer="0" w:header="0"/>
        </w:sectPr>
      </w:pPr>
    </w:p>
    <w:bookmarkStart w:id="10" w:name="page11"/>
    <w:bookmarkEnd w:id="10"/>
    <w:p>
      <w:pPr>
        <w:jc w:val="center"/>
        <w:ind w:right="2879"/>
        <w:spacing w:after="0"/>
        <w:tabs>
          <w:tab w:leader="none" w:pos="160" w:val="left"/>
        </w:tabs>
        <w:rPr>
          <w:sz w:val="20"/>
          <w:szCs w:val="20"/>
          <w:color w:val="auto"/>
        </w:rPr>
      </w:pPr>
      <w:r>
        <w:rPr>
          <w:rFonts w:ascii="Courier New" w:cs="Courier New" w:eastAsia="Courier New" w:hAnsi="Courier New"/>
          <w:sz w:val="16"/>
          <w:szCs w:val="16"/>
          <w:color w:val="auto"/>
        </w:rPr>
        <w:t>M &amp; R</w:t>
      </w:r>
      <w:r>
        <w:rPr>
          <w:sz w:val="20"/>
          <w:szCs w:val="20"/>
          <w:color w:val="auto"/>
        </w:rPr>
        <w:tab/>
      </w:r>
      <w:r>
        <w:rPr>
          <w:rFonts w:ascii="Courier New" w:cs="Courier New" w:eastAsia="Courier New" w:hAnsi="Courier New"/>
          <w:sz w:val="14"/>
          <w:szCs w:val="14"/>
          <w:color w:val="auto"/>
        </w:rPr>
        <w:t>ASSOCIATES LIMITED PARTNERSHIP</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STATEMENTS OF ASSETS, LIABILITIES AND PARTNERS' EQUITY DEFICIENCY</w:t>
      </w:r>
    </w:p>
    <w:p>
      <w:pPr>
        <w:jc w:val="center"/>
        <w:ind w:right="2979"/>
        <w:spacing w:after="0" w:line="236" w:lineRule="auto"/>
        <w:rPr>
          <w:sz w:val="20"/>
          <w:szCs w:val="20"/>
          <w:color w:val="auto"/>
        </w:rPr>
      </w:pPr>
      <w:r>
        <w:rPr>
          <w:rFonts w:ascii="Courier New" w:cs="Courier New" w:eastAsia="Courier New" w:hAnsi="Courier New"/>
          <w:sz w:val="16"/>
          <w:szCs w:val="16"/>
          <w:color w:val="auto"/>
        </w:rPr>
        <w:t>(INCOME TAX BASIS)</w:t>
      </w:r>
    </w:p>
    <w:p>
      <w:pPr>
        <w:jc w:val="center"/>
        <w:ind w:right="2979"/>
        <w:spacing w:after="0" w:line="237" w:lineRule="auto"/>
        <w:rPr>
          <w:sz w:val="20"/>
          <w:szCs w:val="20"/>
          <w:color w:val="auto"/>
        </w:rPr>
      </w:pPr>
      <w:r>
        <w:rPr>
          <w:rFonts w:ascii="Courier New" w:cs="Courier New" w:eastAsia="Courier New" w:hAnsi="Courier New"/>
          <w:sz w:val="16"/>
          <w:szCs w:val="16"/>
          <w:color w:val="auto"/>
        </w:rPr>
        <w:t>DECEMBER 31, 1996 AND 1995</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80" w:type="dxa"/>
            <w:vAlign w:val="bottom"/>
          </w:tcPr>
          <w:p>
            <w:pPr>
              <w:ind w:left="3340"/>
              <w:spacing w:after="0"/>
              <w:rPr>
                <w:sz w:val="20"/>
                <w:szCs w:val="20"/>
                <w:color w:val="auto"/>
              </w:rPr>
            </w:pPr>
            <w:r>
              <w:rPr>
                <w:rFonts w:ascii="Courier New" w:cs="Courier New" w:eastAsia="Courier New" w:hAnsi="Courier New"/>
                <w:sz w:val="16"/>
                <w:szCs w:val="16"/>
                <w:color w:val="auto"/>
              </w:rPr>
              <w:t>ASSETS</w:t>
            </w: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716"/>
        </w:trPr>
        <w:tc>
          <w:tcPr>
            <w:tcW w:w="4780" w:type="dxa"/>
            <w:vAlign w:val="bottom"/>
          </w:tcPr>
          <w:p>
            <w:pPr>
              <w:spacing w:after="0"/>
              <w:rPr>
                <w:sz w:val="24"/>
                <w:szCs w:val="24"/>
                <w:color w:val="auto"/>
              </w:rPr>
            </w:pPr>
          </w:p>
        </w:tc>
        <w:tc>
          <w:tcPr>
            <w:tcW w:w="15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1996</w:t>
            </w: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1995</w:t>
            </w:r>
          </w:p>
        </w:tc>
      </w:tr>
      <w:tr>
        <w:trPr>
          <w:trHeight w:val="179"/>
        </w:trPr>
        <w:tc>
          <w:tcPr>
            <w:tcW w:w="4780" w:type="dxa"/>
            <w:vAlign w:val="bottom"/>
          </w:tcPr>
          <w:p>
            <w:pPr>
              <w:spacing w:after="0"/>
              <w:rPr>
                <w:sz w:val="15"/>
                <w:szCs w:val="15"/>
                <w:color w:val="auto"/>
              </w:rPr>
            </w:pPr>
          </w:p>
        </w:tc>
        <w:tc>
          <w:tcPr>
            <w:tcW w:w="26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w:t>
            </w: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Real estate (Note 4):</w:t>
            </w: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Land</w:t>
            </w:r>
          </w:p>
        </w:tc>
        <w:tc>
          <w:tcPr>
            <w:tcW w:w="15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10,314,774</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10,314,774</w:t>
            </w:r>
          </w:p>
        </w:tc>
      </w:tr>
      <w:tr>
        <w:trPr>
          <w:trHeight w:val="179"/>
        </w:trPr>
        <w:tc>
          <w:tcPr>
            <w:tcW w:w="4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Building and improvements</w:t>
            </w:r>
          </w:p>
        </w:tc>
        <w:tc>
          <w:tcPr>
            <w:tcW w:w="15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5,510,106</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5,398,855</w:t>
            </w:r>
          </w:p>
        </w:tc>
      </w:tr>
      <w:tr>
        <w:trPr>
          <w:trHeight w:val="179"/>
        </w:trPr>
        <w:tc>
          <w:tcPr>
            <w:tcW w:w="4780" w:type="dxa"/>
            <w:vAlign w:val="bottom"/>
          </w:tcPr>
          <w:p>
            <w:pPr>
              <w:spacing w:after="0"/>
              <w:rPr>
                <w:sz w:val="15"/>
                <w:szCs w:val="15"/>
                <w:color w:val="auto"/>
              </w:rPr>
            </w:pPr>
          </w:p>
        </w:tc>
        <w:tc>
          <w:tcPr>
            <w:tcW w:w="26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w:t>
            </w:r>
          </w:p>
        </w:tc>
      </w:tr>
      <w:tr>
        <w:trPr>
          <w:trHeight w:val="179"/>
        </w:trPr>
        <w:tc>
          <w:tcPr>
            <w:tcW w:w="47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Total real estate, at cost</w:t>
            </w:r>
          </w:p>
        </w:tc>
        <w:tc>
          <w:tcPr>
            <w:tcW w:w="15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15,824,880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15,713,629</w:t>
            </w: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Less accumulated depreciation</w:t>
            </w: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2,141,702</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1,908,169</w:t>
            </w:r>
          </w:p>
        </w:tc>
      </w:tr>
      <w:tr>
        <w:trPr>
          <w:trHeight w:val="179"/>
        </w:trPr>
        <w:tc>
          <w:tcPr>
            <w:tcW w:w="4780" w:type="dxa"/>
            <w:vAlign w:val="bottom"/>
          </w:tcPr>
          <w:p>
            <w:pPr>
              <w:spacing w:after="0"/>
              <w:rPr>
                <w:sz w:val="15"/>
                <w:szCs w:val="15"/>
                <w:color w:val="auto"/>
              </w:rPr>
            </w:pPr>
          </w:p>
        </w:tc>
        <w:tc>
          <w:tcPr>
            <w:tcW w:w="26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w:t>
            </w:r>
          </w:p>
        </w:tc>
      </w:tr>
      <w:tr>
        <w:trPr>
          <w:trHeight w:val="179"/>
        </w:trPr>
        <w:tc>
          <w:tcPr>
            <w:tcW w:w="4780" w:type="dxa"/>
            <w:vAlign w:val="bottom"/>
          </w:tcPr>
          <w:p>
            <w:pPr>
              <w:spacing w:after="0"/>
              <w:rPr>
                <w:sz w:val="15"/>
                <w:szCs w:val="15"/>
                <w:color w:val="auto"/>
              </w:rPr>
            </w:pPr>
          </w:p>
        </w:tc>
        <w:tc>
          <w:tcPr>
            <w:tcW w:w="15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13,683,178</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13,805,460</w:t>
            </w:r>
          </w:p>
        </w:tc>
      </w:tr>
      <w:tr>
        <w:trPr>
          <w:trHeight w:val="179"/>
        </w:trPr>
        <w:tc>
          <w:tcPr>
            <w:tcW w:w="4780" w:type="dxa"/>
            <w:vAlign w:val="bottom"/>
          </w:tcPr>
          <w:p>
            <w:pPr>
              <w:spacing w:after="0"/>
              <w:rPr>
                <w:sz w:val="15"/>
                <w:szCs w:val="15"/>
                <w:color w:val="auto"/>
              </w:rPr>
            </w:pPr>
          </w:p>
        </w:tc>
        <w:tc>
          <w:tcPr>
            <w:tcW w:w="26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w:t>
            </w: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4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15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529,990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251,292</w:t>
            </w:r>
          </w:p>
        </w:tc>
      </w:tr>
      <w:tr>
        <w:trPr>
          <w:trHeight w:val="179"/>
        </w:trPr>
        <w:tc>
          <w:tcPr>
            <w:tcW w:w="4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Cash, restricted for future capital improvements</w:t>
            </w:r>
          </w:p>
        </w:tc>
        <w:tc>
          <w:tcPr>
            <w:tcW w:w="150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51,031</w:t>
            </w:r>
          </w:p>
        </w:tc>
      </w:tr>
      <w:tr>
        <w:trPr>
          <w:trHeight w:val="179"/>
        </w:trPr>
        <w:tc>
          <w:tcPr>
            <w:tcW w:w="4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Due from partners (Note 5)</w:t>
            </w:r>
          </w:p>
        </w:tc>
        <w:tc>
          <w:tcPr>
            <w:tcW w:w="15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10,000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10,000</w:t>
            </w:r>
          </w:p>
        </w:tc>
      </w:tr>
      <w:tr>
        <w:trPr>
          <w:trHeight w:val="179"/>
        </w:trPr>
        <w:tc>
          <w:tcPr>
            <w:tcW w:w="4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Prepaid expenses and other assets</w:t>
            </w:r>
          </w:p>
        </w:tc>
        <w:tc>
          <w:tcPr>
            <w:tcW w:w="15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2,847</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3,893</w:t>
            </w:r>
          </w:p>
        </w:tc>
      </w:tr>
      <w:tr>
        <w:trPr>
          <w:trHeight w:val="179"/>
        </w:trPr>
        <w:tc>
          <w:tcPr>
            <w:tcW w:w="4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Due from related entity (Note 5)</w:t>
            </w:r>
          </w:p>
        </w:tc>
        <w:tc>
          <w:tcPr>
            <w:tcW w:w="150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13,289</w:t>
            </w:r>
          </w:p>
        </w:tc>
      </w:tr>
      <w:tr>
        <w:trPr>
          <w:trHeight w:val="179"/>
        </w:trPr>
        <w:tc>
          <w:tcPr>
            <w:tcW w:w="4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Rents receivable</w:t>
            </w:r>
          </w:p>
        </w:tc>
        <w:tc>
          <w:tcPr>
            <w:tcW w:w="15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6,426</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29,650</w:t>
            </w:r>
          </w:p>
        </w:tc>
      </w:tr>
      <w:tr>
        <w:trPr>
          <w:trHeight w:val="179"/>
        </w:trPr>
        <w:tc>
          <w:tcPr>
            <w:tcW w:w="4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Property tax refund receivable</w:t>
            </w:r>
          </w:p>
        </w:tc>
        <w:tc>
          <w:tcPr>
            <w:tcW w:w="15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44,217</w:t>
            </w:r>
          </w:p>
        </w:tc>
        <w:tc>
          <w:tcPr>
            <w:tcW w:w="1160" w:type="dxa"/>
            <w:vAlign w:val="bottom"/>
          </w:tcPr>
          <w:p>
            <w:pPr>
              <w:spacing w:after="0"/>
              <w:rPr>
                <w:sz w:val="15"/>
                <w:szCs w:val="15"/>
                <w:color w:val="auto"/>
              </w:rPr>
            </w:pPr>
          </w:p>
        </w:tc>
      </w:tr>
      <w:tr>
        <w:trPr>
          <w:trHeight w:val="179"/>
        </w:trPr>
        <w:tc>
          <w:tcPr>
            <w:tcW w:w="47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Deferred expenses, less accumulated amortization</w:t>
            </w: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7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of $3,850,978 and $3,315,144 (Note 3)</w:t>
            </w:r>
          </w:p>
        </w:tc>
        <w:tc>
          <w:tcPr>
            <w:tcW w:w="15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4,113,797</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4,505,121</w:t>
            </w:r>
          </w:p>
        </w:tc>
      </w:tr>
      <w:tr>
        <w:trPr>
          <w:trHeight w:val="179"/>
        </w:trPr>
        <w:tc>
          <w:tcPr>
            <w:tcW w:w="4780" w:type="dxa"/>
            <w:vAlign w:val="bottom"/>
          </w:tcPr>
          <w:p>
            <w:pPr>
              <w:spacing w:after="0"/>
              <w:rPr>
                <w:sz w:val="15"/>
                <w:szCs w:val="15"/>
                <w:color w:val="auto"/>
              </w:rPr>
            </w:pPr>
          </w:p>
        </w:tc>
        <w:tc>
          <w:tcPr>
            <w:tcW w:w="26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w:t>
            </w:r>
          </w:p>
        </w:tc>
      </w:tr>
      <w:tr>
        <w:trPr>
          <w:trHeight w:val="179"/>
        </w:trPr>
        <w:tc>
          <w:tcPr>
            <w:tcW w:w="47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Total other assets</w:t>
            </w:r>
          </w:p>
        </w:tc>
        <w:tc>
          <w:tcPr>
            <w:tcW w:w="15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4,707,277</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4,864,276</w:t>
            </w:r>
          </w:p>
        </w:tc>
      </w:tr>
      <w:tr>
        <w:trPr>
          <w:trHeight w:val="179"/>
        </w:trPr>
        <w:tc>
          <w:tcPr>
            <w:tcW w:w="4780" w:type="dxa"/>
            <w:vAlign w:val="bottom"/>
          </w:tcPr>
          <w:p>
            <w:pPr>
              <w:spacing w:after="0"/>
              <w:rPr>
                <w:sz w:val="15"/>
                <w:szCs w:val="15"/>
                <w:color w:val="auto"/>
              </w:rPr>
            </w:pPr>
          </w:p>
        </w:tc>
        <w:tc>
          <w:tcPr>
            <w:tcW w:w="26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w:t>
            </w:r>
          </w:p>
        </w:tc>
      </w:tr>
      <w:tr>
        <w:trPr>
          <w:trHeight w:val="179"/>
        </w:trPr>
        <w:tc>
          <w:tcPr>
            <w:tcW w:w="47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Total assets</w:t>
            </w:r>
          </w:p>
        </w:tc>
        <w:tc>
          <w:tcPr>
            <w:tcW w:w="15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$18,390,455</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$18,669,736</w:t>
            </w:r>
          </w:p>
        </w:tc>
      </w:tr>
      <w:tr>
        <w:trPr>
          <w:trHeight w:val="179"/>
        </w:trPr>
        <w:tc>
          <w:tcPr>
            <w:tcW w:w="4780" w:type="dxa"/>
            <w:vAlign w:val="bottom"/>
          </w:tcPr>
          <w:p>
            <w:pPr>
              <w:spacing w:after="0"/>
              <w:rPr>
                <w:sz w:val="15"/>
                <w:szCs w:val="15"/>
                <w:color w:val="auto"/>
              </w:rPr>
            </w:pPr>
          </w:p>
        </w:tc>
        <w:tc>
          <w:tcPr>
            <w:tcW w:w="26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w:t>
            </w:r>
          </w:p>
        </w:tc>
      </w:tr>
    </w:tbl>
    <w:p>
      <w:pPr>
        <w:spacing w:after="0" w:line="200" w:lineRule="exact"/>
        <w:rPr>
          <w:sz w:val="20"/>
          <w:szCs w:val="20"/>
          <w:color w:val="auto"/>
        </w:rPr>
      </w:pPr>
    </w:p>
    <w:p>
      <w:pPr>
        <w:spacing w:after="0" w:line="334"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See Notes to Financial Statements</w:t>
      </w:r>
    </w:p>
    <w:p>
      <w:pPr>
        <w:spacing w:after="0" w:line="3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69" w:right="1440" w:bottom="1440" w:gutter="0" w:footer="0" w:header="0"/>
        </w:sectPr>
      </w:pPr>
    </w:p>
    <w:bookmarkStart w:id="11" w:name="page12"/>
    <w:bookmarkEnd w:id="11"/>
    <w:p>
      <w:pPr>
        <w:jc w:val="center"/>
        <w:ind w:right="2779"/>
        <w:spacing w:after="0"/>
        <w:rPr>
          <w:sz w:val="20"/>
          <w:szCs w:val="20"/>
          <w:color w:val="auto"/>
        </w:rPr>
      </w:pPr>
      <w:r>
        <w:rPr>
          <w:rFonts w:ascii="Courier New" w:cs="Courier New" w:eastAsia="Courier New" w:hAnsi="Courier New"/>
          <w:sz w:val="16"/>
          <w:szCs w:val="16"/>
          <w:color w:val="auto"/>
        </w:rPr>
        <w:t>M &amp; R ASSOCIATES LIMITED PARTNERSHIP</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STATEMENTS OF ASSETS, LIABILITIES AND PARTNERS' EQUITY DEFICIENCY</w:t>
      </w:r>
    </w:p>
    <w:p>
      <w:pPr>
        <w:jc w:val="center"/>
        <w:ind w:right="2779"/>
        <w:spacing w:after="0" w:line="236" w:lineRule="auto"/>
        <w:rPr>
          <w:sz w:val="20"/>
          <w:szCs w:val="20"/>
          <w:color w:val="auto"/>
        </w:rPr>
      </w:pPr>
      <w:r>
        <w:rPr>
          <w:rFonts w:ascii="Courier New" w:cs="Courier New" w:eastAsia="Courier New" w:hAnsi="Courier New"/>
          <w:sz w:val="16"/>
          <w:szCs w:val="16"/>
          <w:color w:val="auto"/>
        </w:rPr>
        <w:t>(INCOME TAX BASIS)</w:t>
      </w:r>
    </w:p>
    <w:p>
      <w:pPr>
        <w:jc w:val="center"/>
        <w:ind w:right="2779"/>
        <w:spacing w:after="0" w:line="237" w:lineRule="auto"/>
        <w:rPr>
          <w:sz w:val="20"/>
          <w:szCs w:val="20"/>
          <w:color w:val="auto"/>
        </w:rPr>
      </w:pPr>
      <w:r>
        <w:rPr>
          <w:rFonts w:ascii="Courier New" w:cs="Courier New" w:eastAsia="Courier New" w:hAnsi="Courier New"/>
          <w:sz w:val="16"/>
          <w:szCs w:val="16"/>
          <w:color w:val="auto"/>
        </w:rPr>
        <w:t>DECEMBER 31, 1996 AND 1995</w:t>
      </w:r>
    </w:p>
    <w:p>
      <w:pPr>
        <w:spacing w:after="0" w:line="356"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LIABILITIES AND PARTNERS' EQUITY DEFICIENCY</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00" w:type="dxa"/>
            <w:vAlign w:val="bottom"/>
          </w:tcPr>
          <w:p>
            <w:pPr>
              <w:spacing w:after="0"/>
              <w:rPr>
                <w:sz w:val="15"/>
                <w:szCs w:val="15"/>
                <w:color w:val="auto"/>
              </w:rPr>
            </w:pPr>
          </w:p>
        </w:tc>
        <w:tc>
          <w:tcPr>
            <w:tcW w:w="17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1996</w:t>
            </w:r>
          </w:p>
        </w:tc>
        <w:tc>
          <w:tcPr>
            <w:tcW w:w="13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1995</w:t>
            </w:r>
          </w:p>
        </w:tc>
      </w:tr>
      <w:tr>
        <w:trPr>
          <w:trHeight w:val="179"/>
        </w:trPr>
        <w:tc>
          <w:tcPr>
            <w:tcW w:w="5800" w:type="dxa"/>
            <w:vAlign w:val="bottom"/>
          </w:tcPr>
          <w:p>
            <w:pPr>
              <w:spacing w:after="0"/>
              <w:rPr>
                <w:sz w:val="15"/>
                <w:szCs w:val="15"/>
                <w:color w:val="auto"/>
              </w:rPr>
            </w:pPr>
          </w:p>
        </w:tc>
        <w:tc>
          <w:tcPr>
            <w:tcW w:w="17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80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9"/>
        </w:trPr>
        <w:tc>
          <w:tcPr>
            <w:tcW w:w="58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Mortgage loan payable (Note 4)</w:t>
            </w:r>
          </w:p>
        </w:tc>
        <w:tc>
          <w:tcPr>
            <w:tcW w:w="17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$30,387,820</w:t>
            </w:r>
          </w:p>
        </w:tc>
        <w:tc>
          <w:tcPr>
            <w:tcW w:w="13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$30,215,841</w:t>
            </w:r>
          </w:p>
        </w:tc>
      </w:tr>
      <w:tr>
        <w:trPr>
          <w:trHeight w:val="179"/>
        </w:trPr>
        <w:tc>
          <w:tcPr>
            <w:tcW w:w="5800" w:type="dxa"/>
            <w:vAlign w:val="bottom"/>
          </w:tcPr>
          <w:p>
            <w:pPr>
              <w:spacing w:after="0"/>
              <w:rPr>
                <w:sz w:val="15"/>
                <w:szCs w:val="15"/>
                <w:color w:val="auto"/>
              </w:rPr>
            </w:pPr>
          </w:p>
        </w:tc>
        <w:tc>
          <w:tcPr>
            <w:tcW w:w="17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800" w:type="dxa"/>
            <w:vAlign w:val="bottom"/>
          </w:tcPr>
          <w:p>
            <w:pPr>
              <w:ind w:left="180"/>
              <w:spacing w:after="0"/>
              <w:rPr>
                <w:sz w:val="20"/>
                <w:szCs w:val="20"/>
                <w:color w:val="auto"/>
              </w:rPr>
            </w:pPr>
            <w:r>
              <w:rPr>
                <w:rFonts w:ascii="Courier New" w:cs="Courier New" w:eastAsia="Courier New" w:hAnsi="Courier New"/>
                <w:sz w:val="16"/>
                <w:szCs w:val="16"/>
                <w:color w:val="auto"/>
              </w:rPr>
              <w:t>Other liabilities</w:t>
            </w: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9"/>
        </w:trPr>
        <w:tc>
          <w:tcPr>
            <w:tcW w:w="58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Loans payable, partners (Note 5)</w:t>
            </w:r>
          </w:p>
        </w:tc>
        <w:tc>
          <w:tcPr>
            <w:tcW w:w="17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478,657</w:t>
            </w:r>
          </w:p>
        </w:tc>
        <w:tc>
          <w:tcPr>
            <w:tcW w:w="13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42,103</w:t>
            </w:r>
          </w:p>
        </w:tc>
      </w:tr>
      <w:tr>
        <w:trPr>
          <w:trHeight w:val="179"/>
        </w:trPr>
        <w:tc>
          <w:tcPr>
            <w:tcW w:w="58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Accrued interest</w:t>
            </w:r>
          </w:p>
        </w:tc>
        <w:tc>
          <w:tcPr>
            <w:tcW w:w="17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656,145</w:t>
            </w:r>
          </w:p>
        </w:tc>
        <w:tc>
          <w:tcPr>
            <w:tcW w:w="13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238,372</w:t>
            </w:r>
          </w:p>
        </w:tc>
      </w:tr>
      <w:tr>
        <w:trPr>
          <w:trHeight w:val="179"/>
        </w:trPr>
        <w:tc>
          <w:tcPr>
            <w:tcW w:w="58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Loan payable, Bankruptcy Estate of</w:t>
            </w:r>
          </w:p>
        </w:tc>
        <w:tc>
          <w:tcPr>
            <w:tcW w:w="17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9"/>
        </w:trPr>
        <w:tc>
          <w:tcPr>
            <w:tcW w:w="58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Richard H. and Julia Lee Rubin (Note 5)</w:t>
            </w:r>
          </w:p>
        </w:tc>
        <w:tc>
          <w:tcPr>
            <w:tcW w:w="17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92,977</w:t>
            </w:r>
          </w:p>
        </w:tc>
        <w:tc>
          <w:tcPr>
            <w:tcW w:w="13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92,977</w:t>
            </w:r>
          </w:p>
        </w:tc>
      </w:tr>
      <w:tr>
        <w:trPr>
          <w:trHeight w:val="179"/>
        </w:trPr>
        <w:tc>
          <w:tcPr>
            <w:tcW w:w="58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Accrued expenses</w:t>
            </w:r>
          </w:p>
        </w:tc>
        <w:tc>
          <w:tcPr>
            <w:tcW w:w="17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40,651</w:t>
            </w:r>
          </w:p>
        </w:tc>
        <w:tc>
          <w:tcPr>
            <w:tcW w:w="13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26,214</w:t>
            </w:r>
          </w:p>
        </w:tc>
      </w:tr>
      <w:tr>
        <w:trPr>
          <w:trHeight w:val="179"/>
        </w:trPr>
        <w:tc>
          <w:tcPr>
            <w:tcW w:w="58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Security deposits held</w:t>
            </w:r>
          </w:p>
        </w:tc>
        <w:tc>
          <w:tcPr>
            <w:tcW w:w="17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45,744</w:t>
            </w:r>
          </w:p>
        </w:tc>
        <w:tc>
          <w:tcPr>
            <w:tcW w:w="13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49,038</w:t>
            </w:r>
          </w:p>
        </w:tc>
      </w:tr>
      <w:tr>
        <w:trPr>
          <w:trHeight w:val="179"/>
        </w:trPr>
        <w:tc>
          <w:tcPr>
            <w:tcW w:w="5800" w:type="dxa"/>
            <w:vAlign w:val="bottom"/>
          </w:tcPr>
          <w:p>
            <w:pPr>
              <w:spacing w:after="0"/>
              <w:rPr>
                <w:sz w:val="15"/>
                <w:szCs w:val="15"/>
                <w:color w:val="auto"/>
              </w:rPr>
            </w:pPr>
          </w:p>
        </w:tc>
        <w:tc>
          <w:tcPr>
            <w:tcW w:w="17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0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Total other liabilities</w:t>
            </w:r>
          </w:p>
        </w:tc>
        <w:tc>
          <w:tcPr>
            <w:tcW w:w="17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1,314,174</w:t>
            </w:r>
          </w:p>
        </w:tc>
        <w:tc>
          <w:tcPr>
            <w:tcW w:w="13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448,704</w:t>
            </w:r>
          </w:p>
        </w:tc>
      </w:tr>
      <w:tr>
        <w:trPr>
          <w:trHeight w:val="179"/>
        </w:trPr>
        <w:tc>
          <w:tcPr>
            <w:tcW w:w="5800" w:type="dxa"/>
            <w:vAlign w:val="bottom"/>
          </w:tcPr>
          <w:p>
            <w:pPr>
              <w:spacing w:after="0"/>
              <w:rPr>
                <w:sz w:val="15"/>
                <w:szCs w:val="15"/>
                <w:color w:val="auto"/>
              </w:rPr>
            </w:pPr>
          </w:p>
        </w:tc>
        <w:tc>
          <w:tcPr>
            <w:tcW w:w="17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00" w:type="dxa"/>
            <w:vAlign w:val="bottom"/>
          </w:tcPr>
          <w:p>
            <w:pPr>
              <w:spacing w:after="0"/>
              <w:rPr>
                <w:sz w:val="15"/>
                <w:szCs w:val="15"/>
                <w:color w:val="auto"/>
              </w:rPr>
            </w:pPr>
          </w:p>
        </w:tc>
        <w:tc>
          <w:tcPr>
            <w:tcW w:w="17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31,701,994</w:t>
            </w:r>
          </w:p>
        </w:tc>
        <w:tc>
          <w:tcPr>
            <w:tcW w:w="13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30,664,545</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rPr>
              <w:t>Partners' equity deficiency</w:t>
            </w:r>
          </w:p>
        </w:tc>
        <w:tc>
          <w:tcPr>
            <w:tcW w:w="1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(13,311,539)</w:t>
            </w:r>
          </w:p>
        </w:tc>
        <w:tc>
          <w:tcPr>
            <w:tcW w:w="1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(11,994,809)</w:t>
            </w:r>
          </w:p>
        </w:tc>
      </w:tr>
      <w:tr>
        <w:trPr>
          <w:trHeight w:val="179"/>
        </w:trPr>
        <w:tc>
          <w:tcPr>
            <w:tcW w:w="5800" w:type="dxa"/>
            <w:vAlign w:val="bottom"/>
          </w:tcPr>
          <w:p>
            <w:pPr>
              <w:spacing w:after="0"/>
              <w:rPr>
                <w:sz w:val="15"/>
                <w:szCs w:val="15"/>
                <w:color w:val="auto"/>
              </w:rPr>
            </w:pPr>
          </w:p>
        </w:tc>
        <w:tc>
          <w:tcPr>
            <w:tcW w:w="17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0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Total liabilities and partners' equity deficiency</w:t>
            </w:r>
          </w:p>
        </w:tc>
        <w:tc>
          <w:tcPr>
            <w:tcW w:w="17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$18,390,455</w:t>
            </w:r>
          </w:p>
        </w:tc>
        <w:tc>
          <w:tcPr>
            <w:tcW w:w="13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$18,669,736</w:t>
            </w:r>
          </w:p>
        </w:tc>
      </w:tr>
      <w:tr>
        <w:trPr>
          <w:trHeight w:val="179"/>
        </w:trPr>
        <w:tc>
          <w:tcPr>
            <w:tcW w:w="5800" w:type="dxa"/>
            <w:vAlign w:val="bottom"/>
          </w:tcPr>
          <w:p>
            <w:pPr>
              <w:spacing w:after="0"/>
              <w:rPr>
                <w:sz w:val="15"/>
                <w:szCs w:val="15"/>
                <w:color w:val="auto"/>
              </w:rPr>
            </w:pPr>
          </w:p>
        </w:tc>
        <w:tc>
          <w:tcPr>
            <w:tcW w:w="17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See Notes to Financial Statements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48" w:right="1440" w:bottom="1440" w:gutter="0" w:footer="0" w:header="0"/>
        </w:sectPr>
      </w:pPr>
    </w:p>
    <w:bookmarkStart w:id="12" w:name="page13"/>
    <w:bookmarkEnd w:id="12"/>
    <w:p>
      <w:pPr>
        <w:jc w:val="center"/>
        <w:ind w:right="2779"/>
        <w:spacing w:after="0"/>
        <w:rPr>
          <w:sz w:val="20"/>
          <w:szCs w:val="20"/>
          <w:color w:val="auto"/>
        </w:rPr>
      </w:pPr>
      <w:r>
        <w:rPr>
          <w:rFonts w:ascii="Courier New" w:cs="Courier New" w:eastAsia="Courier New" w:hAnsi="Courier New"/>
          <w:sz w:val="16"/>
          <w:szCs w:val="16"/>
          <w:color w:val="auto"/>
        </w:rPr>
        <w:t>M &amp; R ASSOCIATES LIMITED PARTNERSHIP</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STATEMENTS OF REVENUE AND EXPENSES</w:t>
      </w:r>
    </w:p>
    <w:p>
      <w:pPr>
        <w:jc w:val="center"/>
        <w:ind w:right="2779"/>
        <w:spacing w:after="0" w:line="236" w:lineRule="auto"/>
        <w:rPr>
          <w:sz w:val="20"/>
          <w:szCs w:val="20"/>
          <w:color w:val="auto"/>
        </w:rPr>
      </w:pPr>
      <w:r>
        <w:rPr>
          <w:rFonts w:ascii="Courier New" w:cs="Courier New" w:eastAsia="Courier New" w:hAnsi="Courier New"/>
          <w:sz w:val="16"/>
          <w:szCs w:val="16"/>
          <w:color w:val="auto"/>
        </w:rPr>
        <w:t>(INCOME TAX BASIS)</w:t>
      </w:r>
    </w:p>
    <w:p>
      <w:pPr>
        <w:jc w:val="center"/>
        <w:ind w:right="2779"/>
        <w:spacing w:after="0" w:line="237" w:lineRule="auto"/>
        <w:rPr>
          <w:sz w:val="20"/>
          <w:szCs w:val="20"/>
          <w:color w:val="auto"/>
        </w:rPr>
      </w:pPr>
      <w:r>
        <w:rPr>
          <w:rFonts w:ascii="Courier New" w:cs="Courier New" w:eastAsia="Courier New" w:hAnsi="Courier New"/>
          <w:sz w:val="16"/>
          <w:szCs w:val="16"/>
          <w:color w:val="auto"/>
        </w:rPr>
        <w:t>YEARS ENDED DECEMBER 31, 1996 AND 1995</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00" w:type="dxa"/>
            <w:vAlign w:val="bottom"/>
          </w:tcPr>
          <w:p>
            <w:pPr>
              <w:spacing w:after="0"/>
              <w:rPr>
                <w:sz w:val="15"/>
                <w:szCs w:val="15"/>
                <w:color w:val="auto"/>
              </w:rPr>
            </w:pPr>
          </w:p>
        </w:tc>
        <w:tc>
          <w:tcPr>
            <w:tcW w:w="18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1996</w:t>
            </w:r>
          </w:p>
        </w:tc>
        <w:tc>
          <w:tcPr>
            <w:tcW w:w="13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1995</w:t>
            </w:r>
          </w:p>
        </w:tc>
      </w:tr>
      <w:tr>
        <w:trPr>
          <w:trHeight w:val="179"/>
        </w:trPr>
        <w:tc>
          <w:tcPr>
            <w:tcW w:w="4600" w:type="dxa"/>
            <w:vAlign w:val="bottom"/>
          </w:tcPr>
          <w:p>
            <w:pPr>
              <w:spacing w:after="0"/>
              <w:rPr>
                <w:sz w:val="15"/>
                <w:szCs w:val="15"/>
                <w:color w:val="auto"/>
              </w:rPr>
            </w:pPr>
          </w:p>
        </w:tc>
        <w:tc>
          <w:tcPr>
            <w:tcW w:w="18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00" w:type="dxa"/>
            <w:vAlign w:val="bottom"/>
          </w:tcPr>
          <w:p>
            <w:pPr>
              <w:spacing w:after="0"/>
              <w:rPr>
                <w:sz w:val="20"/>
                <w:szCs w:val="20"/>
                <w:color w:val="auto"/>
              </w:rPr>
            </w:pPr>
            <w:r>
              <w:rPr>
                <w:rFonts w:ascii="Courier New" w:cs="Courier New" w:eastAsia="Courier New" w:hAnsi="Courier New"/>
                <w:sz w:val="16"/>
                <w:szCs w:val="16"/>
                <w:color w:val="auto"/>
              </w:rPr>
              <w:t>Revenue from rents:</w:t>
            </w:r>
          </w:p>
        </w:tc>
        <w:tc>
          <w:tcPr>
            <w:tcW w:w="18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9"/>
        </w:trPr>
        <w:tc>
          <w:tcPr>
            <w:tcW w:w="4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Base rents</w:t>
            </w:r>
          </w:p>
        </w:tc>
        <w:tc>
          <w:tcPr>
            <w:tcW w:w="18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$2,584,935</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$3,033,273</w:t>
            </w:r>
          </w:p>
        </w:tc>
      </w:tr>
      <w:tr>
        <w:trPr>
          <w:trHeight w:val="179"/>
        </w:trPr>
        <w:tc>
          <w:tcPr>
            <w:tcW w:w="4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Contingent rents</w:t>
            </w:r>
          </w:p>
        </w:tc>
        <w:tc>
          <w:tcPr>
            <w:tcW w:w="18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480,357</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521,973</w:t>
            </w:r>
          </w:p>
        </w:tc>
      </w:tr>
      <w:tr>
        <w:trPr>
          <w:trHeight w:val="179"/>
        </w:trPr>
        <w:tc>
          <w:tcPr>
            <w:tcW w:w="4600" w:type="dxa"/>
            <w:vAlign w:val="bottom"/>
          </w:tcPr>
          <w:p>
            <w:pPr>
              <w:spacing w:after="0"/>
              <w:rPr>
                <w:sz w:val="15"/>
                <w:szCs w:val="15"/>
                <w:color w:val="auto"/>
              </w:rPr>
            </w:pPr>
          </w:p>
        </w:tc>
        <w:tc>
          <w:tcPr>
            <w:tcW w:w="18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00" w:type="dxa"/>
            <w:vAlign w:val="bottom"/>
          </w:tcPr>
          <w:p>
            <w:pPr>
              <w:ind w:left="360"/>
              <w:spacing w:after="0"/>
              <w:rPr>
                <w:sz w:val="20"/>
                <w:szCs w:val="20"/>
                <w:color w:val="auto"/>
              </w:rPr>
            </w:pPr>
            <w:r>
              <w:rPr>
                <w:rFonts w:ascii="Courier New" w:cs="Courier New" w:eastAsia="Courier New" w:hAnsi="Courier New"/>
                <w:sz w:val="16"/>
                <w:szCs w:val="16"/>
                <w:color w:val="auto"/>
              </w:rPr>
              <w:t>Total revenue from rents</w:t>
            </w:r>
          </w:p>
        </w:tc>
        <w:tc>
          <w:tcPr>
            <w:tcW w:w="18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3,065,292</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3,555,246</w:t>
            </w:r>
          </w:p>
        </w:tc>
      </w:tr>
      <w:tr>
        <w:trPr>
          <w:trHeight w:val="358"/>
        </w:trPr>
        <w:tc>
          <w:tcPr>
            <w:tcW w:w="460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8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3,608,076</w:t>
            </w:r>
          </w:p>
        </w:tc>
        <w:tc>
          <w:tcPr>
            <w:tcW w:w="13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3,588,967</w:t>
            </w:r>
          </w:p>
        </w:tc>
      </w:tr>
      <w:tr>
        <w:trPr>
          <w:trHeight w:val="179"/>
        </w:trPr>
        <w:tc>
          <w:tcPr>
            <w:tcW w:w="4600" w:type="dxa"/>
            <w:vAlign w:val="bottom"/>
          </w:tcPr>
          <w:p>
            <w:pPr>
              <w:spacing w:after="0"/>
              <w:rPr>
                <w:sz w:val="15"/>
                <w:szCs w:val="15"/>
                <w:color w:val="auto"/>
              </w:rPr>
            </w:pPr>
          </w:p>
        </w:tc>
        <w:tc>
          <w:tcPr>
            <w:tcW w:w="18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00" w:type="dxa"/>
            <w:vAlign w:val="bottom"/>
          </w:tcPr>
          <w:p>
            <w:pPr>
              <w:ind w:left="360"/>
              <w:spacing w:after="0"/>
              <w:rPr>
                <w:sz w:val="20"/>
                <w:szCs w:val="20"/>
                <w:color w:val="auto"/>
              </w:rPr>
            </w:pPr>
            <w:r>
              <w:rPr>
                <w:rFonts w:ascii="Courier New" w:cs="Courier New" w:eastAsia="Courier New" w:hAnsi="Courier New"/>
                <w:sz w:val="16"/>
                <w:szCs w:val="16"/>
                <w:color w:val="auto"/>
              </w:rPr>
              <w:t>Operating loss</w:t>
            </w:r>
          </w:p>
        </w:tc>
        <w:tc>
          <w:tcPr>
            <w:tcW w:w="1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(542,784)</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(33,721)</w:t>
            </w:r>
          </w:p>
        </w:tc>
      </w:tr>
      <w:tr>
        <w:trPr>
          <w:trHeight w:val="358"/>
        </w:trPr>
        <w:tc>
          <w:tcPr>
            <w:tcW w:w="4600" w:type="dxa"/>
            <w:vAlign w:val="bottom"/>
          </w:tcPr>
          <w:p>
            <w:pPr>
              <w:spacing w:after="0"/>
              <w:rPr>
                <w:sz w:val="20"/>
                <w:szCs w:val="20"/>
                <w:color w:val="auto"/>
              </w:rPr>
            </w:pPr>
            <w:r>
              <w:rPr>
                <w:rFonts w:ascii="Courier New" w:cs="Courier New" w:eastAsia="Courier New" w:hAnsi="Courier New"/>
                <w:sz w:val="16"/>
                <w:szCs w:val="16"/>
                <w:color w:val="auto"/>
              </w:rPr>
              <w:t>Other income (deductions):</w:t>
            </w:r>
          </w:p>
        </w:tc>
        <w:tc>
          <w:tcPr>
            <w:tcW w:w="18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9"/>
        </w:trPr>
        <w:tc>
          <w:tcPr>
            <w:tcW w:w="4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Interest income</w:t>
            </w:r>
          </w:p>
        </w:tc>
        <w:tc>
          <w:tcPr>
            <w:tcW w:w="18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7,442</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9,720</w:t>
            </w:r>
          </w:p>
        </w:tc>
      </w:tr>
      <w:tr>
        <w:trPr>
          <w:trHeight w:val="179"/>
        </w:trPr>
        <w:tc>
          <w:tcPr>
            <w:tcW w:w="4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Depreciation of buildings and improvements</w:t>
            </w:r>
          </w:p>
        </w:tc>
        <w:tc>
          <w:tcPr>
            <w:tcW w:w="18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(233,691)</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(233,209)</w:t>
            </w:r>
          </w:p>
        </w:tc>
      </w:tr>
      <w:tr>
        <w:trPr>
          <w:trHeight w:val="179"/>
        </w:trPr>
        <w:tc>
          <w:tcPr>
            <w:tcW w:w="4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Amortization of deferred expenses</w:t>
            </w:r>
          </w:p>
        </w:tc>
        <w:tc>
          <w:tcPr>
            <w:tcW w:w="18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(537,087)</w:t>
            </w:r>
          </w:p>
        </w:tc>
        <w:tc>
          <w:tcPr>
            <w:tcW w:w="13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(533,565)</w:t>
            </w:r>
          </w:p>
        </w:tc>
      </w:tr>
      <w:tr>
        <w:trPr>
          <w:trHeight w:val="179"/>
        </w:trPr>
        <w:tc>
          <w:tcPr>
            <w:tcW w:w="4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Miscellaneous income</w:t>
            </w:r>
          </w:p>
        </w:tc>
        <w:tc>
          <w:tcPr>
            <w:tcW w:w="18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7,390</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56,588</w:t>
            </w:r>
          </w:p>
        </w:tc>
      </w:tr>
      <w:tr>
        <w:trPr>
          <w:trHeight w:val="179"/>
        </w:trPr>
        <w:tc>
          <w:tcPr>
            <w:tcW w:w="4600" w:type="dxa"/>
            <w:vAlign w:val="bottom"/>
          </w:tcPr>
          <w:p>
            <w:pPr>
              <w:spacing w:after="0"/>
              <w:rPr>
                <w:sz w:val="15"/>
                <w:szCs w:val="15"/>
                <w:color w:val="auto"/>
              </w:rPr>
            </w:pPr>
          </w:p>
        </w:tc>
        <w:tc>
          <w:tcPr>
            <w:tcW w:w="18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00" w:type="dxa"/>
            <w:vAlign w:val="bottom"/>
          </w:tcPr>
          <w:p>
            <w:pPr>
              <w:ind w:left="360"/>
              <w:spacing w:after="0"/>
              <w:rPr>
                <w:sz w:val="20"/>
                <w:szCs w:val="20"/>
                <w:color w:val="auto"/>
              </w:rPr>
            </w:pPr>
            <w:r>
              <w:rPr>
                <w:rFonts w:ascii="Courier New" w:cs="Courier New" w:eastAsia="Courier New" w:hAnsi="Courier New"/>
                <w:sz w:val="16"/>
                <w:szCs w:val="16"/>
                <w:color w:val="auto"/>
              </w:rPr>
              <w:t>Other deductions, net</w:t>
            </w:r>
          </w:p>
        </w:tc>
        <w:tc>
          <w:tcPr>
            <w:tcW w:w="1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(755,946)</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(700,466)</w:t>
            </w:r>
          </w:p>
        </w:tc>
      </w:tr>
      <w:tr>
        <w:trPr>
          <w:trHeight w:val="179"/>
        </w:trPr>
        <w:tc>
          <w:tcPr>
            <w:tcW w:w="4600" w:type="dxa"/>
            <w:vAlign w:val="bottom"/>
          </w:tcPr>
          <w:p>
            <w:pPr>
              <w:spacing w:after="0"/>
              <w:rPr>
                <w:sz w:val="15"/>
                <w:szCs w:val="15"/>
                <w:color w:val="auto"/>
              </w:rPr>
            </w:pPr>
          </w:p>
        </w:tc>
        <w:tc>
          <w:tcPr>
            <w:tcW w:w="18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00" w:type="dxa"/>
            <w:vAlign w:val="bottom"/>
          </w:tcPr>
          <w:p>
            <w:pPr>
              <w:spacing w:after="0"/>
              <w:rPr>
                <w:sz w:val="20"/>
                <w:szCs w:val="20"/>
                <w:color w:val="auto"/>
              </w:rPr>
            </w:pPr>
            <w:r>
              <w:rPr>
                <w:rFonts w:ascii="Courier New" w:cs="Courier New" w:eastAsia="Courier New" w:hAnsi="Courier New"/>
                <w:sz w:val="16"/>
                <w:szCs w:val="16"/>
                <w:color w:val="auto"/>
              </w:rPr>
              <w:t>Excess of expenses over revenue</w:t>
            </w:r>
          </w:p>
        </w:tc>
        <w:tc>
          <w:tcPr>
            <w:tcW w:w="1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($1,298,730)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($734,187)</w:t>
            </w:r>
          </w:p>
        </w:tc>
      </w:tr>
      <w:tr>
        <w:trPr>
          <w:trHeight w:val="179"/>
        </w:trPr>
        <w:tc>
          <w:tcPr>
            <w:tcW w:w="4600" w:type="dxa"/>
            <w:vAlign w:val="bottom"/>
          </w:tcPr>
          <w:p>
            <w:pPr>
              <w:spacing w:after="0"/>
              <w:rPr>
                <w:sz w:val="15"/>
                <w:szCs w:val="15"/>
                <w:color w:val="auto"/>
              </w:rPr>
            </w:pPr>
          </w:p>
        </w:tc>
        <w:tc>
          <w:tcPr>
            <w:tcW w:w="18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See Notes to Financial Statements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48" w:right="1440" w:bottom="1440" w:gutter="0" w:footer="0" w:header="0"/>
        </w:sectPr>
      </w:pPr>
    </w:p>
    <w:bookmarkStart w:id="13" w:name="page14"/>
    <w:bookmarkEnd w:id="13"/>
    <w:p>
      <w:pPr>
        <w:ind w:left="2040"/>
        <w:spacing w:after="0"/>
        <w:rPr>
          <w:sz w:val="20"/>
          <w:szCs w:val="20"/>
          <w:color w:val="auto"/>
        </w:rPr>
      </w:pPr>
      <w:r>
        <w:rPr>
          <w:rFonts w:ascii="Courier New" w:cs="Courier New" w:eastAsia="Courier New" w:hAnsi="Courier New"/>
          <w:sz w:val="16"/>
          <w:szCs w:val="16"/>
          <w:color w:val="auto"/>
        </w:rPr>
        <w:t>M &amp; R ASSOCIATES LIMITED PARTNERSHIP</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STATEMENTS OF PARTNERS' EQUITY DEFICIENCY</w:t>
      </w:r>
    </w:p>
    <w:p>
      <w:pPr>
        <w:jc w:val="center"/>
        <w:ind w:right="2779"/>
        <w:spacing w:after="0" w:line="236" w:lineRule="auto"/>
        <w:rPr>
          <w:sz w:val="20"/>
          <w:szCs w:val="20"/>
          <w:color w:val="auto"/>
        </w:rPr>
      </w:pPr>
      <w:r>
        <w:rPr>
          <w:rFonts w:ascii="Courier New" w:cs="Courier New" w:eastAsia="Courier New" w:hAnsi="Courier New"/>
          <w:sz w:val="16"/>
          <w:szCs w:val="16"/>
          <w:color w:val="auto"/>
        </w:rPr>
        <w:t>(INCOME TAX BASIS)</w:t>
      </w:r>
    </w:p>
    <w:p>
      <w:pPr>
        <w:jc w:val="center"/>
        <w:ind w:right="2779"/>
        <w:spacing w:after="0" w:line="237" w:lineRule="auto"/>
        <w:rPr>
          <w:sz w:val="20"/>
          <w:szCs w:val="20"/>
          <w:color w:val="auto"/>
        </w:rPr>
      </w:pPr>
      <w:r>
        <w:rPr>
          <w:rFonts w:ascii="Courier New" w:cs="Courier New" w:eastAsia="Courier New" w:hAnsi="Courier New"/>
          <w:sz w:val="16"/>
          <w:szCs w:val="16"/>
          <w:color w:val="auto"/>
        </w:rPr>
        <w:t>YEARS ENDED DECEMBER 31, 1996 AND 1995</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60" w:type="dxa"/>
            <w:vAlign w:val="bottom"/>
          </w:tcPr>
          <w:p>
            <w:pPr>
              <w:spacing w:after="0"/>
              <w:rPr>
                <w:sz w:val="15"/>
                <w:szCs w:val="15"/>
                <w:color w:val="auto"/>
              </w:rPr>
            </w:pPr>
          </w:p>
        </w:tc>
        <w:tc>
          <w:tcPr>
            <w:tcW w:w="2420" w:type="dxa"/>
            <w:vAlign w:val="bottom"/>
          </w:tcPr>
          <w:p>
            <w:pPr>
              <w:jc w:val="right"/>
              <w:ind w:right="702"/>
              <w:spacing w:after="0"/>
              <w:rPr>
                <w:sz w:val="20"/>
                <w:szCs w:val="20"/>
                <w:color w:val="auto"/>
              </w:rPr>
            </w:pPr>
            <w:r>
              <w:rPr>
                <w:rFonts w:ascii="Courier New" w:cs="Courier New" w:eastAsia="Courier New" w:hAnsi="Courier New"/>
                <w:sz w:val="16"/>
                <w:szCs w:val="16"/>
                <w:color w:val="auto"/>
              </w:rPr>
              <w:t>1996</w:t>
            </w: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1995</w:t>
            </w:r>
          </w:p>
        </w:tc>
      </w:tr>
      <w:tr>
        <w:trPr>
          <w:trHeight w:val="179"/>
        </w:trPr>
        <w:tc>
          <w:tcPr>
            <w:tcW w:w="5060" w:type="dxa"/>
            <w:vAlign w:val="bottom"/>
          </w:tcPr>
          <w:p>
            <w:pPr>
              <w:spacing w:after="0"/>
              <w:rPr>
                <w:sz w:val="15"/>
                <w:szCs w:val="15"/>
                <w:color w:val="auto"/>
              </w:rPr>
            </w:pPr>
          </w:p>
        </w:tc>
        <w:tc>
          <w:tcPr>
            <w:tcW w:w="24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060" w:type="dxa"/>
            <w:vAlign w:val="bottom"/>
          </w:tcPr>
          <w:p>
            <w:pPr>
              <w:spacing w:after="0"/>
              <w:rPr>
                <w:sz w:val="20"/>
                <w:szCs w:val="20"/>
                <w:color w:val="auto"/>
              </w:rPr>
            </w:pPr>
            <w:r>
              <w:rPr>
                <w:rFonts w:ascii="Courier New" w:cs="Courier New" w:eastAsia="Courier New" w:hAnsi="Courier New"/>
                <w:sz w:val="16"/>
                <w:szCs w:val="16"/>
                <w:color w:val="auto"/>
              </w:rPr>
              <w:t>Partners' equity deficiency, beginning of year</w:t>
            </w:r>
          </w:p>
        </w:tc>
        <w:tc>
          <w:tcPr>
            <w:tcW w:w="24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($11,994,809)</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($11,233,409)</w:t>
            </w:r>
          </w:p>
        </w:tc>
      </w:tr>
      <w:tr>
        <w:trPr>
          <w:trHeight w:val="358"/>
        </w:trPr>
        <w:tc>
          <w:tcPr>
            <w:tcW w:w="5060" w:type="dxa"/>
            <w:vAlign w:val="bottom"/>
          </w:tcPr>
          <w:p>
            <w:pPr>
              <w:spacing w:after="0"/>
              <w:rPr>
                <w:sz w:val="20"/>
                <w:szCs w:val="20"/>
                <w:color w:val="auto"/>
              </w:rPr>
            </w:pPr>
            <w:r>
              <w:rPr>
                <w:rFonts w:ascii="Courier New" w:cs="Courier New" w:eastAsia="Courier New" w:hAnsi="Courier New"/>
                <w:sz w:val="16"/>
                <w:szCs w:val="16"/>
                <w:color w:val="auto"/>
              </w:rPr>
              <w:t>Excess of expenses over revenue</w:t>
            </w:r>
          </w:p>
        </w:tc>
        <w:tc>
          <w:tcPr>
            <w:tcW w:w="24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(1,298,730)</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(734,187)</w:t>
            </w:r>
          </w:p>
        </w:tc>
      </w:tr>
      <w:tr>
        <w:trPr>
          <w:trHeight w:val="358"/>
        </w:trPr>
        <w:tc>
          <w:tcPr>
            <w:tcW w:w="5060" w:type="dxa"/>
            <w:vAlign w:val="bottom"/>
          </w:tcPr>
          <w:p>
            <w:pPr>
              <w:spacing w:after="0"/>
              <w:rPr>
                <w:sz w:val="20"/>
                <w:szCs w:val="20"/>
                <w:color w:val="auto"/>
              </w:rPr>
            </w:pPr>
            <w:r>
              <w:rPr>
                <w:rFonts w:ascii="Courier New" w:cs="Courier New" w:eastAsia="Courier New" w:hAnsi="Courier New"/>
                <w:sz w:val="16"/>
                <w:szCs w:val="16"/>
                <w:color w:val="auto"/>
              </w:rPr>
              <w:t>Distributions to partners</w:t>
            </w:r>
          </w:p>
        </w:tc>
        <w:tc>
          <w:tcPr>
            <w:tcW w:w="24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(18,000)</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(27,213)</w:t>
            </w:r>
          </w:p>
        </w:tc>
      </w:tr>
      <w:tr>
        <w:trPr>
          <w:trHeight w:val="179"/>
        </w:trPr>
        <w:tc>
          <w:tcPr>
            <w:tcW w:w="5060" w:type="dxa"/>
            <w:vAlign w:val="bottom"/>
          </w:tcPr>
          <w:p>
            <w:pPr>
              <w:spacing w:after="0"/>
              <w:rPr>
                <w:sz w:val="15"/>
                <w:szCs w:val="15"/>
                <w:color w:val="auto"/>
              </w:rPr>
            </w:pPr>
          </w:p>
        </w:tc>
        <w:tc>
          <w:tcPr>
            <w:tcW w:w="24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60" w:type="dxa"/>
            <w:vAlign w:val="bottom"/>
          </w:tcPr>
          <w:p>
            <w:pPr>
              <w:spacing w:after="0" w:line="179" w:lineRule="exact"/>
              <w:rPr>
                <w:sz w:val="20"/>
                <w:szCs w:val="20"/>
                <w:color w:val="auto"/>
              </w:rPr>
            </w:pPr>
            <w:r>
              <w:rPr>
                <w:rFonts w:ascii="Courier New" w:cs="Courier New" w:eastAsia="Courier New" w:hAnsi="Courier New"/>
                <w:sz w:val="16"/>
                <w:szCs w:val="16"/>
                <w:color w:val="auto"/>
              </w:rPr>
              <w:t>Partners' equity deficiency, end of year</w:t>
            </w:r>
          </w:p>
        </w:tc>
        <w:tc>
          <w:tcPr>
            <w:tcW w:w="24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($13,311,539)</w:t>
            </w:r>
          </w:p>
        </w:tc>
        <w:tc>
          <w:tcPr>
            <w:tcW w:w="1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($11,994,809)</w:t>
            </w:r>
          </w:p>
        </w:tc>
      </w:tr>
      <w:tr>
        <w:trPr>
          <w:trHeight w:val="179"/>
        </w:trPr>
        <w:tc>
          <w:tcPr>
            <w:tcW w:w="5060" w:type="dxa"/>
            <w:vAlign w:val="bottom"/>
          </w:tcPr>
          <w:p>
            <w:pPr>
              <w:spacing w:after="0"/>
              <w:rPr>
                <w:sz w:val="15"/>
                <w:szCs w:val="15"/>
                <w:color w:val="auto"/>
              </w:rPr>
            </w:pPr>
          </w:p>
        </w:tc>
        <w:tc>
          <w:tcPr>
            <w:tcW w:w="24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See Notes to Financial Statements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48" w:right="1440" w:bottom="1440" w:gutter="0" w:footer="0" w:header="0"/>
        </w:sectPr>
      </w:pPr>
    </w:p>
    <w:bookmarkStart w:id="14" w:name="page15"/>
    <w:bookmarkEnd w:id="14"/>
    <w:p>
      <w:pPr>
        <w:jc w:val="center"/>
        <w:ind w:right="3360"/>
        <w:spacing w:after="0"/>
        <w:rPr>
          <w:sz w:val="20"/>
          <w:szCs w:val="20"/>
          <w:color w:val="auto"/>
        </w:rPr>
      </w:pPr>
      <w:r>
        <w:rPr>
          <w:rFonts w:ascii="Courier New" w:cs="Courier New" w:eastAsia="Courier New" w:hAnsi="Courier New"/>
          <w:sz w:val="16"/>
          <w:szCs w:val="16"/>
          <w:color w:val="auto"/>
        </w:rPr>
        <w:t>M &amp; R ASSOCIATES LIMITED PARTNERSHIP</w:t>
      </w:r>
    </w:p>
    <w:p>
      <w:pPr>
        <w:spacing w:after="0" w:line="177"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6"/>
          <w:szCs w:val="16"/>
          <w:color w:val="auto"/>
        </w:rPr>
        <w:t>STATEMENTS OF CASH FLOWS</w:t>
      </w:r>
    </w:p>
    <w:p>
      <w:pPr>
        <w:jc w:val="center"/>
        <w:ind w:right="3360"/>
        <w:spacing w:after="0" w:line="236" w:lineRule="auto"/>
        <w:rPr>
          <w:sz w:val="20"/>
          <w:szCs w:val="20"/>
          <w:color w:val="auto"/>
        </w:rPr>
      </w:pPr>
      <w:r>
        <w:rPr>
          <w:rFonts w:ascii="Courier New" w:cs="Courier New" w:eastAsia="Courier New" w:hAnsi="Courier New"/>
          <w:sz w:val="16"/>
          <w:szCs w:val="16"/>
          <w:color w:val="auto"/>
        </w:rPr>
        <w:t>(INCOME TAX BASIS)</w:t>
      </w:r>
    </w:p>
    <w:p>
      <w:pPr>
        <w:jc w:val="center"/>
        <w:ind w:right="3360"/>
        <w:spacing w:after="0" w:line="237" w:lineRule="auto"/>
        <w:rPr>
          <w:sz w:val="20"/>
          <w:szCs w:val="20"/>
          <w:color w:val="auto"/>
        </w:rPr>
      </w:pPr>
      <w:r>
        <w:rPr>
          <w:rFonts w:ascii="Courier New" w:cs="Courier New" w:eastAsia="Courier New" w:hAnsi="Courier New"/>
          <w:sz w:val="16"/>
          <w:szCs w:val="16"/>
          <w:color w:val="auto"/>
        </w:rPr>
        <w:t>YEARS ENDED DECEMBER 31, 1996 AND 1995</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20" w:type="dxa"/>
            <w:vAlign w:val="bottom"/>
          </w:tcPr>
          <w:p>
            <w:pPr>
              <w:spacing w:after="0"/>
              <w:rPr>
                <w:sz w:val="15"/>
                <w:szCs w:val="15"/>
                <w:color w:val="auto"/>
              </w:rPr>
            </w:pPr>
          </w:p>
        </w:tc>
        <w:tc>
          <w:tcPr>
            <w:tcW w:w="248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1996</w:t>
            </w:r>
          </w:p>
        </w:tc>
        <w:tc>
          <w:tcPr>
            <w:tcW w:w="19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1995</w:t>
            </w:r>
          </w:p>
        </w:tc>
      </w:tr>
      <w:tr>
        <w:trPr>
          <w:trHeight w:val="179"/>
        </w:trPr>
        <w:tc>
          <w:tcPr>
            <w:tcW w:w="6220" w:type="dxa"/>
            <w:vAlign w:val="bottom"/>
          </w:tcPr>
          <w:p>
            <w:pPr>
              <w:spacing w:after="0"/>
              <w:rPr>
                <w:sz w:val="15"/>
                <w:szCs w:val="15"/>
                <w:color w:val="auto"/>
              </w:rPr>
            </w:pPr>
          </w:p>
        </w:tc>
        <w:tc>
          <w:tcPr>
            <w:tcW w:w="24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22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24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79"/>
        </w:trPr>
        <w:tc>
          <w:tcPr>
            <w:tcW w:w="62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Excess of expenses over revenue</w:t>
            </w:r>
          </w:p>
        </w:tc>
        <w:tc>
          <w:tcPr>
            <w:tcW w:w="24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($1,298,730)</w:t>
            </w: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($734,187)</w:t>
            </w:r>
          </w:p>
        </w:tc>
      </w:tr>
      <w:tr>
        <w:trPr>
          <w:trHeight w:val="179"/>
        </w:trPr>
        <w:tc>
          <w:tcPr>
            <w:tcW w:w="62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Adjustments to reconcile excess of expenses over</w:t>
            </w:r>
          </w:p>
        </w:tc>
        <w:tc>
          <w:tcPr>
            <w:tcW w:w="24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9"/>
        </w:trPr>
        <w:tc>
          <w:tcPr>
            <w:tcW w:w="622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revenue to net cash provided by operating activities:</w:t>
            </w:r>
          </w:p>
        </w:tc>
        <w:tc>
          <w:tcPr>
            <w:tcW w:w="24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9"/>
        </w:trPr>
        <w:tc>
          <w:tcPr>
            <w:tcW w:w="622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248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770,778</w:t>
            </w:r>
          </w:p>
        </w:tc>
        <w:tc>
          <w:tcPr>
            <w:tcW w:w="1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766,774</w:t>
            </w:r>
          </w:p>
        </w:tc>
      </w:tr>
      <w:tr>
        <w:trPr>
          <w:trHeight w:val="179"/>
        </w:trPr>
        <w:tc>
          <w:tcPr>
            <w:tcW w:w="622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Accrued interest added to mortgage and</w:t>
            </w:r>
          </w:p>
        </w:tc>
        <w:tc>
          <w:tcPr>
            <w:tcW w:w="24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9"/>
        </w:trPr>
        <w:tc>
          <w:tcPr>
            <w:tcW w:w="622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partner loans payable</w:t>
            </w:r>
          </w:p>
        </w:tc>
        <w:tc>
          <w:tcPr>
            <w:tcW w:w="248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192,208</w:t>
            </w:r>
          </w:p>
        </w:tc>
        <w:tc>
          <w:tcPr>
            <w:tcW w:w="1900" w:type="dxa"/>
            <w:vAlign w:val="bottom"/>
          </w:tcPr>
          <w:p>
            <w:pPr>
              <w:spacing w:after="0"/>
              <w:rPr>
                <w:sz w:val="15"/>
                <w:szCs w:val="15"/>
                <w:color w:val="auto"/>
              </w:rPr>
            </w:pPr>
          </w:p>
        </w:tc>
      </w:tr>
      <w:tr>
        <w:trPr>
          <w:trHeight w:val="179"/>
        </w:trPr>
        <w:tc>
          <w:tcPr>
            <w:tcW w:w="622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Loss on disposal of building improvements and</w:t>
            </w:r>
          </w:p>
        </w:tc>
        <w:tc>
          <w:tcPr>
            <w:tcW w:w="24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9"/>
        </w:trPr>
        <w:tc>
          <w:tcPr>
            <w:tcW w:w="622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deferred leasing costs</w:t>
            </w:r>
          </w:p>
        </w:tc>
        <w:tc>
          <w:tcPr>
            <w:tcW w:w="248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8,028</w:t>
            </w:r>
          </w:p>
        </w:tc>
        <w:tc>
          <w:tcPr>
            <w:tcW w:w="1900" w:type="dxa"/>
            <w:vAlign w:val="bottom"/>
          </w:tcPr>
          <w:p>
            <w:pPr>
              <w:spacing w:after="0"/>
              <w:rPr>
                <w:sz w:val="15"/>
                <w:szCs w:val="15"/>
                <w:color w:val="auto"/>
              </w:rPr>
            </w:pPr>
          </w:p>
        </w:tc>
      </w:tr>
      <w:tr>
        <w:trPr>
          <w:trHeight w:val="179"/>
        </w:trPr>
        <w:tc>
          <w:tcPr>
            <w:tcW w:w="622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Changes in assets and liabilities:</w:t>
            </w:r>
          </w:p>
        </w:tc>
        <w:tc>
          <w:tcPr>
            <w:tcW w:w="24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9"/>
        </w:trPr>
        <w:tc>
          <w:tcPr>
            <w:tcW w:w="622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(Increase) decrease in:</w:t>
            </w:r>
          </w:p>
        </w:tc>
        <w:tc>
          <w:tcPr>
            <w:tcW w:w="24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9"/>
        </w:trPr>
        <w:tc>
          <w:tcPr>
            <w:tcW w:w="6220" w:type="dxa"/>
            <w:vAlign w:val="bottom"/>
          </w:tcPr>
          <w:p>
            <w:pPr>
              <w:ind w:left="1580"/>
              <w:spacing w:after="0" w:line="179" w:lineRule="exact"/>
              <w:rPr>
                <w:sz w:val="20"/>
                <w:szCs w:val="20"/>
                <w:color w:val="auto"/>
              </w:rPr>
            </w:pPr>
            <w:r>
              <w:rPr>
                <w:rFonts w:ascii="Courier New" w:cs="Courier New" w:eastAsia="Courier New" w:hAnsi="Courier New"/>
                <w:sz w:val="16"/>
                <w:szCs w:val="16"/>
                <w:color w:val="auto"/>
              </w:rPr>
              <w:t>Prepaid expenses and other assets</w:t>
            </w:r>
          </w:p>
        </w:tc>
        <w:tc>
          <w:tcPr>
            <w:tcW w:w="248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1,046</w:t>
            </w:r>
          </w:p>
        </w:tc>
        <w:tc>
          <w:tcPr>
            <w:tcW w:w="1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1,257</w:t>
            </w:r>
          </w:p>
        </w:tc>
      </w:tr>
      <w:tr>
        <w:trPr>
          <w:trHeight w:val="179"/>
        </w:trPr>
        <w:tc>
          <w:tcPr>
            <w:tcW w:w="6220" w:type="dxa"/>
            <w:vAlign w:val="bottom"/>
          </w:tcPr>
          <w:p>
            <w:pPr>
              <w:ind w:left="1580"/>
              <w:spacing w:after="0" w:line="179" w:lineRule="exact"/>
              <w:rPr>
                <w:sz w:val="20"/>
                <w:szCs w:val="20"/>
                <w:color w:val="auto"/>
              </w:rPr>
            </w:pPr>
            <w:r>
              <w:rPr>
                <w:rFonts w:ascii="Courier New" w:cs="Courier New" w:eastAsia="Courier New" w:hAnsi="Courier New"/>
                <w:sz w:val="16"/>
                <w:szCs w:val="16"/>
                <w:color w:val="auto"/>
              </w:rPr>
              <w:t>Due from/to related entities</w:t>
            </w:r>
          </w:p>
        </w:tc>
        <w:tc>
          <w:tcPr>
            <w:tcW w:w="248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13,289</w:t>
            </w:r>
          </w:p>
        </w:tc>
        <w:tc>
          <w:tcPr>
            <w:tcW w:w="1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13,196</w:t>
            </w:r>
          </w:p>
        </w:tc>
      </w:tr>
      <w:tr>
        <w:trPr>
          <w:trHeight w:val="179"/>
        </w:trPr>
        <w:tc>
          <w:tcPr>
            <w:tcW w:w="6220" w:type="dxa"/>
            <w:vAlign w:val="bottom"/>
          </w:tcPr>
          <w:p>
            <w:pPr>
              <w:ind w:left="1580"/>
              <w:spacing w:after="0" w:line="179" w:lineRule="exact"/>
              <w:rPr>
                <w:sz w:val="20"/>
                <w:szCs w:val="20"/>
                <w:color w:val="auto"/>
              </w:rPr>
            </w:pPr>
            <w:r>
              <w:rPr>
                <w:rFonts w:ascii="Courier New" w:cs="Courier New" w:eastAsia="Courier New" w:hAnsi="Courier New"/>
                <w:sz w:val="16"/>
                <w:szCs w:val="16"/>
                <w:color w:val="auto"/>
              </w:rPr>
              <w:t>Rents receivable</w:t>
            </w:r>
          </w:p>
        </w:tc>
        <w:tc>
          <w:tcPr>
            <w:tcW w:w="248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23,224</w:t>
            </w: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(10,216)</w:t>
            </w:r>
          </w:p>
        </w:tc>
      </w:tr>
      <w:tr>
        <w:trPr>
          <w:trHeight w:val="179"/>
        </w:trPr>
        <w:tc>
          <w:tcPr>
            <w:tcW w:w="6220" w:type="dxa"/>
            <w:vAlign w:val="bottom"/>
          </w:tcPr>
          <w:p>
            <w:pPr>
              <w:ind w:left="1580"/>
              <w:spacing w:after="0" w:line="179" w:lineRule="exact"/>
              <w:rPr>
                <w:sz w:val="20"/>
                <w:szCs w:val="20"/>
                <w:color w:val="auto"/>
              </w:rPr>
            </w:pPr>
            <w:r>
              <w:rPr>
                <w:rFonts w:ascii="Courier New" w:cs="Courier New" w:eastAsia="Courier New" w:hAnsi="Courier New"/>
                <w:sz w:val="16"/>
                <w:szCs w:val="16"/>
                <w:color w:val="auto"/>
              </w:rPr>
              <w:t>Property tax refund receivable</w:t>
            </w:r>
          </w:p>
        </w:tc>
        <w:tc>
          <w:tcPr>
            <w:tcW w:w="24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(44,217)</w:t>
            </w:r>
          </w:p>
        </w:tc>
        <w:tc>
          <w:tcPr>
            <w:tcW w:w="1900" w:type="dxa"/>
            <w:vAlign w:val="bottom"/>
          </w:tcPr>
          <w:p>
            <w:pPr>
              <w:spacing w:after="0"/>
              <w:rPr>
                <w:sz w:val="15"/>
                <w:szCs w:val="15"/>
                <w:color w:val="auto"/>
              </w:rPr>
            </w:pPr>
          </w:p>
        </w:tc>
      </w:tr>
      <w:tr>
        <w:trPr>
          <w:trHeight w:val="179"/>
        </w:trPr>
        <w:tc>
          <w:tcPr>
            <w:tcW w:w="622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Increase (decrease) in:</w:t>
            </w:r>
          </w:p>
        </w:tc>
        <w:tc>
          <w:tcPr>
            <w:tcW w:w="24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9"/>
        </w:trPr>
        <w:tc>
          <w:tcPr>
            <w:tcW w:w="62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Accrued interest</w:t>
            </w:r>
          </w:p>
        </w:tc>
        <w:tc>
          <w:tcPr>
            <w:tcW w:w="248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417,773</w:t>
            </w:r>
          </w:p>
        </w:tc>
        <w:tc>
          <w:tcPr>
            <w:tcW w:w="1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9,447</w:t>
            </w:r>
          </w:p>
        </w:tc>
      </w:tr>
      <w:tr>
        <w:trPr>
          <w:trHeight w:val="179"/>
        </w:trPr>
        <w:tc>
          <w:tcPr>
            <w:tcW w:w="62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Accrued expenses</w:t>
            </w:r>
          </w:p>
        </w:tc>
        <w:tc>
          <w:tcPr>
            <w:tcW w:w="248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14,437</w:t>
            </w: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(14,851)</w:t>
            </w:r>
          </w:p>
        </w:tc>
      </w:tr>
      <w:tr>
        <w:trPr>
          <w:trHeight w:val="179"/>
        </w:trPr>
        <w:tc>
          <w:tcPr>
            <w:tcW w:w="622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Security deposits held</w:t>
            </w:r>
          </w:p>
        </w:tc>
        <w:tc>
          <w:tcPr>
            <w:tcW w:w="24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(3,294)</w:t>
            </w:r>
          </w:p>
        </w:tc>
        <w:tc>
          <w:tcPr>
            <w:tcW w:w="1900" w:type="dxa"/>
            <w:vAlign w:val="bottom"/>
          </w:tcPr>
          <w:p>
            <w:pPr>
              <w:spacing w:after="0"/>
              <w:rPr>
                <w:sz w:val="15"/>
                <w:szCs w:val="15"/>
                <w:color w:val="auto"/>
              </w:rPr>
            </w:pPr>
          </w:p>
        </w:tc>
      </w:tr>
      <w:tr>
        <w:trPr>
          <w:trHeight w:val="179"/>
        </w:trPr>
        <w:tc>
          <w:tcPr>
            <w:tcW w:w="6220" w:type="dxa"/>
            <w:vAlign w:val="bottom"/>
          </w:tcPr>
          <w:p>
            <w:pPr>
              <w:spacing w:after="0"/>
              <w:rPr>
                <w:sz w:val="15"/>
                <w:szCs w:val="15"/>
                <w:color w:val="auto"/>
              </w:rPr>
            </w:pPr>
          </w:p>
        </w:tc>
        <w:tc>
          <w:tcPr>
            <w:tcW w:w="24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220" w:type="dxa"/>
            <w:vAlign w:val="bottom"/>
          </w:tcPr>
          <w:p>
            <w:pPr>
              <w:ind w:left="46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24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94,542</w:t>
            </w:r>
          </w:p>
        </w:tc>
        <w:tc>
          <w:tcPr>
            <w:tcW w:w="1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31,420</w:t>
            </w:r>
          </w:p>
        </w:tc>
      </w:tr>
      <w:tr>
        <w:trPr>
          <w:trHeight w:val="358"/>
        </w:trPr>
        <w:tc>
          <w:tcPr>
            <w:tcW w:w="6220" w:type="dxa"/>
            <w:vAlign w:val="bottom"/>
          </w:tcPr>
          <w:p>
            <w:pPr>
              <w:spacing w:after="0"/>
              <w:rPr>
                <w:sz w:val="24"/>
                <w:szCs w:val="24"/>
                <w:color w:val="auto"/>
              </w:rPr>
            </w:pPr>
          </w:p>
        </w:tc>
        <w:tc>
          <w:tcPr>
            <w:tcW w:w="24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79"/>
        </w:trPr>
        <w:tc>
          <w:tcPr>
            <w:tcW w:w="6220" w:type="dxa"/>
            <w:vAlign w:val="bottom"/>
          </w:tcPr>
          <w:p>
            <w:pPr>
              <w:spacing w:after="0" w:line="179" w:lineRule="exact"/>
              <w:rPr>
                <w:sz w:val="20"/>
                <w:szCs w:val="20"/>
                <w:color w:val="auto"/>
              </w:rPr>
            </w:pPr>
            <w:r>
              <w:rPr>
                <w:rFonts w:ascii="Courier New" w:cs="Courier New" w:eastAsia="Courier New" w:hAnsi="Courier New"/>
                <w:sz w:val="16"/>
                <w:szCs w:val="16"/>
                <w:color w:val="auto"/>
              </w:rPr>
              <w:t>Investing activities:</w:t>
            </w:r>
          </w:p>
        </w:tc>
        <w:tc>
          <w:tcPr>
            <w:tcW w:w="24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9"/>
        </w:trPr>
        <w:tc>
          <w:tcPr>
            <w:tcW w:w="62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Cash, restricted for future capital improvements, net</w:t>
            </w:r>
          </w:p>
        </w:tc>
        <w:tc>
          <w:tcPr>
            <w:tcW w:w="248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51,031</w:t>
            </w:r>
          </w:p>
        </w:tc>
        <w:tc>
          <w:tcPr>
            <w:tcW w:w="1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29,420</w:t>
            </w:r>
          </w:p>
        </w:tc>
      </w:tr>
      <w:tr>
        <w:trPr>
          <w:trHeight w:val="179"/>
        </w:trPr>
        <w:tc>
          <w:tcPr>
            <w:tcW w:w="62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Expenditures for building and improvements</w:t>
            </w:r>
          </w:p>
        </w:tc>
        <w:tc>
          <w:tcPr>
            <w:tcW w:w="24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(115,991)</w:t>
            </w:r>
          </w:p>
        </w:tc>
        <w:tc>
          <w:tcPr>
            <w:tcW w:w="1900" w:type="dxa"/>
            <w:vAlign w:val="bottom"/>
          </w:tcPr>
          <w:p>
            <w:pPr>
              <w:spacing w:after="0"/>
              <w:rPr>
                <w:sz w:val="15"/>
                <w:szCs w:val="15"/>
                <w:color w:val="auto"/>
              </w:rPr>
            </w:pPr>
          </w:p>
        </w:tc>
      </w:tr>
      <w:tr>
        <w:trPr>
          <w:trHeight w:val="179"/>
        </w:trPr>
        <w:tc>
          <w:tcPr>
            <w:tcW w:w="62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Lease buy-out payments</w:t>
            </w:r>
          </w:p>
        </w:tc>
        <w:tc>
          <w:tcPr>
            <w:tcW w:w="24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(149,209)</w:t>
            </w:r>
          </w:p>
        </w:tc>
        <w:tc>
          <w:tcPr>
            <w:tcW w:w="1900" w:type="dxa"/>
            <w:vAlign w:val="bottom"/>
          </w:tcPr>
          <w:p>
            <w:pPr>
              <w:spacing w:after="0"/>
              <w:rPr>
                <w:sz w:val="15"/>
                <w:szCs w:val="15"/>
                <w:color w:val="auto"/>
              </w:rPr>
            </w:pPr>
          </w:p>
        </w:tc>
      </w:tr>
      <w:tr>
        <w:trPr>
          <w:trHeight w:val="179"/>
        </w:trPr>
        <w:tc>
          <w:tcPr>
            <w:tcW w:w="6220" w:type="dxa"/>
            <w:vAlign w:val="bottom"/>
          </w:tcPr>
          <w:p>
            <w:pPr>
              <w:spacing w:after="0"/>
              <w:rPr>
                <w:sz w:val="15"/>
                <w:szCs w:val="15"/>
                <w:color w:val="auto"/>
              </w:rPr>
            </w:pPr>
          </w:p>
        </w:tc>
        <w:tc>
          <w:tcPr>
            <w:tcW w:w="24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220" w:type="dxa"/>
            <w:vAlign w:val="bottom"/>
          </w:tcPr>
          <w:p>
            <w:pPr>
              <w:ind w:left="460"/>
              <w:spacing w:after="0"/>
              <w:rPr>
                <w:sz w:val="20"/>
                <w:szCs w:val="20"/>
                <w:color w:val="auto"/>
              </w:rPr>
            </w:pPr>
            <w:r>
              <w:rPr>
                <w:rFonts w:ascii="Courier New" w:cs="Courier New" w:eastAsia="Courier New" w:hAnsi="Courier New"/>
                <w:sz w:val="16"/>
                <w:szCs w:val="16"/>
                <w:color w:val="auto"/>
              </w:rPr>
              <w:t>Net cash provided by (used in) investing activities</w:t>
            </w:r>
          </w:p>
        </w:tc>
        <w:tc>
          <w:tcPr>
            <w:tcW w:w="24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(214,169)</w:t>
            </w:r>
          </w:p>
        </w:tc>
        <w:tc>
          <w:tcPr>
            <w:tcW w:w="1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29,420</w:t>
            </w:r>
          </w:p>
        </w:tc>
      </w:tr>
      <w:tr>
        <w:trPr>
          <w:trHeight w:val="179"/>
        </w:trPr>
        <w:tc>
          <w:tcPr>
            <w:tcW w:w="6220" w:type="dxa"/>
            <w:vAlign w:val="bottom"/>
          </w:tcPr>
          <w:p>
            <w:pPr>
              <w:spacing w:after="0"/>
              <w:rPr>
                <w:sz w:val="15"/>
                <w:szCs w:val="15"/>
                <w:color w:val="auto"/>
              </w:rPr>
            </w:pPr>
          </w:p>
        </w:tc>
        <w:tc>
          <w:tcPr>
            <w:tcW w:w="24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220" w:type="dxa"/>
            <w:vAlign w:val="bottom"/>
          </w:tcPr>
          <w:p>
            <w:pPr>
              <w:spacing w:after="0" w:line="179" w:lineRule="exact"/>
              <w:rPr>
                <w:sz w:val="20"/>
                <w:szCs w:val="20"/>
                <w:color w:val="auto"/>
              </w:rPr>
            </w:pPr>
            <w:r>
              <w:rPr>
                <w:rFonts w:ascii="Courier New" w:cs="Courier New" w:eastAsia="Courier New" w:hAnsi="Courier New"/>
                <w:sz w:val="16"/>
                <w:szCs w:val="16"/>
                <w:color w:val="auto"/>
              </w:rPr>
              <w:t>Financing activities:</w:t>
            </w:r>
          </w:p>
        </w:tc>
        <w:tc>
          <w:tcPr>
            <w:tcW w:w="24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9"/>
        </w:trPr>
        <w:tc>
          <w:tcPr>
            <w:tcW w:w="62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Loans from partners</w:t>
            </w:r>
          </w:p>
        </w:tc>
        <w:tc>
          <w:tcPr>
            <w:tcW w:w="248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432,615</w:t>
            </w:r>
          </w:p>
        </w:tc>
        <w:tc>
          <w:tcPr>
            <w:tcW w:w="1900" w:type="dxa"/>
            <w:vAlign w:val="bottom"/>
          </w:tcPr>
          <w:p>
            <w:pPr>
              <w:spacing w:after="0"/>
              <w:rPr>
                <w:sz w:val="15"/>
                <w:szCs w:val="15"/>
                <w:color w:val="auto"/>
              </w:rPr>
            </w:pPr>
          </w:p>
        </w:tc>
      </w:tr>
      <w:tr>
        <w:trPr>
          <w:trHeight w:val="179"/>
        </w:trPr>
        <w:tc>
          <w:tcPr>
            <w:tcW w:w="62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Distributions to partners</w:t>
            </w:r>
          </w:p>
        </w:tc>
        <w:tc>
          <w:tcPr>
            <w:tcW w:w="24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(18,000)</w:t>
            </w: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(27,213)</w:t>
            </w:r>
          </w:p>
        </w:tc>
      </w:tr>
      <w:tr>
        <w:trPr>
          <w:trHeight w:val="179"/>
        </w:trPr>
        <w:tc>
          <w:tcPr>
            <w:tcW w:w="62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Principal repayments on mortgage loan</w:t>
            </w:r>
          </w:p>
        </w:tc>
        <w:tc>
          <w:tcPr>
            <w:tcW w:w="24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(16,290)</w:t>
            </w:r>
          </w:p>
        </w:tc>
        <w:tc>
          <w:tcPr>
            <w:tcW w:w="19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(64,113)</w:t>
            </w:r>
          </w:p>
        </w:tc>
      </w:tr>
      <w:tr>
        <w:trPr>
          <w:trHeight w:val="179"/>
        </w:trPr>
        <w:tc>
          <w:tcPr>
            <w:tcW w:w="6220" w:type="dxa"/>
            <w:vAlign w:val="bottom"/>
          </w:tcPr>
          <w:p>
            <w:pPr>
              <w:spacing w:after="0"/>
              <w:rPr>
                <w:sz w:val="15"/>
                <w:szCs w:val="15"/>
                <w:color w:val="auto"/>
              </w:rPr>
            </w:pPr>
          </w:p>
        </w:tc>
        <w:tc>
          <w:tcPr>
            <w:tcW w:w="24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220" w:type="dxa"/>
            <w:vAlign w:val="bottom"/>
          </w:tcPr>
          <w:p>
            <w:pPr>
              <w:ind w:left="460"/>
              <w:spacing w:after="0"/>
              <w:rPr>
                <w:sz w:val="20"/>
                <w:szCs w:val="20"/>
                <w:color w:val="auto"/>
              </w:rPr>
            </w:pPr>
            <w:r>
              <w:rPr>
                <w:rFonts w:ascii="Courier New" w:cs="Courier New" w:eastAsia="Courier New" w:hAnsi="Courier New"/>
                <w:sz w:val="16"/>
                <w:szCs w:val="16"/>
                <w:color w:val="auto"/>
              </w:rPr>
              <w:t>Net cash provided by (used in) financing activities</w:t>
            </w:r>
          </w:p>
        </w:tc>
        <w:tc>
          <w:tcPr>
            <w:tcW w:w="24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398,325</w:t>
            </w:r>
          </w:p>
        </w:tc>
        <w:tc>
          <w:tcPr>
            <w:tcW w:w="19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(91,326)</w:t>
            </w:r>
          </w:p>
        </w:tc>
      </w:tr>
      <w:tr>
        <w:trPr>
          <w:trHeight w:val="179"/>
        </w:trPr>
        <w:tc>
          <w:tcPr>
            <w:tcW w:w="6220" w:type="dxa"/>
            <w:vAlign w:val="bottom"/>
          </w:tcPr>
          <w:p>
            <w:pPr>
              <w:spacing w:after="0"/>
              <w:rPr>
                <w:sz w:val="15"/>
                <w:szCs w:val="15"/>
                <w:color w:val="auto"/>
              </w:rPr>
            </w:pPr>
          </w:p>
        </w:tc>
        <w:tc>
          <w:tcPr>
            <w:tcW w:w="24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22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 and cash equivalents</w:t>
            </w:r>
          </w:p>
        </w:tc>
        <w:tc>
          <w:tcPr>
            <w:tcW w:w="24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278,698</w:t>
            </w:r>
          </w:p>
        </w:tc>
        <w:tc>
          <w:tcPr>
            <w:tcW w:w="19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(30,486)</w:t>
            </w:r>
          </w:p>
        </w:tc>
      </w:tr>
      <w:tr>
        <w:trPr>
          <w:trHeight w:val="358"/>
        </w:trPr>
        <w:tc>
          <w:tcPr>
            <w:tcW w:w="622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year</w:t>
            </w:r>
          </w:p>
        </w:tc>
        <w:tc>
          <w:tcPr>
            <w:tcW w:w="24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251,292</w:t>
            </w:r>
          </w:p>
        </w:tc>
        <w:tc>
          <w:tcPr>
            <w:tcW w:w="1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281,778</w:t>
            </w:r>
          </w:p>
        </w:tc>
      </w:tr>
      <w:tr>
        <w:trPr>
          <w:trHeight w:val="179"/>
        </w:trPr>
        <w:tc>
          <w:tcPr>
            <w:tcW w:w="6220" w:type="dxa"/>
            <w:vAlign w:val="bottom"/>
          </w:tcPr>
          <w:p>
            <w:pPr>
              <w:spacing w:after="0"/>
              <w:rPr>
                <w:sz w:val="15"/>
                <w:szCs w:val="15"/>
                <w:color w:val="auto"/>
              </w:rPr>
            </w:pPr>
          </w:p>
        </w:tc>
        <w:tc>
          <w:tcPr>
            <w:tcW w:w="24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22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 end of year</w:t>
            </w:r>
          </w:p>
        </w:tc>
        <w:tc>
          <w:tcPr>
            <w:tcW w:w="248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$529,990</w:t>
            </w:r>
          </w:p>
        </w:tc>
        <w:tc>
          <w:tcPr>
            <w:tcW w:w="1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$251,292</w:t>
            </w:r>
          </w:p>
        </w:tc>
      </w:tr>
      <w:tr>
        <w:trPr>
          <w:trHeight w:val="179"/>
        </w:trPr>
        <w:tc>
          <w:tcPr>
            <w:tcW w:w="6220" w:type="dxa"/>
            <w:vAlign w:val="bottom"/>
          </w:tcPr>
          <w:p>
            <w:pPr>
              <w:spacing w:after="0"/>
              <w:rPr>
                <w:sz w:val="15"/>
                <w:szCs w:val="15"/>
                <w:color w:val="auto"/>
              </w:rPr>
            </w:pPr>
          </w:p>
        </w:tc>
        <w:tc>
          <w:tcPr>
            <w:tcW w:w="24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220" w:type="dxa"/>
            <w:vAlign w:val="bottom"/>
          </w:tcPr>
          <w:p>
            <w:pPr>
              <w:spacing w:after="0"/>
              <w:rPr>
                <w:sz w:val="20"/>
                <w:szCs w:val="20"/>
                <w:color w:val="auto"/>
              </w:rPr>
            </w:pPr>
            <w:r>
              <w:rPr>
                <w:rFonts w:ascii="Courier New" w:cs="Courier New" w:eastAsia="Courier New" w:hAnsi="Courier New"/>
                <w:sz w:val="16"/>
                <w:szCs w:val="16"/>
                <w:color w:val="auto"/>
              </w:rPr>
              <w:t>Supplemental disclosure of cash flow information:</w:t>
            </w:r>
          </w:p>
        </w:tc>
        <w:tc>
          <w:tcPr>
            <w:tcW w:w="24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79"/>
        </w:trPr>
        <w:tc>
          <w:tcPr>
            <w:tcW w:w="62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Interest paid</w:t>
            </w:r>
          </w:p>
        </w:tc>
        <w:tc>
          <w:tcPr>
            <w:tcW w:w="248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$2,120,970</w:t>
            </w:r>
          </w:p>
        </w:tc>
        <w:tc>
          <w:tcPr>
            <w:tcW w:w="19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$2,623,875</w:t>
            </w:r>
          </w:p>
        </w:tc>
      </w:tr>
      <w:tr>
        <w:trPr>
          <w:trHeight w:val="179"/>
        </w:trPr>
        <w:tc>
          <w:tcPr>
            <w:tcW w:w="6220" w:type="dxa"/>
            <w:vAlign w:val="bottom"/>
          </w:tcPr>
          <w:p>
            <w:pPr>
              <w:spacing w:after="0"/>
              <w:rPr>
                <w:sz w:val="15"/>
                <w:szCs w:val="15"/>
                <w:color w:val="auto"/>
              </w:rPr>
            </w:pPr>
          </w:p>
        </w:tc>
        <w:tc>
          <w:tcPr>
            <w:tcW w:w="24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6"/>
          <w:szCs w:val="16"/>
          <w:color w:val="auto"/>
        </w:rPr>
        <w:t>See Notes to Financial Statements</w:t>
      </w:r>
    </w:p>
    <w:p>
      <w:pPr>
        <w:spacing w:after="0" w:line="177"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600"/>
          </w:cols>
          <w:pgMar w:left="240" w:top="469" w:right="1059" w:bottom="1440" w:gutter="0" w:footer="0" w:header="0"/>
        </w:sectPr>
      </w:pPr>
    </w:p>
    <w:bookmarkStart w:id="15" w:name="page16"/>
    <w:bookmarkEnd w:id="15"/>
    <w:p>
      <w:pPr>
        <w:ind w:left="2045"/>
        <w:spacing w:after="0"/>
        <w:rPr>
          <w:sz w:val="20"/>
          <w:szCs w:val="20"/>
          <w:color w:val="auto"/>
        </w:rPr>
      </w:pPr>
      <w:r>
        <w:rPr>
          <w:rFonts w:ascii="Courier New" w:cs="Courier New" w:eastAsia="Courier New" w:hAnsi="Courier New"/>
          <w:sz w:val="16"/>
          <w:szCs w:val="16"/>
          <w:color w:val="auto"/>
        </w:rPr>
        <w:t>M &amp; R ASSOCIATES LIMITED PARTNERSHIP</w:t>
      </w:r>
    </w:p>
    <w:p>
      <w:pPr>
        <w:spacing w:after="0" w:line="177" w:lineRule="exact"/>
        <w:rPr>
          <w:sz w:val="20"/>
          <w:szCs w:val="20"/>
          <w:color w:val="auto"/>
        </w:rPr>
      </w:pPr>
    </w:p>
    <w:p>
      <w:pPr>
        <w:ind w:left="2425"/>
        <w:spacing w:after="0"/>
        <w:rPr>
          <w:sz w:val="20"/>
          <w:szCs w:val="20"/>
          <w:color w:val="auto"/>
        </w:rPr>
      </w:pPr>
      <w:r>
        <w:rPr>
          <w:rFonts w:ascii="Courier New" w:cs="Courier New" w:eastAsia="Courier New" w:hAnsi="Courier New"/>
          <w:sz w:val="16"/>
          <w:szCs w:val="16"/>
          <w:color w:val="auto"/>
        </w:rPr>
        <w:t>Notes to Financial Statements</w:t>
      </w:r>
    </w:p>
    <w:p>
      <w:pPr>
        <w:ind w:left="2885"/>
        <w:spacing w:after="0" w:line="236" w:lineRule="auto"/>
        <w:rPr>
          <w:sz w:val="20"/>
          <w:szCs w:val="20"/>
          <w:color w:val="auto"/>
        </w:rPr>
      </w:pPr>
      <w:r>
        <w:rPr>
          <w:rFonts w:ascii="Courier New" w:cs="Courier New" w:eastAsia="Courier New" w:hAnsi="Courier New"/>
          <w:sz w:val="16"/>
          <w:szCs w:val="16"/>
          <w:color w:val="auto"/>
        </w:rPr>
        <w:t>(Income Tax Basis)</w:t>
      </w:r>
    </w:p>
    <w:p>
      <w:pPr>
        <w:ind w:left="1945"/>
        <w:spacing w:after="0" w:line="237" w:lineRule="auto"/>
        <w:rPr>
          <w:sz w:val="20"/>
          <w:szCs w:val="20"/>
          <w:color w:val="auto"/>
        </w:rPr>
      </w:pPr>
      <w:r>
        <w:rPr>
          <w:rFonts w:ascii="Courier New" w:cs="Courier New" w:eastAsia="Courier New" w:hAnsi="Courier New"/>
          <w:sz w:val="16"/>
          <w:szCs w:val="16"/>
          <w:color w:val="auto"/>
        </w:rPr>
        <w:t>Years Ended December 31, 1996 and 1995</w:t>
      </w:r>
    </w:p>
    <w:p>
      <w:pPr>
        <w:spacing w:after="0" w:line="177" w:lineRule="exact"/>
        <w:rPr>
          <w:sz w:val="20"/>
          <w:szCs w:val="20"/>
          <w:color w:val="auto"/>
        </w:rPr>
      </w:pPr>
    </w:p>
    <w:p>
      <w:pPr>
        <w:ind w:left="845" w:hanging="845"/>
        <w:spacing w:after="0"/>
        <w:tabs>
          <w:tab w:leader="none" w:pos="84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w:t>
      </w:r>
    </w:p>
    <w:p>
      <w:pPr>
        <w:spacing w:after="0" w:line="182" w:lineRule="exact"/>
        <w:rPr>
          <w:rFonts w:ascii="Courier New" w:cs="Courier New" w:eastAsia="Courier New" w:hAnsi="Courier New"/>
          <w:sz w:val="16"/>
          <w:szCs w:val="16"/>
          <w:color w:val="auto"/>
        </w:rPr>
      </w:pPr>
    </w:p>
    <w:p>
      <w:pPr>
        <w:ind w:left="845" w:right="2779"/>
        <w:spacing w:after="0" w:line="279"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M &amp; R Associates Limited Partnership is a Virginia limited partnership. On December 15, 1986, the Partnership purchased a commercial shopping center located in Fairfax County, Virginia, consisting of approximately 156,000 square feet of rentable building area.</w:t>
      </w:r>
    </w:p>
    <w:p>
      <w:pPr>
        <w:spacing w:after="0" w:line="150" w:lineRule="exact"/>
        <w:rPr>
          <w:rFonts w:ascii="Courier New" w:cs="Courier New" w:eastAsia="Courier New" w:hAnsi="Courier New"/>
          <w:sz w:val="16"/>
          <w:szCs w:val="16"/>
          <w:color w:val="auto"/>
        </w:rPr>
      </w:pPr>
    </w:p>
    <w:p>
      <w:pPr>
        <w:ind w:left="845" w:hanging="845"/>
        <w:spacing w:after="0"/>
        <w:tabs>
          <w:tab w:leader="none" w:pos="84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76"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accounting:</w:t>
      </w:r>
    </w:p>
    <w:p>
      <w:pPr>
        <w:spacing w:after="0" w:line="3"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Partnership's policy is to prepare its financial statements on the accounting basis used for Federal income tax reporting purposes. The income tax basis of accounting differs from generally accepted accounting principles in the following significant respects. Depreciation and amortization charges are based on rates and terms established or permitted by the Internal Revenue Service rather than over the future period expected to be benefitted. Valuation allowances are not established to reflect the expected collectibility of accounts and notes receivable; rather, such items are written off in full in the year in which they become worthless, as defined by the Internal Revenue Code. Further, revenue received in advance is recognized when received rather than when earned.</w:t>
      </w:r>
    </w:p>
    <w:p>
      <w:pPr>
        <w:spacing w:after="0" w:line="180"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Cash and equivalents:</w:t>
      </w:r>
    </w:p>
    <w:p>
      <w:pPr>
        <w:spacing w:after="0" w:line="3" w:lineRule="exact"/>
        <w:rPr>
          <w:rFonts w:ascii="Courier New" w:cs="Courier New" w:eastAsia="Courier New" w:hAnsi="Courier New"/>
          <w:sz w:val="16"/>
          <w:szCs w:val="16"/>
          <w:color w:val="auto"/>
        </w:rPr>
      </w:pPr>
    </w:p>
    <w:p>
      <w:pPr>
        <w:ind w:left="845" w:right="323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Partnership maintains its cash primarily in one financial institution. The bank balance, at times, significantly exceeds the Federally insured amount.</w:t>
      </w:r>
    </w:p>
    <w:p>
      <w:pPr>
        <w:spacing w:after="0" w:line="177"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3" w:lineRule="exact"/>
        <w:rPr>
          <w:rFonts w:ascii="Courier New" w:cs="Courier New" w:eastAsia="Courier New" w:hAnsi="Courier New"/>
          <w:sz w:val="16"/>
          <w:szCs w:val="16"/>
          <w:color w:val="auto"/>
        </w:rPr>
      </w:pPr>
    </w:p>
    <w:p>
      <w:pPr>
        <w:ind w:left="845" w:right="295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Partnership's financial statements do not contain a provision for income taxes since the net income or loss is recognized by the individual partners in accordance with the Partnership Agreement and the Internal Revenue Code.</w:t>
      </w:r>
    </w:p>
    <w:p>
      <w:pPr>
        <w:spacing w:after="0" w:line="178"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Depreciation:</w:t>
      </w:r>
    </w:p>
    <w:p>
      <w:pPr>
        <w:spacing w:after="0" w:line="3" w:lineRule="exact"/>
        <w:rPr>
          <w:rFonts w:ascii="Courier New" w:cs="Courier New" w:eastAsia="Courier New" w:hAnsi="Courier New"/>
          <w:sz w:val="16"/>
          <w:szCs w:val="16"/>
          <w:color w:val="auto"/>
        </w:rPr>
      </w:pPr>
    </w:p>
    <w:p>
      <w:pPr>
        <w:ind w:left="845" w:right="2779"/>
        <w:spacing w:after="0" w:line="274"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Depreciation of buildings and improvements is being computed by the straight-line method over a useful life of 19 years, in accordance with the Accelerated Cost Recovery System in compliance the Tax Reform Act of 1986. In accordance with the Modified Accelerated Cost Recovery System, assets acquired after 1986 are being depreciated using the straight-line method over a useful life of 31.5 years, and assets acquired after 1993 are depreciated over a useful life of 39 years.</w:t>
      </w:r>
    </w:p>
    <w:p>
      <w:pPr>
        <w:spacing w:after="0" w:line="15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4"/>
          </w:cols>
          <w:pgMar w:left="235" w:top="648" w:right="1440" w:bottom="1440" w:gutter="0" w:footer="0" w:header="0"/>
        </w:sectPr>
      </w:pPr>
    </w:p>
    <w:bookmarkStart w:id="16" w:name="page17"/>
    <w:bookmarkEnd w:id="16"/>
    <w:p>
      <w:pPr>
        <w:ind w:left="845"/>
        <w:spacing w:after="0"/>
        <w:rPr>
          <w:sz w:val="20"/>
          <w:szCs w:val="20"/>
          <w:color w:val="auto"/>
        </w:rPr>
      </w:pPr>
      <w:r>
        <w:rPr>
          <w:rFonts w:ascii="Courier New" w:cs="Courier New" w:eastAsia="Courier New" w:hAnsi="Courier New"/>
          <w:sz w:val="16"/>
          <w:szCs w:val="16"/>
          <w:color w:val="auto"/>
        </w:rPr>
        <w:t>Use of estimates in preparation of financial statements:</w:t>
      </w:r>
    </w:p>
    <w:p>
      <w:pPr>
        <w:spacing w:after="0" w:line="4" w:lineRule="exact"/>
        <w:rPr>
          <w:sz w:val="20"/>
          <w:szCs w:val="20"/>
          <w:color w:val="auto"/>
        </w:rPr>
      </w:pPr>
    </w:p>
    <w:p>
      <w:pPr>
        <w:ind w:left="845" w:right="3059"/>
        <w:spacing w:after="0" w:line="235"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80" w:lineRule="exact"/>
        <w:rPr>
          <w:sz w:val="20"/>
          <w:szCs w:val="20"/>
          <w:color w:val="auto"/>
        </w:rPr>
      </w:pPr>
    </w:p>
    <w:p>
      <w:pPr>
        <w:ind w:left="845" w:hanging="845"/>
        <w:spacing w:after="0"/>
        <w:tabs>
          <w:tab w:leader="none" w:pos="84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expenses:</w:t>
      </w:r>
    </w:p>
    <w:p>
      <w:pPr>
        <w:spacing w:after="0" w:line="182" w:lineRule="exact"/>
        <w:rPr>
          <w:rFonts w:ascii="Courier New" w:cs="Courier New" w:eastAsia="Courier New" w:hAnsi="Courier New"/>
          <w:sz w:val="16"/>
          <w:szCs w:val="16"/>
          <w:color w:val="auto"/>
        </w:rPr>
      </w:pPr>
    </w:p>
    <w:p>
      <w:pPr>
        <w:ind w:left="845" w:right="28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expenses are being amortized by the straight-line method over the period applicable to each cost category, as follows:</w:t>
      </w:r>
    </w:p>
    <w:p>
      <w:pPr>
        <w:spacing w:after="0" w:line="200" w:lineRule="exact"/>
        <w:rPr>
          <w:sz w:val="20"/>
          <w:szCs w:val="20"/>
          <w:color w:val="auto"/>
        </w:rPr>
      </w:pPr>
    </w:p>
    <w:p>
      <w:pPr>
        <w:spacing w:after="0" w:line="335" w:lineRule="exact"/>
        <w:rPr>
          <w:sz w:val="20"/>
          <w:szCs w:val="20"/>
          <w:color w:val="auto"/>
        </w:rPr>
      </w:pPr>
    </w:p>
    <w:tbl>
      <w:tblPr>
        <w:tblLayout w:type="fixed"/>
        <w:tblInd w:w="845" w:type="dxa"/>
        <w:tblCellMar>
          <w:top w:w="0" w:type="dxa"/>
          <w:left w:w="0" w:type="dxa"/>
          <w:bottom w:w="0" w:type="dxa"/>
          <w:right w:w="0" w:type="dxa"/>
        </w:tblCellMar>
      </w:tblPr>
      <w:tr>
        <w:trPr>
          <w:trHeight w:val="181"/>
        </w:trPr>
        <w:tc>
          <w:tcPr>
            <w:tcW w:w="24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16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December 31, 1996</w:t>
            </w:r>
          </w:p>
        </w:tc>
      </w:tr>
      <w:tr>
        <w:trPr>
          <w:trHeight w:val="179"/>
        </w:trPr>
        <w:tc>
          <w:tcPr>
            <w:tcW w:w="24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420" w:type="dxa"/>
            <w:vAlign w:val="bottom"/>
          </w:tcPr>
          <w:p>
            <w:pPr>
              <w:spacing w:after="0"/>
              <w:rPr>
                <w:sz w:val="15"/>
                <w:szCs w:val="15"/>
                <w:color w:val="auto"/>
              </w:rPr>
            </w:pPr>
          </w:p>
        </w:tc>
        <w:tc>
          <w:tcPr>
            <w:tcW w:w="1760" w:type="dxa"/>
            <w:vAlign w:val="bottom"/>
          </w:tcPr>
          <w:p>
            <w:pPr>
              <w:ind w:left="540"/>
              <w:spacing w:after="0" w:line="179" w:lineRule="exact"/>
              <w:rPr>
                <w:sz w:val="20"/>
                <w:szCs w:val="20"/>
                <w:color w:val="auto"/>
              </w:rPr>
            </w:pPr>
            <w:r>
              <w:rPr>
                <w:rFonts w:ascii="Courier New" w:cs="Courier New" w:eastAsia="Courier New" w:hAnsi="Courier New"/>
                <w:sz w:val="16"/>
                <w:szCs w:val="16"/>
                <w:color w:val="auto"/>
              </w:rPr>
              <w:t>Period of</w:t>
            </w:r>
          </w:p>
        </w:tc>
        <w:tc>
          <w:tcPr>
            <w:tcW w:w="16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Deferred</w:t>
            </w:r>
          </w:p>
        </w:tc>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Accumulated</w:t>
            </w:r>
          </w:p>
        </w:tc>
      </w:tr>
      <w:tr>
        <w:trPr>
          <w:trHeight w:val="179"/>
        </w:trPr>
        <w:tc>
          <w:tcPr>
            <w:tcW w:w="2420" w:type="dxa"/>
            <w:vAlign w:val="bottom"/>
          </w:tcPr>
          <w:p>
            <w:pPr>
              <w:spacing w:after="0"/>
              <w:rPr>
                <w:sz w:val="15"/>
                <w:szCs w:val="15"/>
                <w:color w:val="auto"/>
              </w:rPr>
            </w:pPr>
          </w:p>
        </w:tc>
        <w:tc>
          <w:tcPr>
            <w:tcW w:w="1760" w:type="dxa"/>
            <w:vAlign w:val="bottom"/>
          </w:tcPr>
          <w:p>
            <w:pPr>
              <w:jc w:val="center"/>
              <w:ind w:left="2"/>
              <w:spacing w:after="0" w:line="179" w:lineRule="exact"/>
              <w:rPr>
                <w:sz w:val="20"/>
                <w:szCs w:val="20"/>
                <w:color w:val="auto"/>
              </w:rPr>
            </w:pPr>
            <w:r>
              <w:rPr>
                <w:rFonts w:ascii="Courier New" w:cs="Courier New" w:eastAsia="Courier New" w:hAnsi="Courier New"/>
                <w:sz w:val="16"/>
                <w:szCs w:val="16"/>
                <w:color w:val="auto"/>
                <w:w w:val="97"/>
              </w:rPr>
              <w:t>amortization</w:t>
            </w:r>
          </w:p>
        </w:tc>
        <w:tc>
          <w:tcPr>
            <w:tcW w:w="16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expenses</w:t>
            </w:r>
          </w:p>
        </w:tc>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amortization</w:t>
            </w:r>
          </w:p>
        </w:tc>
      </w:tr>
      <w:tr>
        <w:trPr>
          <w:trHeight w:val="179"/>
        </w:trPr>
        <w:tc>
          <w:tcPr>
            <w:tcW w:w="2420" w:type="dxa"/>
            <w:vAlign w:val="bottom"/>
          </w:tcPr>
          <w:p>
            <w:pPr>
              <w:spacing w:after="0"/>
              <w:rPr>
                <w:sz w:val="15"/>
                <w:szCs w:val="15"/>
                <w:color w:val="auto"/>
              </w:rPr>
            </w:pPr>
          </w:p>
        </w:tc>
        <w:tc>
          <w:tcPr>
            <w:tcW w:w="1760" w:type="dxa"/>
            <w:vAlign w:val="bottom"/>
          </w:tcPr>
          <w:p>
            <w:pPr>
              <w:jc w:val="center"/>
              <w:ind w:left="2"/>
              <w:spacing w:after="0" w:line="179" w:lineRule="exact"/>
              <w:rPr>
                <w:sz w:val="20"/>
                <w:szCs w:val="20"/>
                <w:color w:val="auto"/>
              </w:rPr>
            </w:pPr>
            <w:r>
              <w:rPr>
                <w:rFonts w:ascii="Courier New" w:cs="Courier New" w:eastAsia="Courier New" w:hAnsi="Courier New"/>
                <w:sz w:val="16"/>
                <w:szCs w:val="16"/>
                <w:color w:val="auto"/>
                <w:w w:val="97"/>
              </w:rPr>
              <w:t>------------</w:t>
            </w:r>
          </w:p>
        </w:tc>
        <w:tc>
          <w:tcPr>
            <w:tcW w:w="168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420" w:type="dxa"/>
            <w:vAlign w:val="bottom"/>
          </w:tcPr>
          <w:p>
            <w:pPr>
              <w:spacing w:after="0"/>
              <w:rPr>
                <w:sz w:val="20"/>
                <w:szCs w:val="20"/>
                <w:color w:val="auto"/>
              </w:rPr>
            </w:pPr>
            <w:r>
              <w:rPr>
                <w:rFonts w:ascii="Courier New" w:cs="Courier New" w:eastAsia="Courier New" w:hAnsi="Courier New"/>
                <w:sz w:val="16"/>
                <w:szCs w:val="16"/>
                <w:color w:val="auto"/>
              </w:rPr>
              <w:t>Leasing costs*</w:t>
            </w:r>
          </w:p>
        </w:tc>
        <w:tc>
          <w:tcPr>
            <w:tcW w:w="176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5 - 15 years</w:t>
            </w:r>
          </w:p>
        </w:tc>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$ 7,567,692</w:t>
            </w:r>
          </w:p>
        </w:tc>
        <w:tc>
          <w:tcPr>
            <w:tcW w:w="1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$ 3,654,697</w:t>
            </w:r>
          </w:p>
        </w:tc>
      </w:tr>
      <w:tr>
        <w:trPr>
          <w:trHeight w:val="358"/>
        </w:trPr>
        <w:tc>
          <w:tcPr>
            <w:tcW w:w="2420" w:type="dxa"/>
            <w:vAlign w:val="bottom"/>
          </w:tcPr>
          <w:p>
            <w:pPr>
              <w:spacing w:after="0"/>
              <w:rPr>
                <w:sz w:val="20"/>
                <w:szCs w:val="20"/>
                <w:color w:val="auto"/>
              </w:rPr>
            </w:pPr>
            <w:r>
              <w:rPr>
                <w:rFonts w:ascii="Courier New" w:cs="Courier New" w:eastAsia="Courier New" w:hAnsi="Courier New"/>
                <w:sz w:val="16"/>
                <w:szCs w:val="16"/>
                <w:color w:val="auto"/>
              </w:rPr>
              <w:t>Construction/permanent</w:t>
            </w: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9"/>
        </w:trPr>
        <w:tc>
          <w:tcPr>
            <w:tcW w:w="24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loan costs</w:t>
            </w:r>
          </w:p>
        </w:tc>
        <w:tc>
          <w:tcPr>
            <w:tcW w:w="1760" w:type="dxa"/>
            <w:vAlign w:val="bottom"/>
          </w:tcPr>
          <w:p>
            <w:pPr>
              <w:jc w:val="center"/>
              <w:ind w:left="2"/>
              <w:spacing w:after="0" w:line="179" w:lineRule="exact"/>
              <w:rPr>
                <w:sz w:val="20"/>
                <w:szCs w:val="20"/>
                <w:color w:val="auto"/>
              </w:rPr>
            </w:pPr>
            <w:r>
              <w:rPr>
                <w:rFonts w:ascii="Courier New" w:cs="Courier New" w:eastAsia="Courier New" w:hAnsi="Courier New"/>
                <w:sz w:val="16"/>
                <w:szCs w:val="16"/>
                <w:color w:val="auto"/>
                <w:w w:val="98"/>
              </w:rPr>
              <w:t>15 years</w:t>
            </w:r>
          </w:p>
        </w:tc>
        <w:tc>
          <w:tcPr>
            <w:tcW w:w="16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397,083</w:t>
            </w:r>
          </w:p>
        </w:tc>
        <w:tc>
          <w:tcPr>
            <w:tcW w:w="1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196,281</w:t>
            </w:r>
          </w:p>
        </w:tc>
      </w:tr>
      <w:tr>
        <w:trPr>
          <w:trHeight w:val="179"/>
        </w:trPr>
        <w:tc>
          <w:tcPr>
            <w:tcW w:w="24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$ 7,964,775</w:t>
            </w:r>
          </w:p>
        </w:tc>
        <w:tc>
          <w:tcPr>
            <w:tcW w:w="1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$ 3,850,978</w:t>
            </w:r>
          </w:p>
        </w:tc>
      </w:tr>
      <w:tr>
        <w:trPr>
          <w:trHeight w:val="179"/>
        </w:trPr>
        <w:tc>
          <w:tcPr>
            <w:tcW w:w="24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left="1405" w:right="3159" w:hanging="567"/>
        <w:spacing w:after="0" w:line="235" w:lineRule="auto"/>
        <w:tabs>
          <w:tab w:leader="none" w:pos="1405"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1989, the Partnership acquired certain leases of major tenants for $6,933,021. This payment has been classified as deferred leasing costs and is being amortized over 5 - 15 years.</w:t>
      </w:r>
    </w:p>
    <w:p>
      <w:pPr>
        <w:spacing w:after="0" w:line="357" w:lineRule="exact"/>
        <w:rPr>
          <w:rFonts w:ascii="Courier New" w:cs="Courier New" w:eastAsia="Courier New" w:hAnsi="Courier New"/>
          <w:sz w:val="16"/>
          <w:szCs w:val="16"/>
          <w:color w:val="auto"/>
        </w:rPr>
      </w:pPr>
    </w:p>
    <w:p>
      <w:pPr>
        <w:ind w:left="845" w:hanging="845"/>
        <w:spacing w:after="0"/>
        <w:tabs>
          <w:tab w:leader="none" w:pos="84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 loan payable:</w:t>
      </w:r>
    </w:p>
    <w:p>
      <w:pPr>
        <w:spacing w:after="0" w:line="182" w:lineRule="exact"/>
        <w:rPr>
          <w:rFonts w:ascii="Courier New" w:cs="Courier New" w:eastAsia="Courier New" w:hAnsi="Courier New"/>
          <w:sz w:val="16"/>
          <w:szCs w:val="16"/>
          <w:color w:val="auto"/>
        </w:rPr>
      </w:pPr>
    </w:p>
    <w:p>
      <w:pPr>
        <w:ind w:left="845" w:right="3059"/>
        <w:spacing w:after="0" w:line="29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In connection with the transaction described in Note 7, the mortgage loan was assumed by a successor partnership on March 31, 1997.</w:t>
      </w:r>
    </w:p>
    <w:p>
      <w:pPr>
        <w:spacing w:after="0" w:line="146" w:lineRule="exact"/>
        <w:rPr>
          <w:rFonts w:ascii="Courier New" w:cs="Courier New" w:eastAsia="Courier New" w:hAnsi="Courier New"/>
          <w:sz w:val="16"/>
          <w:szCs w:val="16"/>
          <w:color w:val="auto"/>
        </w:rPr>
      </w:pPr>
    </w:p>
    <w:p>
      <w:pPr>
        <w:ind w:left="845" w:right="2779"/>
        <w:spacing w:after="0" w:line="27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As of December 31, 1996 and 1995, the mortgage loan was a nonrecourse mortgage loan payable to Aetna Life Insurance Company in the original amount of $28,500,000 and was secured by the Partnership's real and personal property. Monthly payments of $190,000 for interest only were due through June 30, 1994. Thereafter, monthly payments of principal and interest were due as follows: $229,425 to June 1, 1995; $239,610 to January 1, 1996. Effective January 1, 1996, the loan was modified. Beginning February 1, 1996 through December 1, 2000, interest only payments calculated at 9% of the outstanding note balance were due. Thereafter, monthly payments of principal and interest of $237,058 were due, with a final installment due July 1, 2004.</w:t>
      </w:r>
    </w:p>
    <w:p>
      <w:pPr>
        <w:spacing w:after="0" w:line="200" w:lineRule="exact"/>
        <w:rPr>
          <w:sz w:val="20"/>
          <w:szCs w:val="20"/>
          <w:color w:val="auto"/>
        </w:rPr>
      </w:pPr>
    </w:p>
    <w:p>
      <w:pPr>
        <w:spacing w:after="0" w:line="31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4"/>
          </w:cols>
          <w:pgMar w:left="235" w:top="648" w:right="1440" w:bottom="1440" w:gutter="0" w:footer="0" w:header="0"/>
        </w:sectPr>
      </w:pPr>
    </w:p>
    <w:bookmarkStart w:id="17" w:name="page18"/>
    <w:bookmarkEnd w:id="17"/>
    <w:p>
      <w:pPr>
        <w:ind w:left="845" w:right="2779"/>
        <w:spacing w:after="0" w:line="274" w:lineRule="auto"/>
        <w:rPr>
          <w:sz w:val="20"/>
          <w:szCs w:val="20"/>
          <w:color w:val="auto"/>
        </w:rPr>
      </w:pPr>
      <w:r>
        <w:rPr>
          <w:rFonts w:ascii="Courier New" w:cs="Courier New" w:eastAsia="Courier New" w:hAnsi="Courier New"/>
          <w:sz w:val="14"/>
          <w:szCs w:val="14"/>
          <w:color w:val="auto"/>
        </w:rPr>
        <w:t>The original loan bore interest at stated rates beginning at 9% in 1994 and was to increase periodically thereafter by 1/2% to a final stated rate of 10-1/2%. Per the loan modification, the stated interest rate was changed to 9.5% through the term of the loan. The difference between the stated interest and the monthly payments was added to the principal balance. The lender was also entitled to additional interest based on operating cash flow and disposition of the property or refinancing proceeds, as more fully described in the promissory note.</w:t>
      </w:r>
    </w:p>
    <w:p>
      <w:pPr>
        <w:spacing w:after="0" w:line="155" w:lineRule="exact"/>
        <w:rPr>
          <w:sz w:val="20"/>
          <w:szCs w:val="20"/>
          <w:color w:val="auto"/>
        </w:rPr>
      </w:pPr>
    </w:p>
    <w:p>
      <w:pPr>
        <w:ind w:left="845" w:hanging="845"/>
        <w:spacing w:after="0"/>
        <w:tabs>
          <w:tab w:leader="none" w:pos="84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party transactions:</w:t>
      </w:r>
    </w:p>
    <w:p>
      <w:pPr>
        <w:spacing w:after="0" w:line="176"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Due to/from related entities:</w:t>
      </w:r>
    </w:p>
    <w:p>
      <w:pPr>
        <w:spacing w:after="0" w:line="3"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 December 31, 1995, the Partnership had loaned funds to another partnership. Interest is receivable on this demand loan at an annual rate of 9%. The amount due from the related party, $13,289, is due from an entity which is inactive and does not have sufficient assets to repay this amount. This amount was written off during 1996. The general partners of this entity have filed Chapter 11 bankruptcy.</w:t>
      </w:r>
    </w:p>
    <w:p>
      <w:pPr>
        <w:spacing w:after="0" w:line="176"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Due from partners:</w:t>
      </w:r>
    </w:p>
    <w:p>
      <w:pPr>
        <w:ind w:left="8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Loans due from partners are non-interest bearing and due on demand.</w:t>
      </w:r>
    </w:p>
    <w:p>
      <w:pPr>
        <w:spacing w:after="0" w:line="177"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Loans payable, partners:</w:t>
      </w:r>
    </w:p>
    <w:p>
      <w:pPr>
        <w:spacing w:after="0" w:line="3" w:lineRule="exact"/>
        <w:rPr>
          <w:rFonts w:ascii="Courier New" w:cs="Courier New" w:eastAsia="Courier New" w:hAnsi="Courier New"/>
          <w:sz w:val="16"/>
          <w:szCs w:val="16"/>
          <w:color w:val="auto"/>
        </w:rPr>
      </w:pPr>
    </w:p>
    <w:p>
      <w:pPr>
        <w:ind w:left="845" w:right="315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balances of $478,657 and $42,103 at December 31, 1996 and 1995, respectively, bear interest at the prime rate plus 2%.</w:t>
      </w:r>
    </w:p>
    <w:p>
      <w:pPr>
        <w:spacing w:after="0" w:line="177" w:lineRule="exact"/>
        <w:rPr>
          <w:rFonts w:ascii="Courier New" w:cs="Courier New" w:eastAsia="Courier New" w:hAnsi="Courier New"/>
          <w:sz w:val="16"/>
          <w:szCs w:val="16"/>
          <w:color w:val="auto"/>
        </w:rPr>
      </w:pPr>
    </w:p>
    <w:p>
      <w:pPr>
        <w:ind w:left="8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fees:</w:t>
      </w:r>
    </w:p>
    <w:p>
      <w:pPr>
        <w:spacing w:after="0" w:line="3" w:lineRule="exact"/>
        <w:rPr>
          <w:rFonts w:ascii="Courier New" w:cs="Courier New" w:eastAsia="Courier New" w:hAnsi="Courier New"/>
          <w:sz w:val="16"/>
          <w:szCs w:val="16"/>
          <w:color w:val="auto"/>
        </w:rPr>
      </w:pPr>
    </w:p>
    <w:p>
      <w:pPr>
        <w:ind w:left="845" w:right="323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1996 and 1995, the Partnership incurred management fees of $152,369 and $176,620, respectively, to an entity owned by certain partners.</w:t>
      </w:r>
    </w:p>
    <w:p>
      <w:pPr>
        <w:spacing w:after="0" w:line="177" w:lineRule="exact"/>
        <w:rPr>
          <w:rFonts w:ascii="Courier New" w:cs="Courier New" w:eastAsia="Courier New" w:hAnsi="Courier New"/>
          <w:sz w:val="16"/>
          <w:szCs w:val="16"/>
          <w:color w:val="auto"/>
        </w:rPr>
      </w:pPr>
    </w:p>
    <w:p>
      <w:pPr>
        <w:ind w:left="845" w:hanging="845"/>
        <w:spacing w:after="0"/>
        <w:tabs>
          <w:tab w:leader="none" w:pos="84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Leases:</w:t>
      </w:r>
    </w:p>
    <w:p>
      <w:pPr>
        <w:spacing w:after="0" w:line="182" w:lineRule="exact"/>
        <w:rPr>
          <w:rFonts w:ascii="Courier New" w:cs="Courier New" w:eastAsia="Courier New" w:hAnsi="Courier New"/>
          <w:sz w:val="16"/>
          <w:szCs w:val="16"/>
          <w:color w:val="auto"/>
        </w:rPr>
      </w:pPr>
    </w:p>
    <w:p>
      <w:pPr>
        <w:ind w:left="845"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Partnership has entered into various leases with its tenants, which generally provide for minimum annual rentals, plus additional rent based on real estate tax reimbursements, tenant gross receipts and other variable items. Minimum future annual rentals on noncancellable leases as of December 31, 1996, were as follows:</w:t>
      </w:r>
    </w:p>
    <w:p>
      <w:pPr>
        <w:spacing w:after="0" w:line="200" w:lineRule="exact"/>
        <w:rPr>
          <w:sz w:val="20"/>
          <w:szCs w:val="20"/>
          <w:color w:val="auto"/>
        </w:rPr>
      </w:pPr>
    </w:p>
    <w:p>
      <w:pPr>
        <w:spacing w:after="0" w:line="338" w:lineRule="exact"/>
        <w:rPr>
          <w:sz w:val="20"/>
          <w:szCs w:val="20"/>
          <w:color w:val="auto"/>
        </w:rPr>
      </w:pPr>
    </w:p>
    <w:tbl>
      <w:tblPr>
        <w:tblLayout w:type="fixed"/>
        <w:tblInd w:w="1585" w:type="dxa"/>
        <w:tblCellMar>
          <w:top w:w="0" w:type="dxa"/>
          <w:left w:w="0" w:type="dxa"/>
          <w:bottom w:w="0" w:type="dxa"/>
          <w:right w:w="0" w:type="dxa"/>
        </w:tblCellMar>
      </w:tblPr>
      <w:tr>
        <w:trPr>
          <w:trHeight w:val="181"/>
        </w:trPr>
        <w:tc>
          <w:tcPr>
            <w:tcW w:w="148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  3,231,000</w:t>
            </w:r>
          </w:p>
        </w:tc>
      </w:tr>
      <w:tr>
        <w:trPr>
          <w:trHeight w:val="179"/>
        </w:trPr>
        <w:tc>
          <w:tcPr>
            <w:tcW w:w="1480" w:type="dxa"/>
            <w:vAlign w:val="bottom"/>
          </w:tcPr>
          <w:p>
            <w:pPr>
              <w:spacing w:after="0" w:line="179" w:lineRule="exact"/>
              <w:rPr>
                <w:sz w:val="20"/>
                <w:szCs w:val="20"/>
                <w:color w:val="auto"/>
              </w:rPr>
            </w:pPr>
            <w:r>
              <w:rPr>
                <w:rFonts w:ascii="Courier New" w:cs="Courier New" w:eastAsia="Courier New" w:hAnsi="Courier New"/>
                <w:sz w:val="16"/>
                <w:szCs w:val="16"/>
                <w:color w:val="auto"/>
              </w:rPr>
              <w:t>1998</w:t>
            </w:r>
          </w:p>
        </w:tc>
        <w:tc>
          <w:tcPr>
            <w:tcW w:w="2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3,188,000</w:t>
            </w:r>
          </w:p>
        </w:tc>
      </w:tr>
      <w:tr>
        <w:trPr>
          <w:trHeight w:val="179"/>
        </w:trPr>
        <w:tc>
          <w:tcPr>
            <w:tcW w:w="1480" w:type="dxa"/>
            <w:vAlign w:val="bottom"/>
          </w:tcPr>
          <w:p>
            <w:pPr>
              <w:spacing w:after="0" w:line="179" w:lineRule="exact"/>
              <w:rPr>
                <w:sz w:val="20"/>
                <w:szCs w:val="20"/>
                <w:color w:val="auto"/>
              </w:rPr>
            </w:pPr>
            <w:r>
              <w:rPr>
                <w:rFonts w:ascii="Courier New" w:cs="Courier New" w:eastAsia="Courier New" w:hAnsi="Courier New"/>
                <w:sz w:val="16"/>
                <w:szCs w:val="16"/>
                <w:color w:val="auto"/>
              </w:rPr>
              <w:t>1999</w:t>
            </w:r>
          </w:p>
        </w:tc>
        <w:tc>
          <w:tcPr>
            <w:tcW w:w="2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2,649,000</w:t>
            </w:r>
          </w:p>
        </w:tc>
      </w:tr>
      <w:tr>
        <w:trPr>
          <w:trHeight w:val="179"/>
        </w:trPr>
        <w:tc>
          <w:tcPr>
            <w:tcW w:w="1480" w:type="dxa"/>
            <w:vAlign w:val="bottom"/>
          </w:tcPr>
          <w:p>
            <w:pPr>
              <w:spacing w:after="0" w:line="179" w:lineRule="exact"/>
              <w:rPr>
                <w:sz w:val="20"/>
                <w:szCs w:val="20"/>
                <w:color w:val="auto"/>
              </w:rPr>
            </w:pPr>
            <w:r>
              <w:rPr>
                <w:rFonts w:ascii="Courier New" w:cs="Courier New" w:eastAsia="Courier New" w:hAnsi="Courier New"/>
                <w:sz w:val="16"/>
                <w:szCs w:val="16"/>
                <w:color w:val="auto"/>
              </w:rPr>
              <w:t>2000</w:t>
            </w:r>
          </w:p>
        </w:tc>
        <w:tc>
          <w:tcPr>
            <w:tcW w:w="2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2,191,000</w:t>
            </w:r>
          </w:p>
        </w:tc>
      </w:tr>
      <w:tr>
        <w:trPr>
          <w:trHeight w:val="179"/>
        </w:trPr>
        <w:tc>
          <w:tcPr>
            <w:tcW w:w="1480" w:type="dxa"/>
            <w:vAlign w:val="bottom"/>
          </w:tcPr>
          <w:p>
            <w:pPr>
              <w:spacing w:after="0" w:line="179" w:lineRule="exact"/>
              <w:rPr>
                <w:sz w:val="20"/>
                <w:szCs w:val="20"/>
                <w:color w:val="auto"/>
              </w:rPr>
            </w:pPr>
            <w:r>
              <w:rPr>
                <w:rFonts w:ascii="Courier New" w:cs="Courier New" w:eastAsia="Courier New" w:hAnsi="Courier New"/>
                <w:sz w:val="16"/>
                <w:szCs w:val="16"/>
                <w:color w:val="auto"/>
              </w:rPr>
              <w:t>2001</w:t>
            </w:r>
          </w:p>
        </w:tc>
        <w:tc>
          <w:tcPr>
            <w:tcW w:w="2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1,962,000</w:t>
            </w:r>
          </w:p>
        </w:tc>
      </w:tr>
      <w:tr>
        <w:trPr>
          <w:trHeight w:val="179"/>
        </w:trPr>
        <w:tc>
          <w:tcPr>
            <w:tcW w:w="1480" w:type="dxa"/>
            <w:vAlign w:val="bottom"/>
          </w:tcPr>
          <w:p>
            <w:pPr>
              <w:spacing w:after="0" w:line="179" w:lineRule="exact"/>
              <w:rPr>
                <w:sz w:val="20"/>
                <w:szCs w:val="20"/>
                <w:color w:val="auto"/>
              </w:rPr>
            </w:pPr>
            <w:r>
              <w:rPr>
                <w:rFonts w:ascii="Courier New" w:cs="Courier New" w:eastAsia="Courier New" w:hAnsi="Courier New"/>
                <w:sz w:val="16"/>
                <w:szCs w:val="16"/>
                <w:color w:val="auto"/>
              </w:rPr>
              <w:t>Thereafter</w:t>
            </w:r>
          </w:p>
        </w:tc>
        <w:tc>
          <w:tcPr>
            <w:tcW w:w="2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8,040,000</w:t>
            </w:r>
          </w:p>
        </w:tc>
      </w:tr>
      <w:tr>
        <w:trPr>
          <w:trHeight w:val="179"/>
        </w:trPr>
        <w:tc>
          <w:tcPr>
            <w:tcW w:w="1480" w:type="dxa"/>
            <w:vAlign w:val="bottom"/>
          </w:tcPr>
          <w:p>
            <w:pPr>
              <w:spacing w:after="0"/>
              <w:rPr>
                <w:sz w:val="15"/>
                <w:szCs w:val="15"/>
                <w:color w:val="auto"/>
              </w:rPr>
            </w:pPr>
          </w:p>
        </w:tc>
        <w:tc>
          <w:tcPr>
            <w:tcW w:w="2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480" w:type="dxa"/>
            <w:vAlign w:val="bottom"/>
          </w:tcPr>
          <w:p>
            <w:pPr>
              <w:spacing w:after="0"/>
              <w:rPr>
                <w:sz w:val="15"/>
                <w:szCs w:val="15"/>
                <w:color w:val="auto"/>
              </w:rPr>
            </w:pPr>
          </w:p>
        </w:tc>
        <w:tc>
          <w:tcPr>
            <w:tcW w:w="2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$ 21,261,000</w:t>
            </w:r>
          </w:p>
        </w:tc>
      </w:tr>
      <w:tr>
        <w:trPr>
          <w:trHeight w:val="179"/>
        </w:trPr>
        <w:tc>
          <w:tcPr>
            <w:tcW w:w="1480" w:type="dxa"/>
            <w:vAlign w:val="bottom"/>
          </w:tcPr>
          <w:p>
            <w:pPr>
              <w:spacing w:after="0"/>
              <w:rPr>
                <w:sz w:val="15"/>
                <w:szCs w:val="15"/>
                <w:color w:val="auto"/>
              </w:rPr>
            </w:pPr>
          </w:p>
        </w:tc>
        <w:tc>
          <w:tcPr>
            <w:tcW w:w="2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1480" w:type="dxa"/>
            <w:vAlign w:val="bottom"/>
          </w:tcPr>
          <w:p>
            <w:pPr>
              <w:spacing w:after="0"/>
              <w:rPr>
                <w:sz w:val="24"/>
                <w:szCs w:val="24"/>
                <w:color w:val="auto"/>
              </w:rPr>
            </w:pPr>
          </w:p>
        </w:tc>
        <w:tc>
          <w:tcPr>
            <w:tcW w:w="2140" w:type="dxa"/>
            <w:vAlign w:val="bottom"/>
          </w:tcPr>
          <w:p>
            <w:pPr>
              <w:jc w:val="right"/>
              <w:ind w:right="1322"/>
              <w:spacing w:after="0"/>
              <w:rPr>
                <w:sz w:val="20"/>
                <w:szCs w:val="20"/>
                <w:color w:val="auto"/>
              </w:rPr>
            </w:pPr>
            <w:r>
              <w:rPr>
                <w:rFonts w:ascii="Courier New" w:cs="Courier New" w:eastAsia="Courier New" w:hAnsi="Courier New"/>
                <w:sz w:val="16"/>
                <w:szCs w:val="16"/>
                <w:color w:val="auto"/>
              </w:rPr>
              <w:t>18</w:t>
            </w:r>
          </w:p>
        </w:tc>
      </w:tr>
    </w:tbl>
    <w:p>
      <w:pPr>
        <w:sectPr>
          <w:pgSz w:w="11900" w:h="16838" w:orient="portrait"/>
          <w:cols w:equalWidth="0" w:num="1">
            <w:col w:w="10224"/>
          </w:cols>
          <w:pgMar w:left="235" w:top="654" w:right="1440" w:bottom="1440" w:gutter="0" w:footer="0" w:header="0"/>
        </w:sectPr>
      </w:pPr>
    </w:p>
    <w:bookmarkStart w:id="18" w:name="page19"/>
    <w:bookmarkEnd w:id="18"/>
    <w:p>
      <w:pPr>
        <w:ind w:left="845" w:hanging="845"/>
        <w:spacing w:after="0"/>
        <w:tabs>
          <w:tab w:leader="none" w:pos="84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events:</w:t>
      </w:r>
    </w:p>
    <w:p>
      <w:pPr>
        <w:spacing w:after="0" w:line="182" w:lineRule="exact"/>
        <w:rPr>
          <w:rFonts w:ascii="Courier New" w:cs="Courier New" w:eastAsia="Courier New" w:hAnsi="Courier New"/>
          <w:sz w:val="16"/>
          <w:szCs w:val="16"/>
          <w:color w:val="auto"/>
        </w:rPr>
      </w:pPr>
    </w:p>
    <w:p>
      <w:pPr>
        <w:ind w:left="84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March 31, 1997, the Partnership transferred substantially all of its assets to FR Pike 7 Limited Partnership ("Pike 7"), a newly-formed partnership, which assumed substantially all of the existing debt. The Partnership has a stated interest in Pike 7 of 1%. In connection with the transfer of the property, Pike 7 prepaid approximately $18,000,000 of the outstanding mortgage indebtedness. Subsequent to this transaction, the remaining Partnership assets were distributed to the partners and the Partnership was liquidated.</w:t>
      </w:r>
    </w:p>
    <w:p>
      <w:pPr>
        <w:spacing w:after="0" w:line="17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4"/>
          </w:cols>
          <w:pgMar w:left="235" w:top="648"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Report of Independent Certified Public Accountants</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Trustees</w:t>
      </w:r>
    </w:p>
    <w:p>
      <w:pPr>
        <w:spacing w:after="0" w:line="236" w:lineRule="auto"/>
        <w:rPr>
          <w:sz w:val="20"/>
          <w:szCs w:val="20"/>
          <w:color w:val="auto"/>
        </w:rPr>
      </w:pPr>
      <w:r>
        <w:rPr>
          <w:rFonts w:ascii="Courier New" w:cs="Courier New" w:eastAsia="Courier New" w:hAnsi="Courier New"/>
          <w:sz w:val="16"/>
          <w:szCs w:val="16"/>
          <w:color w:val="auto"/>
        </w:rPr>
        <w:t>Federal Realty Investment Trust</w:t>
      </w:r>
    </w:p>
    <w:p>
      <w:pPr>
        <w:spacing w:after="0" w:line="183" w:lineRule="exact"/>
        <w:rPr>
          <w:sz w:val="20"/>
          <w:szCs w:val="20"/>
          <w:color w:val="auto"/>
        </w:rPr>
      </w:pPr>
    </w:p>
    <w:p>
      <w:pPr>
        <w:ind w:right="2779"/>
        <w:spacing w:after="0" w:line="276" w:lineRule="auto"/>
        <w:rPr>
          <w:sz w:val="20"/>
          <w:szCs w:val="20"/>
          <w:color w:val="auto"/>
        </w:rPr>
      </w:pPr>
      <w:r>
        <w:rPr>
          <w:rFonts w:ascii="Courier New" w:cs="Courier New" w:eastAsia="Courier New" w:hAnsi="Courier New"/>
          <w:sz w:val="14"/>
          <w:szCs w:val="14"/>
          <w:color w:val="auto"/>
        </w:rPr>
        <w:t>We have audited the accompanying Historical Summary of Gross Income and Direct Operating Expenses (Historical Summary) of J.C. Penney Company Building, Santa Monica, California, for the year ended December 31, 1996. The Historical Summary is the responsibility of the Building's management. Our responsibility is to express an opinion on the Historical Summary based on our audit.</w:t>
      </w:r>
    </w:p>
    <w:p>
      <w:pPr>
        <w:spacing w:after="0" w:line="161"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Historical Summary is free of material misstatement. An audit includes examining, on a test basis, evidence supporting the amounts and disclosures in the Historical Summary. An audit also includes assessing the accounting principles used and significant estimates made by management, as well as evaluating the overall presentation of the Historical Summary. We believe that our audit provides a reasonable basis for our opinion.</w:t>
      </w:r>
    </w:p>
    <w:p>
      <w:pPr>
        <w:spacing w:after="0" w:line="162"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accompanying Historical Summary was prepared for the purpose of complying with the rules and regulations of the Securities and Exchange Commission and excludes certain material items of income and expenses, as described in Note B, that would not be comparable to those resulting from the future operations of the Building acquired by Federal Realty Investment Trust. The Historical Summary is not intended to be a complete presentation of the Building's income and expenses.</w:t>
      </w:r>
    </w:p>
    <w:p>
      <w:pPr>
        <w:spacing w:after="0" w:line="184"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In our opinion, the Historical Summary referred to above, presents fairly, in all material respects, the gross income and direct operating expenses as described in Note B of J.C. Penney Company Building, Santa Monica, California, for the year ended December 31, 1996, in conformity with generally accepted accounting principles.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 Thornton</w:t>
      </w:r>
    </w:p>
    <w:p>
      <w:pPr>
        <w:spacing w:after="0" w:line="236" w:lineRule="auto"/>
        <w:rPr>
          <w:sz w:val="20"/>
          <w:szCs w:val="20"/>
          <w:color w:val="auto"/>
        </w:rPr>
      </w:pPr>
      <w:r>
        <w:rPr>
          <w:rFonts w:ascii="Courier New" w:cs="Courier New" w:eastAsia="Courier New" w:hAnsi="Courier New"/>
          <w:sz w:val="16"/>
          <w:szCs w:val="16"/>
          <w:color w:val="auto"/>
        </w:rPr>
        <w:t>Washington, D.C.</w:t>
      </w:r>
    </w:p>
    <w:p>
      <w:pPr>
        <w:spacing w:after="0" w:line="237" w:lineRule="auto"/>
        <w:rPr>
          <w:sz w:val="20"/>
          <w:szCs w:val="20"/>
          <w:color w:val="auto"/>
        </w:rPr>
      </w:pPr>
      <w:r>
        <w:rPr>
          <w:rFonts w:ascii="Courier New" w:cs="Courier New" w:eastAsia="Courier New" w:hAnsi="Courier New"/>
          <w:sz w:val="16"/>
          <w:szCs w:val="16"/>
          <w:color w:val="auto"/>
        </w:rPr>
        <w:t>May 14, 1997</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48"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J.C. Penney Company Building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Historical Summary of Gross Income</w:t>
      </w:r>
    </w:p>
    <w:p>
      <w:pPr>
        <w:spacing w:after="0" w:line="236" w:lineRule="auto"/>
        <w:rPr>
          <w:sz w:val="20"/>
          <w:szCs w:val="20"/>
          <w:color w:val="auto"/>
        </w:rPr>
      </w:pPr>
      <w:r>
        <w:rPr>
          <w:rFonts w:ascii="Courier New" w:cs="Courier New" w:eastAsia="Courier New" w:hAnsi="Courier New"/>
          <w:sz w:val="16"/>
          <w:szCs w:val="16"/>
          <w:color w:val="auto"/>
        </w:rPr>
        <w:t>and Direct Operating Expenses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December 31, 1996</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rPr>
              <w:t>Gross Income</w:t>
            </w:r>
          </w:p>
        </w:tc>
        <w:tc>
          <w:tcPr>
            <w:tcW w:w="1720" w:type="dxa"/>
            <w:vAlign w:val="bottom"/>
          </w:tcPr>
          <w:p>
            <w:pPr>
              <w:spacing w:after="0"/>
              <w:rPr>
                <w:sz w:val="15"/>
                <w:szCs w:val="15"/>
                <w:color w:val="auto"/>
              </w:rPr>
            </w:pP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Fixed rent</w:t>
            </w:r>
          </w:p>
        </w:tc>
        <w:tc>
          <w:tcPr>
            <w:tcW w:w="1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$ 12,000</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Percentage rent</w:t>
            </w:r>
          </w:p>
        </w:tc>
        <w:tc>
          <w:tcPr>
            <w:tcW w:w="1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136,861</w:t>
            </w:r>
          </w:p>
        </w:tc>
      </w:tr>
      <w:tr>
        <w:trPr>
          <w:trHeight w:val="179"/>
        </w:trPr>
        <w:tc>
          <w:tcPr>
            <w:tcW w:w="5720" w:type="dxa"/>
            <w:vAlign w:val="bottom"/>
          </w:tcPr>
          <w:p>
            <w:pPr>
              <w:spacing w:after="0"/>
              <w:rPr>
                <w:sz w:val="15"/>
                <w:szCs w:val="15"/>
                <w:color w:val="auto"/>
              </w:rPr>
            </w:pPr>
          </w:p>
        </w:tc>
        <w:tc>
          <w:tcPr>
            <w:tcW w:w="1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Gross Income</w:t>
            </w:r>
          </w:p>
        </w:tc>
        <w:tc>
          <w:tcPr>
            <w:tcW w:w="1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148,861</w:t>
            </w:r>
          </w:p>
        </w:tc>
      </w:tr>
      <w:tr>
        <w:trPr>
          <w:trHeight w:val="358"/>
        </w:trPr>
        <w:tc>
          <w:tcPr>
            <w:tcW w:w="5720" w:type="dxa"/>
            <w:vAlign w:val="bottom"/>
          </w:tcPr>
          <w:p>
            <w:pPr>
              <w:spacing w:after="0"/>
              <w:rPr>
                <w:sz w:val="20"/>
                <w:szCs w:val="20"/>
                <w:color w:val="auto"/>
              </w:rPr>
            </w:pPr>
            <w:r>
              <w:rPr>
                <w:rFonts w:ascii="Courier New" w:cs="Courier New" w:eastAsia="Courier New" w:hAnsi="Courier New"/>
                <w:sz w:val="16"/>
                <w:szCs w:val="16"/>
                <w:color w:val="auto"/>
              </w:rPr>
              <w:t>Direct Operating Expenses</w:t>
            </w:r>
          </w:p>
        </w:tc>
        <w:tc>
          <w:tcPr>
            <w:tcW w:w="1720" w:type="dxa"/>
            <w:vAlign w:val="bottom"/>
          </w:tcPr>
          <w:p>
            <w:pPr>
              <w:spacing w:after="0"/>
              <w:rPr>
                <w:sz w:val="24"/>
                <w:szCs w:val="24"/>
                <w:color w:val="auto"/>
              </w:rPr>
            </w:pP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Insurance</w:t>
            </w:r>
          </w:p>
        </w:tc>
        <w:tc>
          <w:tcPr>
            <w:tcW w:w="1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3,884</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Property taxes</w:t>
            </w:r>
          </w:p>
        </w:tc>
        <w:tc>
          <w:tcPr>
            <w:tcW w:w="1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67,448</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Repairs and maintenance</w:t>
            </w:r>
          </w:p>
        </w:tc>
        <w:tc>
          <w:tcPr>
            <w:tcW w:w="1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7,025</w:t>
            </w:r>
          </w:p>
        </w:tc>
      </w:tr>
      <w:tr>
        <w:trPr>
          <w:trHeight w:val="179"/>
        </w:trPr>
        <w:tc>
          <w:tcPr>
            <w:tcW w:w="57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Miscellaneous</w:t>
            </w:r>
          </w:p>
        </w:tc>
        <w:tc>
          <w:tcPr>
            <w:tcW w:w="1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1,184</w:t>
            </w:r>
          </w:p>
        </w:tc>
      </w:tr>
      <w:tr>
        <w:trPr>
          <w:trHeight w:val="179"/>
        </w:trPr>
        <w:tc>
          <w:tcPr>
            <w:tcW w:w="5720" w:type="dxa"/>
            <w:vAlign w:val="bottom"/>
          </w:tcPr>
          <w:p>
            <w:pPr>
              <w:spacing w:after="0"/>
              <w:rPr>
                <w:sz w:val="15"/>
                <w:szCs w:val="15"/>
                <w:color w:val="auto"/>
              </w:rPr>
            </w:pPr>
          </w:p>
        </w:tc>
        <w:tc>
          <w:tcPr>
            <w:tcW w:w="1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Direct Operating Expenses</w:t>
            </w:r>
          </w:p>
        </w:tc>
        <w:tc>
          <w:tcPr>
            <w:tcW w:w="1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79,541</w:t>
            </w:r>
          </w:p>
        </w:tc>
      </w:tr>
      <w:tr>
        <w:trPr>
          <w:trHeight w:val="179"/>
        </w:trPr>
        <w:tc>
          <w:tcPr>
            <w:tcW w:w="5720" w:type="dxa"/>
            <w:vAlign w:val="bottom"/>
          </w:tcPr>
          <w:p>
            <w:pPr>
              <w:spacing w:after="0"/>
              <w:rPr>
                <w:sz w:val="15"/>
                <w:szCs w:val="15"/>
                <w:color w:val="auto"/>
              </w:rPr>
            </w:pPr>
          </w:p>
        </w:tc>
        <w:tc>
          <w:tcPr>
            <w:tcW w:w="1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Excess of Gross Income Over Direct Operating Expenses</w:t>
            </w:r>
          </w:p>
        </w:tc>
        <w:tc>
          <w:tcPr>
            <w:tcW w:w="1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$ 69,320</w:t>
            </w:r>
          </w:p>
        </w:tc>
      </w:tr>
      <w:tr>
        <w:trPr>
          <w:trHeight w:val="179"/>
        </w:trPr>
        <w:tc>
          <w:tcPr>
            <w:tcW w:w="5720" w:type="dxa"/>
            <w:vAlign w:val="bottom"/>
          </w:tcPr>
          <w:p>
            <w:pPr>
              <w:spacing w:after="0"/>
              <w:rPr>
                <w:sz w:val="15"/>
                <w:szCs w:val="15"/>
                <w:color w:val="auto"/>
              </w:rPr>
            </w:pPr>
          </w:p>
        </w:tc>
        <w:tc>
          <w:tcPr>
            <w:tcW w:w="17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accompanying notes are an integral part of this statement.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48"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J.C. Penney Company Building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Historical Summary of Gross Income</w:t>
      </w:r>
    </w:p>
    <w:p>
      <w:pPr>
        <w:spacing w:after="0" w:line="236" w:lineRule="auto"/>
        <w:rPr>
          <w:sz w:val="20"/>
          <w:szCs w:val="20"/>
          <w:color w:val="auto"/>
        </w:rPr>
      </w:pPr>
      <w:r>
        <w:rPr>
          <w:rFonts w:ascii="Courier New" w:cs="Courier New" w:eastAsia="Courier New" w:hAnsi="Courier New"/>
          <w:sz w:val="16"/>
          <w:szCs w:val="16"/>
          <w:color w:val="auto"/>
        </w:rPr>
        <w:t>and Direct Operating Expenses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1996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A - NATURE OF BUSINESS</w:t>
      </w:r>
    </w:p>
    <w:p>
      <w:pPr>
        <w:spacing w:after="0" w:line="183" w:lineRule="exact"/>
        <w:rPr>
          <w:sz w:val="20"/>
          <w:szCs w:val="20"/>
          <w:color w:val="auto"/>
        </w:rPr>
      </w:pPr>
    </w:p>
    <w:p>
      <w:pPr>
        <w:jc w:val="both"/>
        <w:ind w:right="3059"/>
        <w:spacing w:after="0" w:line="235" w:lineRule="auto"/>
        <w:rPr>
          <w:sz w:val="20"/>
          <w:szCs w:val="20"/>
          <w:color w:val="auto"/>
        </w:rPr>
      </w:pPr>
      <w:r>
        <w:rPr>
          <w:rFonts w:ascii="Courier New" w:cs="Courier New" w:eastAsia="Courier New" w:hAnsi="Courier New"/>
          <w:sz w:val="16"/>
          <w:szCs w:val="16"/>
          <w:color w:val="auto"/>
        </w:rPr>
        <w:t>J.C. Penney Company Building (the Building) is located at the intersection of Wilshire Boulevard and Third Street in Santa Monica, California. The Building consists of a store building and its parking lot.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Building's activity consists of the leasing of the Building to J.C. Penney.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B - SUMMARY OF ACCOUNTING POLICIES</w:t>
      </w:r>
    </w:p>
    <w:p>
      <w:pPr>
        <w:spacing w:after="0" w:line="183"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6"/>
          <w:szCs w:val="16"/>
          <w:color w:val="auto"/>
        </w:rPr>
        <w:t>The following is a summary of the Building's significant accounting policies applied in the preparation of the accompanying Historical Summary of Gross Income and Direct Operating Expenses.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of Presentation</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Federal Realty Investment Trust purchased the Building on April 30, 1997. The Historical Summary of Gross Income and Direct Operating Expenses has been prepared for the purpose of complying with Regulation S-X, Rule 314 of the Securities and Exchange Commission (SEC), which requires certain information with respect to real estate operations acquired to be included with certain filings with the SEC. The Historical summary includes the historical gross income and direct operating expenses of the Building, exclusive of certain items of income and expense which are not comparable to the proposed future operations of the Building. Upon the purchase of the Building, Federal Realty Investment Trust began operating the Building under its policies and procedures. The excluded income and expense items are property tax refunds, depreciation of property and equipment, management and leasing fees, and brokers' fees.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Recognition</w:t>
      </w:r>
    </w:p>
    <w:p>
      <w:pPr>
        <w:spacing w:after="0" w:line="18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According to the lease agreement, the Building will receive a fixed rent of $12,000 per annum and a monthly percentage rent equal to 3% of the net retail sales made by the J.C. Penney store during such period.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Using Estimates in Preparing Financial Statements</w:t>
      </w:r>
    </w:p>
    <w:p>
      <w:pPr>
        <w:spacing w:after="0" w:line="183" w:lineRule="exact"/>
        <w:rPr>
          <w:sz w:val="20"/>
          <w:szCs w:val="20"/>
          <w:color w:val="auto"/>
        </w:rPr>
      </w:pPr>
    </w:p>
    <w:p>
      <w:pPr>
        <w:ind w:right="3619"/>
        <w:spacing w:after="0" w:line="234" w:lineRule="auto"/>
        <w:rPr>
          <w:sz w:val="20"/>
          <w:szCs w:val="20"/>
          <w:color w:val="auto"/>
        </w:rPr>
      </w:pPr>
      <w:r>
        <w:rPr>
          <w:rFonts w:ascii="Courier New" w:cs="Courier New" w:eastAsia="Courier New" w:hAnsi="Courier New"/>
          <w:sz w:val="16"/>
          <w:szCs w:val="16"/>
          <w:color w:val="auto"/>
        </w:rPr>
        <w:t>In preparing financial statements in conformity with generally accepted accounting principles, management is required to make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48" w:right="1440" w:bottom="1440" w:gutter="0" w:footer="0" w:header="0"/>
        </w:sectPr>
      </w:pPr>
    </w:p>
    <w:bookmarkStart w:id="22" w:name="page23"/>
    <w:bookmarkEnd w:id="22"/>
    <w:p>
      <w:pPr>
        <w:ind w:right="2779"/>
        <w:spacing w:after="0" w:line="235" w:lineRule="auto"/>
        <w:rPr>
          <w:sz w:val="20"/>
          <w:szCs w:val="20"/>
          <w:color w:val="auto"/>
        </w:rPr>
      </w:pPr>
      <w:r>
        <w:rPr>
          <w:rFonts w:ascii="Courier New" w:cs="Courier New" w:eastAsia="Courier New" w:hAnsi="Courier New"/>
          <w:sz w:val="16"/>
          <w:szCs w:val="16"/>
          <w:color w:val="auto"/>
        </w:rPr>
        <w:t>estimates and assumptions that affect the reported amounts of assets and liabilities and the disclosure of contingent assets and liabilities at the date of the financial statements and revenue and expense during the reporting period. Actual results could differ from those estimates.</w:t>
      </w: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54" w:right="1440" w:bottom="1440" w:gutter="0" w:footer="0" w:header="0"/>
        </w:sectPr>
      </w:pPr>
    </w:p>
    <w:bookmarkStart w:id="23" w:name="page24"/>
    <w:bookmarkEnd w:id="23"/>
    <w:p>
      <w:pPr>
        <w:jc w:val="center"/>
        <w:ind w:right="418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77"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6"/>
          <w:szCs w:val="16"/>
          <w:color w:val="auto"/>
        </w:rPr>
        <w:t>Pro Forma Condensed Statement of Operations</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(unaudited)</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Year ended December 31, 1996</w:t>
      </w:r>
    </w:p>
    <w:p>
      <w:pPr>
        <w:ind w:left="1940"/>
        <w:spacing w:after="0" w:line="236" w:lineRule="auto"/>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60" w:type="dxa"/>
            <w:vAlign w:val="bottom"/>
          </w:tcPr>
          <w:p>
            <w:pPr>
              <w:spacing w:after="0"/>
              <w:rPr>
                <w:sz w:val="15"/>
                <w:szCs w:val="15"/>
                <w:color w:val="auto"/>
              </w:rPr>
            </w:pPr>
          </w:p>
        </w:tc>
        <w:tc>
          <w:tcPr>
            <w:tcW w:w="14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Trust</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Acquired</w:t>
            </w:r>
          </w:p>
        </w:tc>
        <w:tc>
          <w:tcPr>
            <w:tcW w:w="380" w:type="dxa"/>
            <w:vAlign w:val="bottom"/>
          </w:tcPr>
          <w:p>
            <w:pPr>
              <w:spacing w:after="0"/>
              <w:rPr>
                <w:sz w:val="15"/>
                <w:szCs w:val="15"/>
                <w:color w:val="auto"/>
              </w:rPr>
            </w:pPr>
          </w:p>
        </w:tc>
        <w:tc>
          <w:tcPr>
            <w:tcW w:w="2880" w:type="dxa"/>
            <w:vAlign w:val="bottom"/>
            <w:gridSpan w:val="3"/>
          </w:tcPr>
          <w:p>
            <w:pPr>
              <w:jc w:val="right"/>
              <w:ind w:right="382"/>
              <w:spacing w:after="0"/>
              <w:rPr>
                <w:sz w:val="20"/>
                <w:szCs w:val="20"/>
                <w:color w:val="auto"/>
              </w:rPr>
            </w:pPr>
            <w:r>
              <w:rPr>
                <w:rFonts w:ascii="Courier New" w:cs="Courier New" w:eastAsia="Courier New" w:hAnsi="Courier New"/>
                <w:sz w:val="16"/>
                <w:szCs w:val="16"/>
                <w:color w:val="auto"/>
              </w:rPr>
              <w:t>Pro Forma Adjustments</w:t>
            </w: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Pro Forma</w:t>
            </w:r>
          </w:p>
        </w:tc>
      </w:tr>
      <w:tr>
        <w:trPr>
          <w:trHeight w:val="179"/>
        </w:trPr>
        <w:tc>
          <w:tcPr>
            <w:tcW w:w="4360" w:type="dxa"/>
            <w:vAlign w:val="bottom"/>
          </w:tcPr>
          <w:p>
            <w:pPr>
              <w:spacing w:after="0"/>
              <w:rPr>
                <w:sz w:val="15"/>
                <w:szCs w:val="15"/>
                <w:color w:val="auto"/>
              </w:rPr>
            </w:pPr>
          </w:p>
        </w:tc>
        <w:tc>
          <w:tcPr>
            <w:tcW w:w="14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Actual</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Properties</w:t>
            </w:r>
          </w:p>
        </w:tc>
        <w:tc>
          <w:tcPr>
            <w:tcW w:w="380" w:type="dxa"/>
            <w:vAlign w:val="bottom"/>
          </w:tcPr>
          <w:p>
            <w:pPr>
              <w:spacing w:after="0"/>
              <w:rPr>
                <w:sz w:val="15"/>
                <w:szCs w:val="15"/>
                <w:color w:val="auto"/>
              </w:rPr>
            </w:pPr>
          </w:p>
        </w:tc>
        <w:tc>
          <w:tcPr>
            <w:tcW w:w="14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Debit</w:t>
            </w:r>
          </w:p>
        </w:tc>
        <w:tc>
          <w:tcPr>
            <w:tcW w:w="380" w:type="dxa"/>
            <w:vAlign w:val="bottom"/>
          </w:tcPr>
          <w:p>
            <w:pPr>
              <w:spacing w:after="0"/>
              <w:rPr>
                <w:sz w:val="15"/>
                <w:szCs w:val="15"/>
                <w:color w:val="auto"/>
              </w:rPr>
            </w:pP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3"/>
              </w:rPr>
              <w:t>Credit</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Combined</w:t>
            </w:r>
          </w:p>
        </w:tc>
      </w:tr>
      <w:tr>
        <w:trPr>
          <w:trHeight w:val="179"/>
        </w:trPr>
        <w:tc>
          <w:tcPr>
            <w:tcW w:w="4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Actual (6)</w:t>
            </w:r>
          </w:p>
        </w:tc>
        <w:tc>
          <w:tcPr>
            <w:tcW w:w="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58"/>
        </w:trPr>
        <w:tc>
          <w:tcPr>
            <w:tcW w:w="436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9"/>
        </w:trPr>
        <w:tc>
          <w:tcPr>
            <w:tcW w:w="43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Rental income</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$164,887</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$7,940</w:t>
            </w:r>
          </w:p>
        </w:tc>
        <w:tc>
          <w:tcPr>
            <w:tcW w:w="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($149)</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$172,678</w:t>
            </w:r>
          </w:p>
        </w:tc>
      </w:tr>
      <w:tr>
        <w:trPr>
          <w:trHeight w:val="179"/>
        </w:trPr>
        <w:tc>
          <w:tcPr>
            <w:tcW w:w="43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Other income</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9,816</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61</w:t>
            </w:r>
          </w:p>
        </w:tc>
        <w:tc>
          <w:tcPr>
            <w:tcW w:w="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9,877</w:t>
            </w:r>
          </w:p>
        </w:tc>
      </w:tr>
      <w:tr>
        <w:trPr>
          <w:trHeight w:val="179"/>
        </w:trPr>
        <w:tc>
          <w:tcPr>
            <w:tcW w:w="43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Interest income</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4,352</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4,352</w:t>
            </w:r>
          </w:p>
        </w:tc>
      </w:tr>
      <w:tr>
        <w:trPr>
          <w:trHeight w:val="179"/>
        </w:trPr>
        <w:tc>
          <w:tcPr>
            <w:tcW w:w="436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179,055</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8,001</w:t>
            </w:r>
          </w:p>
        </w:tc>
        <w:tc>
          <w:tcPr>
            <w:tcW w:w="380" w:type="dxa"/>
            <w:vAlign w:val="bottom"/>
          </w:tcPr>
          <w:p>
            <w:pPr>
              <w:spacing w:after="0"/>
              <w:rPr>
                <w:sz w:val="15"/>
                <w:szCs w:val="15"/>
                <w:color w:val="auto"/>
              </w:rPr>
            </w:pP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(149)</w:t>
            </w:r>
          </w:p>
        </w:tc>
        <w:tc>
          <w:tcPr>
            <w:tcW w:w="3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186,907</w:t>
            </w:r>
          </w:p>
        </w:tc>
      </w:tr>
      <w:tr>
        <w:trPr>
          <w:trHeight w:val="358"/>
        </w:trPr>
        <w:tc>
          <w:tcPr>
            <w:tcW w:w="436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9"/>
        </w:trPr>
        <w:tc>
          <w:tcPr>
            <w:tcW w:w="43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Interest</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45,555</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2,731</w:t>
            </w:r>
          </w:p>
        </w:tc>
        <w:tc>
          <w:tcPr>
            <w:tcW w:w="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3,991</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(2,731)</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49,546</w:t>
            </w:r>
          </w:p>
        </w:tc>
      </w:tr>
      <w:tr>
        <w:trPr>
          <w:trHeight w:val="179"/>
        </w:trPr>
        <w:tc>
          <w:tcPr>
            <w:tcW w:w="43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38,154</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w:t>
            </w: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1,352</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39,506</w:t>
            </w:r>
          </w:p>
        </w:tc>
      </w:tr>
      <w:tr>
        <w:trPr>
          <w:trHeight w:val="179"/>
        </w:trPr>
        <w:tc>
          <w:tcPr>
            <w:tcW w:w="43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Administrative  expenses</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9,100</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9,100</w:t>
            </w:r>
          </w:p>
        </w:tc>
      </w:tr>
      <w:tr>
        <w:trPr>
          <w:trHeight w:val="179"/>
        </w:trPr>
        <w:tc>
          <w:tcPr>
            <w:tcW w:w="43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57,098</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3,256</w:t>
            </w:r>
          </w:p>
        </w:tc>
        <w:tc>
          <w:tcPr>
            <w:tcW w:w="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w:t>
            </w: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(80)</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60,274</w:t>
            </w:r>
          </w:p>
        </w:tc>
      </w:tr>
      <w:tr>
        <w:trPr>
          <w:trHeight w:val="179"/>
        </w:trPr>
        <w:tc>
          <w:tcPr>
            <w:tcW w:w="436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149,907</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5,987</w:t>
            </w:r>
          </w:p>
        </w:tc>
        <w:tc>
          <w:tcPr>
            <w:tcW w:w="380" w:type="dxa"/>
            <w:vAlign w:val="bottom"/>
          </w:tcPr>
          <w:p>
            <w:pPr>
              <w:spacing w:after="0"/>
              <w:rPr>
                <w:sz w:val="15"/>
                <w:szCs w:val="15"/>
                <w:color w:val="auto"/>
              </w:rPr>
            </w:pP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5,343</w:t>
            </w:r>
          </w:p>
        </w:tc>
        <w:tc>
          <w:tcPr>
            <w:tcW w:w="3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(2,811)</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158,426</w:t>
            </w:r>
          </w:p>
        </w:tc>
      </w:tr>
      <w:tr>
        <w:trPr>
          <w:trHeight w:val="358"/>
        </w:trPr>
        <w:tc>
          <w:tcPr>
            <w:tcW w:w="4360" w:type="dxa"/>
            <w:vAlign w:val="bottom"/>
          </w:tcPr>
          <w:p>
            <w:pPr>
              <w:spacing w:after="0"/>
              <w:rPr>
                <w:sz w:val="20"/>
                <w:szCs w:val="20"/>
                <w:color w:val="auto"/>
              </w:rPr>
            </w:pPr>
            <w:r>
              <w:rPr>
                <w:rFonts w:ascii="Courier New" w:cs="Courier New" w:eastAsia="Courier New" w:hAnsi="Courier New"/>
                <w:sz w:val="16"/>
                <w:szCs w:val="16"/>
                <w:color w:val="auto"/>
              </w:rPr>
              <w:t>Income before investors share of operations</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9"/>
        </w:trPr>
        <w:tc>
          <w:tcPr>
            <w:tcW w:w="43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and loss on sale of real estate</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29,148</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2,014</w:t>
            </w:r>
          </w:p>
        </w:tc>
        <w:tc>
          <w:tcPr>
            <w:tcW w:w="380" w:type="dxa"/>
            <w:vAlign w:val="bottom"/>
          </w:tcPr>
          <w:p>
            <w:pPr>
              <w:spacing w:after="0"/>
              <w:rPr>
                <w:sz w:val="15"/>
                <w:szCs w:val="15"/>
                <w:color w:val="auto"/>
              </w:rPr>
            </w:pP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(5,492)</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28,481</w:t>
            </w:r>
          </w:p>
        </w:tc>
      </w:tr>
      <w:tr>
        <w:trPr>
          <w:trHeight w:val="179"/>
        </w:trPr>
        <w:tc>
          <w:tcPr>
            <w:tcW w:w="43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Investors' share of operations</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(394)</w:t>
            </w:r>
          </w:p>
        </w:tc>
        <w:tc>
          <w:tcPr>
            <w:tcW w:w="1300" w:type="dxa"/>
            <w:vAlign w:val="bottom"/>
          </w:tcPr>
          <w:p>
            <w:pPr>
              <w:spacing w:after="0"/>
              <w:rPr>
                <w:sz w:val="15"/>
                <w:szCs w:val="15"/>
                <w:color w:val="auto"/>
              </w:rPr>
            </w:pPr>
          </w:p>
        </w:tc>
        <w:tc>
          <w:tcPr>
            <w:tcW w:w="3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(424)</w:t>
            </w:r>
          </w:p>
        </w:tc>
      </w:tr>
      <w:tr>
        <w:trPr>
          <w:trHeight w:val="179"/>
        </w:trPr>
        <w:tc>
          <w:tcPr>
            <w:tcW w:w="436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before loss on sale of real estate</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28,754</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2,014</w:t>
            </w:r>
          </w:p>
        </w:tc>
        <w:tc>
          <w:tcPr>
            <w:tcW w:w="380" w:type="dxa"/>
            <w:vAlign w:val="bottom"/>
          </w:tcPr>
          <w:p>
            <w:pPr>
              <w:spacing w:after="0"/>
              <w:rPr>
                <w:sz w:val="15"/>
                <w:szCs w:val="15"/>
                <w:color w:val="auto"/>
              </w:rPr>
            </w:pP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(5,522)</w:t>
            </w:r>
          </w:p>
        </w:tc>
        <w:tc>
          <w:tcPr>
            <w:tcW w:w="3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28,057</w:t>
            </w:r>
          </w:p>
        </w:tc>
      </w:tr>
      <w:tr>
        <w:trPr>
          <w:trHeight w:val="179"/>
        </w:trPr>
        <w:tc>
          <w:tcPr>
            <w:tcW w:w="43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Loss on sale of real estate</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w:t>
            </w: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w:t>
            </w:r>
          </w:p>
        </w:tc>
      </w:tr>
      <w:tr>
        <w:trPr>
          <w:trHeight w:val="179"/>
        </w:trPr>
        <w:tc>
          <w:tcPr>
            <w:tcW w:w="436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$28,742</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$2,014</w:t>
            </w:r>
          </w:p>
        </w:tc>
        <w:tc>
          <w:tcPr>
            <w:tcW w:w="380" w:type="dxa"/>
            <w:vAlign w:val="bottom"/>
          </w:tcPr>
          <w:p>
            <w:pPr>
              <w:spacing w:after="0"/>
              <w:rPr>
                <w:sz w:val="15"/>
                <w:szCs w:val="15"/>
                <w:color w:val="auto"/>
              </w:rPr>
            </w:pP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($5,522)</w:t>
            </w:r>
          </w:p>
        </w:tc>
        <w:tc>
          <w:tcPr>
            <w:tcW w:w="3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$28,045</w:t>
            </w:r>
          </w:p>
        </w:tc>
      </w:tr>
      <w:tr>
        <w:trPr>
          <w:trHeight w:val="179"/>
        </w:trPr>
        <w:tc>
          <w:tcPr>
            <w:tcW w:w="436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36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33,573</w:t>
            </w: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33,573</w:t>
            </w:r>
          </w:p>
        </w:tc>
      </w:tr>
      <w:tr>
        <w:trPr>
          <w:trHeight w:val="179"/>
        </w:trPr>
        <w:tc>
          <w:tcPr>
            <w:tcW w:w="436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36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9"/>
        </w:trPr>
        <w:tc>
          <w:tcPr>
            <w:tcW w:w="43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w w:val="98"/>
              </w:rPr>
              <w:t>Income before loss on sale of real estate</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$0.86</w:t>
            </w: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$0.84</w:t>
            </w:r>
          </w:p>
        </w:tc>
      </w:tr>
      <w:tr>
        <w:trPr>
          <w:trHeight w:val="179"/>
        </w:trPr>
        <w:tc>
          <w:tcPr>
            <w:tcW w:w="43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Loss on sale of real estate</w:t>
            </w:r>
          </w:p>
        </w:tc>
        <w:tc>
          <w:tcPr>
            <w:tcW w:w="140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$0.86</w:t>
            </w: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$0.84</w:t>
            </w:r>
          </w:p>
        </w:tc>
      </w:tr>
      <w:tr>
        <w:trPr>
          <w:trHeight w:val="179"/>
        </w:trPr>
        <w:tc>
          <w:tcPr>
            <w:tcW w:w="436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jc w:val="both"/>
        <w:ind w:right="4260" w:firstLine="465"/>
        <w:spacing w:after="0" w:line="235" w:lineRule="auto"/>
        <w:rPr>
          <w:sz w:val="20"/>
          <w:szCs w:val="20"/>
          <w:color w:val="auto"/>
        </w:rPr>
      </w:pPr>
      <w:r>
        <w:rPr>
          <w:rFonts w:ascii="Courier New" w:cs="Courier New" w:eastAsia="Courier New" w:hAnsi="Courier New"/>
          <w:sz w:val="16"/>
          <w:szCs w:val="16"/>
          <w:color w:val="auto"/>
        </w:rPr>
        <w:t>The Pro Forma Condensed Statement of Operations of the Trust gives effect to the acquisition of the Acquired Properties as though they were acquired at the beginning of the period presented.</w:t>
      </w:r>
    </w:p>
    <w:p>
      <w:pPr>
        <w:spacing w:after="0" w:line="200" w:lineRule="exact"/>
        <w:rPr>
          <w:sz w:val="20"/>
          <w:szCs w:val="20"/>
          <w:color w:val="auto"/>
        </w:rPr>
      </w:pPr>
    </w:p>
    <w:p>
      <w:pPr>
        <w:spacing w:after="0" w:line="341" w:lineRule="exact"/>
        <w:rPr>
          <w:sz w:val="20"/>
          <w:szCs w:val="20"/>
          <w:color w:val="auto"/>
        </w:rPr>
      </w:pPr>
    </w:p>
    <w:p>
      <w:pPr>
        <w:ind w:left="460" w:right="4180" w:hanging="372"/>
        <w:spacing w:after="0" w:line="235" w:lineRule="auto"/>
        <w:tabs>
          <w:tab w:leader="none" w:pos="4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additional depreciation based on the book value of depreciable real estate purchased, as if the Acquired Properties were purchased at the beginning of the period.</w:t>
      </w:r>
    </w:p>
    <w:p>
      <w:pPr>
        <w:spacing w:after="0" w:line="183" w:lineRule="exact"/>
        <w:rPr>
          <w:rFonts w:ascii="Courier New" w:cs="Courier New" w:eastAsia="Courier New" w:hAnsi="Courier New"/>
          <w:sz w:val="16"/>
          <w:szCs w:val="16"/>
          <w:color w:val="auto"/>
        </w:rPr>
      </w:pPr>
    </w:p>
    <w:p>
      <w:pPr>
        <w:ind w:left="460" w:right="4740" w:hanging="372"/>
        <w:spacing w:after="0" w:line="283" w:lineRule="auto"/>
        <w:tabs>
          <w:tab w:leader="none" w:pos="4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additional interest expcnse on the Trust's revolving credit facilities, adjusted for interest capitalized, as if the Acquired Properties were purchased at the beginning of the period.</w:t>
      </w:r>
    </w:p>
    <w:p>
      <w:pPr>
        <w:spacing w:after="0" w:line="154" w:lineRule="exact"/>
        <w:rPr>
          <w:rFonts w:ascii="Courier New" w:cs="Courier New" w:eastAsia="Courier New" w:hAnsi="Courier New"/>
          <w:sz w:val="14"/>
          <w:szCs w:val="14"/>
          <w:color w:val="auto"/>
        </w:rPr>
      </w:pPr>
    </w:p>
    <w:p>
      <w:pPr>
        <w:ind w:left="460" w:right="4180" w:hanging="372"/>
        <w:spacing w:after="0" w:line="234" w:lineRule="auto"/>
        <w:tabs>
          <w:tab w:leader="none" w:pos="4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additional earnings attributable to minority interests, as if the Acquired Properties were purchased at the beginning of the period.</w:t>
      </w:r>
    </w:p>
    <w:p>
      <w:pPr>
        <w:spacing w:after="0" w:line="183" w:lineRule="exact"/>
        <w:rPr>
          <w:rFonts w:ascii="Courier New" w:cs="Courier New" w:eastAsia="Courier New" w:hAnsi="Courier New"/>
          <w:sz w:val="16"/>
          <w:szCs w:val="16"/>
          <w:color w:val="auto"/>
        </w:rPr>
      </w:pPr>
    </w:p>
    <w:p>
      <w:pPr>
        <w:ind w:left="460" w:right="4080" w:hanging="372"/>
        <w:spacing w:after="0" w:line="235" w:lineRule="auto"/>
        <w:tabs>
          <w:tab w:leader="none" w:pos="4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additional costs to be capitalized as part of redevelopment work, offset by incidental revenues, as if the Acquired Properties were purchased at the beginning of the period.</w:t>
      </w:r>
    </w:p>
    <w:p>
      <w:pPr>
        <w:spacing w:after="0" w:line="183" w:lineRule="exact"/>
        <w:rPr>
          <w:rFonts w:ascii="Courier New" w:cs="Courier New" w:eastAsia="Courier New" w:hAnsi="Courier New"/>
          <w:sz w:val="16"/>
          <w:szCs w:val="16"/>
          <w:color w:val="auto"/>
        </w:rPr>
      </w:pPr>
    </w:p>
    <w:p>
      <w:pPr>
        <w:ind w:left="460" w:right="4740" w:hanging="372"/>
        <w:spacing w:after="0" w:line="234" w:lineRule="auto"/>
        <w:tabs>
          <w:tab w:leader="none" w:pos="4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Reduction of interest expense of prior owners of Pike 7 which is not comparable to future operations of the Trust</w:t>
      </w:r>
    </w:p>
    <w:p>
      <w:pPr>
        <w:spacing w:after="0" w:line="183" w:lineRule="exact"/>
        <w:rPr>
          <w:rFonts w:ascii="Courier New" w:cs="Courier New" w:eastAsia="Courier New" w:hAnsi="Courier New"/>
          <w:sz w:val="16"/>
          <w:szCs w:val="16"/>
          <w:color w:val="auto"/>
        </w:rPr>
      </w:pPr>
    </w:p>
    <w:p>
      <w:pPr>
        <w:ind w:left="460" w:right="4260" w:hanging="372"/>
        <w:spacing w:after="0" w:line="235" w:lineRule="auto"/>
        <w:tabs>
          <w:tab w:leader="none" w:pos="4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only those balances which are comparable to estimated future operations. Therefore, the balances used for Pike 7, although prepared on the income tax basis, are not materially different than if prepared in accordance with generally accepted accounting principles.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1520"/>
          </w:cols>
          <w:pgMar w:left="240" w:top="469" w:right="139" w:bottom="1133"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1"/>
        </w:trPr>
        <w:tc>
          <w:tcPr>
            <w:tcW w:w="5760" w:type="dxa"/>
            <w:vAlign w:val="bottom"/>
            <w:gridSpan w:val="2"/>
          </w:tcPr>
          <w:p>
            <w:pPr>
              <w:jc w:val="center"/>
              <w:ind w:left="1502"/>
              <w:spacing w:after="0"/>
              <w:rPr>
                <w:sz w:val="20"/>
                <w:szCs w:val="20"/>
                <w:color w:val="auto"/>
              </w:rPr>
            </w:pPr>
            <w:r>
              <w:rPr>
                <w:rFonts w:ascii="Courier New" w:cs="Courier New" w:eastAsia="Courier New" w:hAnsi="Courier New"/>
                <w:sz w:val="16"/>
                <w:szCs w:val="16"/>
                <w:color w:val="auto"/>
                <w:w w:val="97"/>
              </w:rPr>
              <w:t>Federal Realty Investment Trust</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537"/>
        </w:trPr>
        <w:tc>
          <w:tcPr>
            <w:tcW w:w="5760" w:type="dxa"/>
            <w:vAlign w:val="bottom"/>
            <w:gridSpan w:val="2"/>
          </w:tcPr>
          <w:p>
            <w:pPr>
              <w:jc w:val="center"/>
              <w:ind w:left="1482"/>
              <w:spacing w:after="0"/>
              <w:rPr>
                <w:sz w:val="20"/>
                <w:szCs w:val="20"/>
                <w:color w:val="auto"/>
              </w:rPr>
            </w:pPr>
            <w:r>
              <w:rPr>
                <w:rFonts w:ascii="Courier New" w:cs="Courier New" w:eastAsia="Courier New" w:hAnsi="Courier New"/>
                <w:sz w:val="16"/>
                <w:szCs w:val="16"/>
                <w:color w:val="auto"/>
                <w:w w:val="96"/>
              </w:rPr>
              <w:t>Pro Forma Condensed Statement of Operations</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58"/>
        </w:trPr>
        <w:tc>
          <w:tcPr>
            <w:tcW w:w="4420" w:type="dxa"/>
            <w:vAlign w:val="bottom"/>
          </w:tcPr>
          <w:p>
            <w:pPr>
              <w:jc w:val="center"/>
              <w:ind w:left="2842"/>
              <w:spacing w:after="0"/>
              <w:rPr>
                <w:sz w:val="20"/>
                <w:szCs w:val="20"/>
                <w:color w:val="auto"/>
              </w:rPr>
            </w:pPr>
            <w:r>
              <w:rPr>
                <w:rFonts w:ascii="Courier New" w:cs="Courier New" w:eastAsia="Courier New" w:hAnsi="Courier New"/>
                <w:sz w:val="16"/>
                <w:szCs w:val="16"/>
                <w:color w:val="auto"/>
                <w:w w:val="96"/>
              </w:rPr>
              <w:t>(unaudited)</w:t>
            </w: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58"/>
        </w:trPr>
        <w:tc>
          <w:tcPr>
            <w:tcW w:w="5760" w:type="dxa"/>
            <w:vAlign w:val="bottom"/>
            <w:gridSpan w:val="2"/>
          </w:tcPr>
          <w:p>
            <w:pPr>
              <w:jc w:val="right"/>
              <w:ind w:right="662"/>
              <w:spacing w:after="0"/>
              <w:rPr>
                <w:sz w:val="20"/>
                <w:szCs w:val="20"/>
                <w:color w:val="auto"/>
              </w:rPr>
            </w:pPr>
            <w:r>
              <w:rPr>
                <w:rFonts w:ascii="Courier New" w:cs="Courier New" w:eastAsia="Courier New" w:hAnsi="Courier New"/>
                <w:sz w:val="16"/>
                <w:szCs w:val="16"/>
                <w:color w:val="auto"/>
              </w:rPr>
              <w:t>Six Months ended June 30, 1997</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9"/>
        </w:trPr>
        <w:tc>
          <w:tcPr>
            <w:tcW w:w="5760" w:type="dxa"/>
            <w:vAlign w:val="bottom"/>
            <w:gridSpan w:val="2"/>
          </w:tcPr>
          <w:p>
            <w:pPr>
              <w:jc w:val="center"/>
              <w:ind w:left="1502"/>
              <w:spacing w:after="0" w:line="179" w:lineRule="exact"/>
              <w:rPr>
                <w:sz w:val="20"/>
                <w:szCs w:val="20"/>
                <w:color w:val="auto"/>
              </w:rPr>
            </w:pPr>
            <w:r>
              <w:rPr>
                <w:rFonts w:ascii="Courier New" w:cs="Courier New" w:eastAsia="Courier New" w:hAnsi="Courier New"/>
                <w:sz w:val="16"/>
                <w:szCs w:val="16"/>
                <w:color w:val="auto"/>
                <w:w w:val="97"/>
              </w:rPr>
              <w:t>(in thousands, except per share data)</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537"/>
        </w:trPr>
        <w:tc>
          <w:tcPr>
            <w:tcW w:w="4420" w:type="dxa"/>
            <w:vAlign w:val="bottom"/>
          </w:tcPr>
          <w:p>
            <w:pPr>
              <w:spacing w:after="0"/>
              <w:rPr>
                <w:sz w:val="24"/>
                <w:szCs w:val="24"/>
                <w:color w:val="auto"/>
              </w:rPr>
            </w:pPr>
          </w:p>
        </w:tc>
        <w:tc>
          <w:tcPr>
            <w:tcW w:w="1340" w:type="dxa"/>
            <w:vAlign w:val="bottom"/>
          </w:tcPr>
          <w:p>
            <w:pPr>
              <w:ind w:left="420"/>
              <w:spacing w:after="0"/>
              <w:rPr>
                <w:sz w:val="20"/>
                <w:szCs w:val="20"/>
                <w:color w:val="auto"/>
              </w:rPr>
            </w:pPr>
            <w:r>
              <w:rPr>
                <w:rFonts w:ascii="Courier New" w:cs="Courier New" w:eastAsia="Courier New" w:hAnsi="Courier New"/>
                <w:sz w:val="16"/>
                <w:szCs w:val="16"/>
                <w:color w:val="auto"/>
              </w:rPr>
              <w:t>Trust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Acquired</w:t>
            </w:r>
          </w:p>
        </w:tc>
        <w:tc>
          <w:tcPr>
            <w:tcW w:w="200" w:type="dxa"/>
            <w:vAlign w:val="bottom"/>
          </w:tcPr>
          <w:p>
            <w:pPr>
              <w:spacing w:after="0"/>
              <w:rPr>
                <w:sz w:val="24"/>
                <w:szCs w:val="24"/>
                <w:color w:val="auto"/>
              </w:rPr>
            </w:pPr>
          </w:p>
        </w:tc>
        <w:tc>
          <w:tcPr>
            <w:tcW w:w="23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Pro Forma Adjustments</w:t>
            </w:r>
          </w:p>
        </w:tc>
      </w:tr>
      <w:tr>
        <w:trPr>
          <w:trHeight w:val="179"/>
        </w:trPr>
        <w:tc>
          <w:tcPr>
            <w:tcW w:w="4420" w:type="dxa"/>
            <w:vAlign w:val="bottom"/>
          </w:tcPr>
          <w:p>
            <w:pPr>
              <w:spacing w:after="0"/>
              <w:rPr>
                <w:sz w:val="15"/>
                <w:szCs w:val="15"/>
                <w:color w:val="auto"/>
              </w:rPr>
            </w:pPr>
          </w:p>
        </w:tc>
        <w:tc>
          <w:tcPr>
            <w:tcW w:w="134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Actual</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Properties</w:t>
            </w:r>
          </w:p>
        </w:tc>
        <w:tc>
          <w:tcPr>
            <w:tcW w:w="200" w:type="dxa"/>
            <w:vAlign w:val="bottom"/>
          </w:tcPr>
          <w:p>
            <w:pPr>
              <w:spacing w:after="0"/>
              <w:rPr>
                <w:sz w:val="15"/>
                <w:szCs w:val="15"/>
                <w:color w:val="auto"/>
              </w:rPr>
            </w:pPr>
          </w:p>
        </w:tc>
        <w:tc>
          <w:tcPr>
            <w:tcW w:w="124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Debit</w:t>
            </w:r>
          </w:p>
        </w:tc>
        <w:tc>
          <w:tcPr>
            <w:tcW w:w="10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Credit</w:t>
            </w:r>
          </w:p>
        </w:tc>
      </w:tr>
      <w:tr>
        <w:trPr>
          <w:trHeight w:val="179"/>
        </w:trPr>
        <w:tc>
          <w:tcPr>
            <w:tcW w:w="4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Actual</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58"/>
        </w:trPr>
        <w:tc>
          <w:tcPr>
            <w:tcW w:w="442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9"/>
        </w:trPr>
        <w:tc>
          <w:tcPr>
            <w:tcW w:w="44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Rental income</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$90,981</w:t>
            </w:r>
          </w:p>
        </w:tc>
        <w:tc>
          <w:tcPr>
            <w:tcW w:w="12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$1,880 4</w:t>
            </w: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($57)</w:t>
            </w:r>
          </w:p>
        </w:tc>
        <w:tc>
          <w:tcPr>
            <w:tcW w:w="1080" w:type="dxa"/>
            <w:vAlign w:val="bottom"/>
          </w:tcPr>
          <w:p>
            <w:pPr>
              <w:spacing w:after="0"/>
              <w:rPr>
                <w:sz w:val="15"/>
                <w:szCs w:val="15"/>
                <w:color w:val="auto"/>
              </w:rPr>
            </w:pPr>
          </w:p>
        </w:tc>
      </w:tr>
      <w:tr>
        <w:trPr>
          <w:trHeight w:val="179"/>
        </w:trPr>
        <w:tc>
          <w:tcPr>
            <w:tcW w:w="44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Other income</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5,520</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44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Interest income</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2,948</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4420" w:type="dxa"/>
            <w:vAlign w:val="bottom"/>
          </w:tcPr>
          <w:p>
            <w:pPr>
              <w:spacing w:after="0"/>
              <w:rPr>
                <w:sz w:val="15"/>
                <w:szCs w:val="15"/>
                <w:color w:val="auto"/>
              </w:rPr>
            </w:pP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420" w:type="dxa"/>
            <w:vAlign w:val="bottom"/>
          </w:tcPr>
          <w:p>
            <w:pPr>
              <w:spacing w:after="0"/>
              <w:rPr>
                <w:sz w:val="15"/>
                <w:szCs w:val="15"/>
                <w:color w:val="auto"/>
              </w:rPr>
            </w:pP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99,449</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1,898</w:t>
            </w:r>
          </w:p>
        </w:tc>
        <w:tc>
          <w:tcPr>
            <w:tcW w:w="200" w:type="dxa"/>
            <w:vAlign w:val="bottom"/>
          </w:tcPr>
          <w:p>
            <w:pPr>
              <w:spacing w:after="0"/>
              <w:rPr>
                <w:sz w:val="15"/>
                <w:szCs w:val="15"/>
                <w:color w:val="auto"/>
              </w:rPr>
            </w:pP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(57)</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w:t>
            </w:r>
          </w:p>
        </w:tc>
      </w:tr>
      <w:tr>
        <w:trPr>
          <w:trHeight w:val="358"/>
        </w:trPr>
        <w:tc>
          <w:tcPr>
            <w:tcW w:w="442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9"/>
        </w:trPr>
        <w:tc>
          <w:tcPr>
            <w:tcW w:w="44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Interest</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23,988</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82"/>
              </w:rPr>
              <w:t>2</w:t>
            </w:r>
          </w:p>
        </w:tc>
        <w:tc>
          <w:tcPr>
            <w:tcW w:w="12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769</w:t>
            </w:r>
          </w:p>
        </w:tc>
        <w:tc>
          <w:tcPr>
            <w:tcW w:w="1080" w:type="dxa"/>
            <w:vAlign w:val="bottom"/>
          </w:tcPr>
          <w:p>
            <w:pPr>
              <w:spacing w:after="0"/>
              <w:rPr>
                <w:sz w:val="15"/>
                <w:szCs w:val="15"/>
                <w:color w:val="auto"/>
              </w:rPr>
            </w:pPr>
          </w:p>
        </w:tc>
      </w:tr>
      <w:tr>
        <w:trPr>
          <w:trHeight w:val="179"/>
        </w:trPr>
        <w:tc>
          <w:tcPr>
            <w:tcW w:w="44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20,528</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82"/>
              </w:rPr>
              <w:t>1</w:t>
            </w:r>
          </w:p>
        </w:tc>
        <w:tc>
          <w:tcPr>
            <w:tcW w:w="12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297</w:t>
            </w:r>
          </w:p>
        </w:tc>
        <w:tc>
          <w:tcPr>
            <w:tcW w:w="1080" w:type="dxa"/>
            <w:vAlign w:val="bottom"/>
          </w:tcPr>
          <w:p>
            <w:pPr>
              <w:spacing w:after="0"/>
              <w:rPr>
                <w:sz w:val="15"/>
                <w:szCs w:val="15"/>
                <w:color w:val="auto"/>
              </w:rPr>
            </w:pPr>
          </w:p>
        </w:tc>
      </w:tr>
      <w:tr>
        <w:trPr>
          <w:trHeight w:val="179"/>
        </w:trPr>
        <w:tc>
          <w:tcPr>
            <w:tcW w:w="44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Administrative expenses</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4,594</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44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30,471</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749</w:t>
            </w:r>
          </w:p>
        </w:tc>
        <w:tc>
          <w:tcPr>
            <w:tcW w:w="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82"/>
              </w:rPr>
              <w:t>4</w:t>
            </w:r>
          </w:p>
        </w:tc>
        <w:tc>
          <w:tcPr>
            <w:tcW w:w="124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w:t>
            </w:r>
          </w:p>
        </w:tc>
      </w:tr>
      <w:tr>
        <w:trPr>
          <w:trHeight w:val="179"/>
        </w:trPr>
        <w:tc>
          <w:tcPr>
            <w:tcW w:w="4420" w:type="dxa"/>
            <w:vAlign w:val="bottom"/>
          </w:tcPr>
          <w:p>
            <w:pPr>
              <w:spacing w:after="0"/>
              <w:rPr>
                <w:sz w:val="15"/>
                <w:szCs w:val="15"/>
                <w:color w:val="auto"/>
              </w:rPr>
            </w:pP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420" w:type="dxa"/>
            <w:vAlign w:val="bottom"/>
          </w:tcPr>
          <w:p>
            <w:pPr>
              <w:spacing w:after="0"/>
              <w:rPr>
                <w:sz w:val="15"/>
                <w:szCs w:val="15"/>
                <w:color w:val="auto"/>
              </w:rPr>
            </w:pP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79,581</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749</w:t>
            </w:r>
          </w:p>
        </w:tc>
        <w:tc>
          <w:tcPr>
            <w:tcW w:w="200" w:type="dxa"/>
            <w:vAlign w:val="bottom"/>
          </w:tcPr>
          <w:p>
            <w:pPr>
              <w:spacing w:after="0"/>
              <w:rPr>
                <w:sz w:val="15"/>
                <w:szCs w:val="15"/>
                <w:color w:val="auto"/>
              </w:rPr>
            </w:pPr>
          </w:p>
        </w:tc>
        <w:tc>
          <w:tcPr>
            <w:tcW w:w="12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1,066</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w:t>
            </w:r>
          </w:p>
        </w:tc>
      </w:tr>
      <w:tr>
        <w:trPr>
          <w:trHeight w:val="358"/>
        </w:trPr>
        <w:tc>
          <w:tcPr>
            <w:tcW w:w="4420" w:type="dxa"/>
            <w:vAlign w:val="bottom"/>
          </w:tcPr>
          <w:p>
            <w:pPr>
              <w:spacing w:after="0"/>
              <w:rPr>
                <w:sz w:val="20"/>
                <w:szCs w:val="20"/>
                <w:color w:val="auto"/>
              </w:rPr>
            </w:pPr>
            <w:r>
              <w:rPr>
                <w:rFonts w:ascii="Courier New" w:cs="Courier New" w:eastAsia="Courier New" w:hAnsi="Courier New"/>
                <w:sz w:val="16"/>
                <w:szCs w:val="16"/>
                <w:color w:val="auto"/>
              </w:rPr>
              <w:t>Income before investors share of operations</w:t>
            </w: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9"/>
        </w:trPr>
        <w:tc>
          <w:tcPr>
            <w:tcW w:w="44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and gain on sale of real estate</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19,868</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1,149</w:t>
            </w:r>
          </w:p>
        </w:tc>
        <w:tc>
          <w:tcPr>
            <w:tcW w:w="200" w:type="dxa"/>
            <w:vAlign w:val="bottom"/>
          </w:tcPr>
          <w:p>
            <w:pPr>
              <w:spacing w:after="0"/>
              <w:rPr>
                <w:sz w:val="15"/>
                <w:szCs w:val="15"/>
                <w:color w:val="auto"/>
              </w:rPr>
            </w:pP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(1,123)</w:t>
            </w:r>
          </w:p>
        </w:tc>
        <w:tc>
          <w:tcPr>
            <w:tcW w:w="1080" w:type="dxa"/>
            <w:vAlign w:val="bottom"/>
          </w:tcPr>
          <w:p>
            <w:pPr>
              <w:spacing w:after="0"/>
              <w:rPr>
                <w:sz w:val="15"/>
                <w:szCs w:val="15"/>
                <w:color w:val="auto"/>
              </w:rPr>
            </w:pPr>
          </w:p>
        </w:tc>
      </w:tr>
      <w:tr>
        <w:trPr>
          <w:trHeight w:val="179"/>
        </w:trPr>
        <w:tc>
          <w:tcPr>
            <w:tcW w:w="44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Investors' share of operations</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(581)</w:t>
            </w:r>
          </w:p>
        </w:tc>
        <w:tc>
          <w:tcPr>
            <w:tcW w:w="1020" w:type="dxa"/>
            <w:vAlign w:val="bottom"/>
          </w:tcPr>
          <w:p>
            <w:pPr>
              <w:spacing w:after="0"/>
              <w:rPr>
                <w:sz w:val="15"/>
                <w:szCs w:val="15"/>
                <w:color w:val="auto"/>
              </w:rPr>
            </w:pPr>
          </w:p>
        </w:tc>
        <w:tc>
          <w:tcPr>
            <w:tcW w:w="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82"/>
              </w:rPr>
              <w:t>3</w:t>
            </w: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w:t>
            </w:r>
          </w:p>
        </w:tc>
        <w:tc>
          <w:tcPr>
            <w:tcW w:w="1080" w:type="dxa"/>
            <w:vAlign w:val="bottom"/>
          </w:tcPr>
          <w:p>
            <w:pPr>
              <w:spacing w:after="0"/>
              <w:rPr>
                <w:sz w:val="15"/>
                <w:szCs w:val="15"/>
                <w:color w:val="auto"/>
              </w:rPr>
            </w:pPr>
          </w:p>
        </w:tc>
      </w:tr>
      <w:tr>
        <w:trPr>
          <w:trHeight w:val="179"/>
        </w:trPr>
        <w:tc>
          <w:tcPr>
            <w:tcW w:w="4420" w:type="dxa"/>
            <w:vAlign w:val="bottom"/>
          </w:tcPr>
          <w:p>
            <w:pPr>
              <w:spacing w:after="0"/>
              <w:rPr>
                <w:sz w:val="15"/>
                <w:szCs w:val="15"/>
                <w:color w:val="auto"/>
              </w:rPr>
            </w:pP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42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before gain on sale of real estate</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19,287</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1,149</w:t>
            </w:r>
          </w:p>
        </w:tc>
        <w:tc>
          <w:tcPr>
            <w:tcW w:w="200" w:type="dxa"/>
            <w:vAlign w:val="bottom"/>
          </w:tcPr>
          <w:p>
            <w:pPr>
              <w:spacing w:after="0"/>
              <w:rPr>
                <w:sz w:val="15"/>
                <w:szCs w:val="15"/>
                <w:color w:val="auto"/>
              </w:rPr>
            </w:pP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(1,131)</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44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Gain on sale of real estate</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7,034</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4420" w:type="dxa"/>
            <w:vAlign w:val="bottom"/>
          </w:tcPr>
          <w:p>
            <w:pPr>
              <w:spacing w:after="0"/>
              <w:rPr>
                <w:sz w:val="15"/>
                <w:szCs w:val="15"/>
                <w:color w:val="auto"/>
              </w:rPr>
            </w:pP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420" w:type="dxa"/>
            <w:vAlign w:val="bottom"/>
          </w:tcPr>
          <w:p>
            <w:pPr>
              <w:spacing w:after="0"/>
              <w:rPr>
                <w:sz w:val="15"/>
                <w:szCs w:val="15"/>
                <w:color w:val="auto"/>
              </w:rPr>
            </w:pP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$26,321</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$1,149</w:t>
            </w:r>
          </w:p>
        </w:tc>
        <w:tc>
          <w:tcPr>
            <w:tcW w:w="200" w:type="dxa"/>
            <w:vAlign w:val="bottom"/>
          </w:tcPr>
          <w:p>
            <w:pPr>
              <w:spacing w:after="0"/>
              <w:rPr>
                <w:sz w:val="15"/>
                <w:szCs w:val="15"/>
                <w:color w:val="auto"/>
              </w:rPr>
            </w:pP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($1,131)</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4420" w:type="dxa"/>
            <w:vAlign w:val="bottom"/>
          </w:tcPr>
          <w:p>
            <w:pPr>
              <w:spacing w:after="0"/>
              <w:rPr>
                <w:sz w:val="15"/>
                <w:szCs w:val="15"/>
                <w:color w:val="auto"/>
              </w:rPr>
            </w:pP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42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w:t>
            </w:r>
          </w:p>
        </w:tc>
        <w:tc>
          <w:tcPr>
            <w:tcW w:w="13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38,633</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9"/>
        </w:trPr>
        <w:tc>
          <w:tcPr>
            <w:tcW w:w="4420" w:type="dxa"/>
            <w:vAlign w:val="bottom"/>
          </w:tcPr>
          <w:p>
            <w:pPr>
              <w:spacing w:after="0"/>
              <w:rPr>
                <w:sz w:val="15"/>
                <w:szCs w:val="15"/>
                <w:color w:val="auto"/>
              </w:rPr>
            </w:pP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58"/>
        </w:trPr>
        <w:tc>
          <w:tcPr>
            <w:tcW w:w="442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9"/>
        </w:trPr>
        <w:tc>
          <w:tcPr>
            <w:tcW w:w="44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Income before loss on sale of real estate</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$0.50</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442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Loss on sale of real estate</w:t>
            </w: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0.18</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4420" w:type="dxa"/>
            <w:vAlign w:val="bottom"/>
          </w:tcPr>
          <w:p>
            <w:pPr>
              <w:spacing w:after="0"/>
              <w:rPr>
                <w:sz w:val="15"/>
                <w:szCs w:val="15"/>
                <w:color w:val="auto"/>
              </w:rPr>
            </w:pP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4420" w:type="dxa"/>
            <w:vAlign w:val="bottom"/>
          </w:tcPr>
          <w:p>
            <w:pPr>
              <w:spacing w:after="0"/>
              <w:rPr>
                <w:sz w:val="15"/>
                <w:szCs w:val="15"/>
                <w:color w:val="auto"/>
              </w:rPr>
            </w:pP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$0.68</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4420" w:type="dxa"/>
            <w:vAlign w:val="bottom"/>
          </w:tcPr>
          <w:p>
            <w:pPr>
              <w:spacing w:after="0"/>
              <w:rPr>
                <w:sz w:val="15"/>
                <w:szCs w:val="15"/>
                <w:color w:val="auto"/>
              </w:rPr>
            </w:pPr>
          </w:p>
        </w:tc>
        <w:tc>
          <w:tcPr>
            <w:tcW w:w="13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bl>
    <w:p>
      <w:pPr>
        <w:spacing w:after="0" w:line="362" w:lineRule="exact"/>
        <w:rPr>
          <w:sz w:val="20"/>
          <w:szCs w:val="20"/>
          <w:color w:val="auto"/>
        </w:rPr>
      </w:pPr>
    </w:p>
    <w:p>
      <w:pPr>
        <w:ind w:right="1860" w:firstLine="465"/>
        <w:spacing w:after="0" w:line="236" w:lineRule="auto"/>
        <w:rPr>
          <w:sz w:val="20"/>
          <w:szCs w:val="20"/>
          <w:color w:val="auto"/>
        </w:rPr>
      </w:pPr>
      <w:r>
        <w:rPr>
          <w:rFonts w:ascii="Courier New" w:cs="Courier New" w:eastAsia="Courier New" w:hAnsi="Courier New"/>
          <w:sz w:val="16"/>
          <w:szCs w:val="16"/>
          <w:color w:val="auto"/>
        </w:rPr>
        <w:t>The Pro Forma Condensed Statement of Operations of the Trust gives effect to the acquisition of the Acquired Properties as though they were acquired at the beginning of the period presented. Three months of the operations of Pike 7 Shopping Center, four months of the operations of Town &amp; Country Village Shopping Center and two and one-half months of the operations of the main street retail building in Santa Monica are included in the actual numbers at June 30, 1997 since the properties were acquired on March 31, March 5, and April 17, respectively. Operations for the periods prior to acquisition are reflected in the Acquired Properties actual numbers.</w:t>
      </w:r>
    </w:p>
    <w:p>
      <w:pPr>
        <w:spacing w:after="0" w:line="185" w:lineRule="exact"/>
        <w:rPr>
          <w:sz w:val="20"/>
          <w:szCs w:val="20"/>
          <w:color w:val="auto"/>
        </w:rPr>
      </w:pPr>
    </w:p>
    <w:p>
      <w:pPr>
        <w:ind w:left="460" w:right="1960" w:hanging="372"/>
        <w:spacing w:after="0" w:line="235" w:lineRule="auto"/>
        <w:tabs>
          <w:tab w:leader="none" w:pos="4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additional depreciation based on the book value of depreciable real estate purchased, as if the Acquired Properties were purchased at the beginning of the period.</w:t>
      </w:r>
    </w:p>
    <w:p>
      <w:pPr>
        <w:spacing w:after="0" w:line="4" w:lineRule="exact"/>
        <w:rPr>
          <w:rFonts w:ascii="Courier New" w:cs="Courier New" w:eastAsia="Courier New" w:hAnsi="Courier New"/>
          <w:sz w:val="16"/>
          <w:szCs w:val="16"/>
          <w:color w:val="auto"/>
        </w:rPr>
      </w:pPr>
    </w:p>
    <w:p>
      <w:pPr>
        <w:ind w:left="460" w:right="2520" w:hanging="372"/>
        <w:spacing w:after="0" w:line="270" w:lineRule="auto"/>
        <w:tabs>
          <w:tab w:leader="none" w:pos="4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additional interest expense on the Trust's revolving credit facilities, adjusted for interest capitalized, as if the Acquired Properties were purchased at the beginning of the period.</w:t>
      </w:r>
    </w:p>
    <w:p>
      <w:pPr>
        <w:spacing w:after="0" w:line="1" w:lineRule="exact"/>
        <w:rPr>
          <w:rFonts w:ascii="Courier New" w:cs="Courier New" w:eastAsia="Courier New" w:hAnsi="Courier New"/>
          <w:sz w:val="14"/>
          <w:szCs w:val="14"/>
          <w:color w:val="auto"/>
        </w:rPr>
      </w:pPr>
    </w:p>
    <w:p>
      <w:pPr>
        <w:ind w:left="460" w:right="1960" w:hanging="372"/>
        <w:spacing w:after="0" w:line="234" w:lineRule="auto"/>
        <w:tabs>
          <w:tab w:leader="none" w:pos="4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additional earnings attributable to minority interests, as if the Acquired Properties were purchased at the beginning of the period.</w:t>
      </w:r>
    </w:p>
    <w:p>
      <w:pPr>
        <w:spacing w:after="0" w:line="4" w:lineRule="exact"/>
        <w:rPr>
          <w:rFonts w:ascii="Courier New" w:cs="Courier New" w:eastAsia="Courier New" w:hAnsi="Courier New"/>
          <w:sz w:val="16"/>
          <w:szCs w:val="16"/>
          <w:color w:val="auto"/>
        </w:rPr>
      </w:pPr>
    </w:p>
    <w:p>
      <w:pPr>
        <w:ind w:left="460" w:right="1860" w:hanging="372"/>
        <w:spacing w:after="0" w:line="235" w:lineRule="auto"/>
        <w:tabs>
          <w:tab w:leader="none" w:pos="4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additional costs to be capitalized as part of redevelopment work, offset by incidental revenues, as if the Acquired Properties were purchased at the beginning of the period.</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0"/>
        <w:spacing w:after="0" w:line="295" w:lineRule="auto"/>
        <w:rPr>
          <w:sz w:val="20"/>
          <w:szCs w:val="20"/>
          <w:color w:val="auto"/>
        </w:rPr>
      </w:pPr>
      <w:r>
        <w:rPr>
          <w:rFonts w:ascii="Courier New" w:cs="Courier New" w:eastAsia="Courier New" w:hAnsi="Courier New"/>
          <w:sz w:val="14"/>
          <w:szCs w:val="14"/>
          <w:color w:val="auto"/>
        </w:rPr>
        <w:t>Pro Forma Combined</w:t>
      </w:r>
    </w:p>
    <w:p>
      <w:pPr>
        <w:spacing w:after="0" w:line="200" w:lineRule="exact"/>
        <w:rPr>
          <w:sz w:val="20"/>
          <w:szCs w:val="20"/>
          <w:color w:val="auto"/>
        </w:rPr>
      </w:pPr>
    </w:p>
    <w:p>
      <w:pPr>
        <w:spacing w:after="0" w:line="305" w:lineRule="exact"/>
        <w:rPr>
          <w:sz w:val="20"/>
          <w:szCs w:val="20"/>
          <w:color w:val="auto"/>
        </w:rPr>
      </w:pPr>
    </w:p>
    <w:p>
      <w:pPr>
        <w:jc w:val="right"/>
        <w:ind w:left="180" w:right="80"/>
        <w:spacing w:after="0" w:line="270" w:lineRule="auto"/>
        <w:rPr>
          <w:sz w:val="20"/>
          <w:szCs w:val="20"/>
          <w:color w:val="auto"/>
        </w:rPr>
      </w:pPr>
      <w:r>
        <w:rPr>
          <w:rFonts w:ascii="Courier New" w:cs="Courier New" w:eastAsia="Courier New" w:hAnsi="Courier New"/>
          <w:sz w:val="14"/>
          <w:szCs w:val="14"/>
          <w:color w:val="auto"/>
        </w:rPr>
        <w:t>$92,804 5,538 2,948</w:t>
      </w:r>
    </w:p>
    <w:p>
      <w:pPr>
        <w:spacing w:after="0" w:line="233" w:lineRule="auto"/>
        <w:rPr>
          <w:sz w:val="20"/>
          <w:szCs w:val="20"/>
          <w:color w:val="auto"/>
        </w:rPr>
      </w:pPr>
      <w:r>
        <w:rPr>
          <w:rFonts w:ascii="Courier New" w:cs="Courier New" w:eastAsia="Courier New" w:hAnsi="Courier New"/>
          <w:sz w:val="16"/>
          <w:szCs w:val="16"/>
          <w:color w:val="auto"/>
        </w:rPr>
        <w:t>---------</w:t>
      </w:r>
    </w:p>
    <w:p>
      <w:pPr>
        <w:ind w:left="180"/>
        <w:spacing w:after="0" w:line="237" w:lineRule="auto"/>
        <w:rPr>
          <w:sz w:val="20"/>
          <w:szCs w:val="20"/>
          <w:color w:val="auto"/>
        </w:rPr>
      </w:pPr>
      <w:r>
        <w:rPr>
          <w:rFonts w:ascii="Courier New" w:cs="Courier New" w:eastAsia="Courier New" w:hAnsi="Courier New"/>
          <w:sz w:val="16"/>
          <w:szCs w:val="16"/>
          <w:color w:val="auto"/>
        </w:rPr>
        <w:t>101,290</w:t>
      </w:r>
    </w:p>
    <w:p>
      <w:pPr>
        <w:spacing w:after="0" w:line="356" w:lineRule="exact"/>
        <w:rPr>
          <w:sz w:val="20"/>
          <w:szCs w:val="20"/>
          <w:color w:val="auto"/>
        </w:rPr>
      </w:pPr>
    </w:p>
    <w:p>
      <w:pPr>
        <w:jc w:val="right"/>
        <w:ind w:right="80"/>
        <w:spacing w:after="0"/>
        <w:rPr>
          <w:sz w:val="20"/>
          <w:szCs w:val="20"/>
          <w:color w:val="auto"/>
        </w:rPr>
      </w:pPr>
      <w:r>
        <w:rPr>
          <w:rFonts w:ascii="Courier New" w:cs="Courier New" w:eastAsia="Courier New" w:hAnsi="Courier New"/>
          <w:sz w:val="16"/>
          <w:szCs w:val="16"/>
          <w:color w:val="auto"/>
        </w:rPr>
        <w:t>24,757</w:t>
      </w:r>
    </w:p>
    <w:p>
      <w:pPr>
        <w:jc w:val="right"/>
        <w:ind w:right="80"/>
        <w:spacing w:after="0" w:line="236" w:lineRule="auto"/>
        <w:rPr>
          <w:sz w:val="20"/>
          <w:szCs w:val="20"/>
          <w:color w:val="auto"/>
        </w:rPr>
      </w:pPr>
      <w:r>
        <w:rPr>
          <w:rFonts w:ascii="Courier New" w:cs="Courier New" w:eastAsia="Courier New" w:hAnsi="Courier New"/>
          <w:sz w:val="16"/>
          <w:szCs w:val="16"/>
          <w:color w:val="auto"/>
        </w:rPr>
        <w:t>20,825</w:t>
      </w:r>
    </w:p>
    <w:p>
      <w:pPr>
        <w:jc w:val="right"/>
        <w:ind w:right="80"/>
        <w:spacing w:after="0" w:line="237" w:lineRule="auto"/>
        <w:rPr>
          <w:sz w:val="20"/>
          <w:szCs w:val="20"/>
          <w:color w:val="auto"/>
        </w:rPr>
      </w:pPr>
      <w:r>
        <w:rPr>
          <w:rFonts w:ascii="Courier New" w:cs="Courier New" w:eastAsia="Courier New" w:hAnsi="Courier New"/>
          <w:sz w:val="16"/>
          <w:szCs w:val="16"/>
          <w:color w:val="auto"/>
        </w:rPr>
        <w:t>4,594</w:t>
      </w:r>
    </w:p>
    <w:p>
      <w:pPr>
        <w:jc w:val="right"/>
        <w:ind w:right="80"/>
        <w:spacing w:after="0" w:line="237" w:lineRule="auto"/>
        <w:rPr>
          <w:sz w:val="20"/>
          <w:szCs w:val="20"/>
          <w:color w:val="auto"/>
        </w:rPr>
      </w:pPr>
      <w:r>
        <w:rPr>
          <w:rFonts w:ascii="Courier New" w:cs="Courier New" w:eastAsia="Courier New" w:hAnsi="Courier New"/>
          <w:sz w:val="16"/>
          <w:szCs w:val="16"/>
          <w:color w:val="auto"/>
        </w:rPr>
        <w:t>31,196</w:t>
      </w:r>
    </w:p>
    <w:p>
      <w:pPr>
        <w:spacing w:after="0" w:line="237" w:lineRule="auto"/>
        <w:rPr>
          <w:sz w:val="20"/>
          <w:szCs w:val="20"/>
          <w:color w:val="auto"/>
        </w:rPr>
      </w:pPr>
      <w:r>
        <w:rPr>
          <w:rFonts w:ascii="Courier New" w:cs="Courier New" w:eastAsia="Courier New" w:hAnsi="Courier New"/>
          <w:sz w:val="16"/>
          <w:szCs w:val="16"/>
          <w:color w:val="auto"/>
        </w:rPr>
        <w:t>---------</w:t>
      </w:r>
    </w:p>
    <w:p>
      <w:pPr>
        <w:ind w:left="280"/>
        <w:spacing w:after="0" w:line="237" w:lineRule="auto"/>
        <w:rPr>
          <w:sz w:val="20"/>
          <w:szCs w:val="20"/>
          <w:color w:val="auto"/>
        </w:rPr>
      </w:pPr>
      <w:r>
        <w:rPr>
          <w:rFonts w:ascii="Courier New" w:cs="Courier New" w:eastAsia="Courier New" w:hAnsi="Courier New"/>
          <w:sz w:val="16"/>
          <w:szCs w:val="16"/>
          <w:color w:val="auto"/>
        </w:rPr>
        <w:t>81,372</w:t>
      </w:r>
    </w:p>
    <w:p>
      <w:pPr>
        <w:spacing w:after="0" w:line="35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19,918</w:t>
      </w:r>
    </w:p>
    <w:p>
      <w:pPr>
        <w:jc w:val="right"/>
        <w:spacing w:after="0" w:line="236" w:lineRule="auto"/>
        <w:rPr>
          <w:sz w:val="20"/>
          <w:szCs w:val="20"/>
          <w:color w:val="auto"/>
        </w:rPr>
      </w:pPr>
      <w:r>
        <w:rPr>
          <w:rFonts w:ascii="Courier New" w:cs="Courier New" w:eastAsia="Courier New" w:hAnsi="Courier New"/>
          <w:sz w:val="16"/>
          <w:szCs w:val="16"/>
          <w:color w:val="auto"/>
        </w:rPr>
        <w:t>(589)</w:t>
      </w:r>
    </w:p>
    <w:p>
      <w:pPr>
        <w:spacing w:after="0" w:line="237" w:lineRule="auto"/>
        <w:rPr>
          <w:sz w:val="20"/>
          <w:szCs w:val="20"/>
          <w:color w:val="auto"/>
        </w:rPr>
      </w:pPr>
      <w:r>
        <w:rPr>
          <w:rFonts w:ascii="Courier New" w:cs="Courier New" w:eastAsia="Courier New" w:hAnsi="Courier New"/>
          <w:sz w:val="16"/>
          <w:szCs w:val="16"/>
          <w:color w:val="auto"/>
        </w:rPr>
        <w:t>---------</w:t>
      </w:r>
    </w:p>
    <w:p>
      <w:pPr>
        <w:jc w:val="right"/>
        <w:ind w:right="80"/>
        <w:spacing w:after="0" w:line="237" w:lineRule="auto"/>
        <w:rPr>
          <w:sz w:val="20"/>
          <w:szCs w:val="20"/>
          <w:color w:val="auto"/>
        </w:rPr>
      </w:pPr>
      <w:r>
        <w:rPr>
          <w:rFonts w:ascii="Courier New" w:cs="Courier New" w:eastAsia="Courier New" w:hAnsi="Courier New"/>
          <w:sz w:val="16"/>
          <w:szCs w:val="16"/>
          <w:color w:val="auto"/>
        </w:rPr>
        <w:t>19,329</w:t>
      </w:r>
    </w:p>
    <w:p>
      <w:pPr>
        <w:jc w:val="right"/>
        <w:ind w:right="80"/>
        <w:spacing w:after="0" w:line="237" w:lineRule="auto"/>
        <w:rPr>
          <w:sz w:val="20"/>
          <w:szCs w:val="20"/>
          <w:color w:val="auto"/>
        </w:rPr>
      </w:pPr>
      <w:r>
        <w:rPr>
          <w:rFonts w:ascii="Courier New" w:cs="Courier New" w:eastAsia="Courier New" w:hAnsi="Courier New"/>
          <w:sz w:val="16"/>
          <w:szCs w:val="16"/>
          <w:color w:val="auto"/>
        </w:rPr>
        <w:t>7,034</w:t>
      </w:r>
    </w:p>
    <w:p>
      <w:pPr>
        <w:spacing w:after="0" w:line="237" w:lineRule="auto"/>
        <w:rPr>
          <w:sz w:val="20"/>
          <w:szCs w:val="20"/>
          <w:color w:val="auto"/>
        </w:rPr>
      </w:pPr>
      <w:r>
        <w:rPr>
          <w:rFonts w:ascii="Courier New" w:cs="Courier New" w:eastAsia="Courier New" w:hAnsi="Courier New"/>
          <w:sz w:val="16"/>
          <w:szCs w:val="16"/>
          <w:color w:val="auto"/>
        </w:rPr>
        <w:t>---------</w:t>
      </w:r>
    </w:p>
    <w:p>
      <w:pPr>
        <w:ind w:left="180"/>
        <w:spacing w:after="0" w:line="237" w:lineRule="auto"/>
        <w:rPr>
          <w:sz w:val="20"/>
          <w:szCs w:val="20"/>
          <w:color w:val="auto"/>
        </w:rPr>
      </w:pPr>
      <w:r>
        <w:rPr>
          <w:rFonts w:ascii="Courier New" w:cs="Courier New" w:eastAsia="Courier New" w:hAnsi="Courier New"/>
          <w:sz w:val="16"/>
          <w:szCs w:val="16"/>
          <w:color w:val="auto"/>
        </w:rPr>
        <w:t>$26,363</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38,633</w:t>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356" w:lineRule="exact"/>
        <w:rPr>
          <w:sz w:val="20"/>
          <w:szCs w:val="20"/>
          <w:color w:val="auto"/>
        </w:rPr>
      </w:pPr>
    </w:p>
    <w:p>
      <w:pPr>
        <w:jc w:val="right"/>
        <w:ind w:right="80"/>
        <w:spacing w:after="0"/>
        <w:rPr>
          <w:sz w:val="20"/>
          <w:szCs w:val="20"/>
          <w:color w:val="auto"/>
        </w:rPr>
      </w:pPr>
      <w:r>
        <w:rPr>
          <w:rFonts w:ascii="Courier New" w:cs="Courier New" w:eastAsia="Courier New" w:hAnsi="Courier New"/>
          <w:sz w:val="16"/>
          <w:szCs w:val="16"/>
          <w:color w:val="auto"/>
        </w:rPr>
        <w:t>$0.50</w:t>
      </w:r>
    </w:p>
    <w:p>
      <w:pPr>
        <w:jc w:val="right"/>
        <w:ind w:right="80"/>
        <w:spacing w:after="0" w:line="236" w:lineRule="auto"/>
        <w:rPr>
          <w:sz w:val="20"/>
          <w:szCs w:val="20"/>
          <w:color w:val="auto"/>
        </w:rPr>
      </w:pPr>
      <w:r>
        <w:rPr>
          <w:rFonts w:ascii="Courier New" w:cs="Courier New" w:eastAsia="Courier New" w:hAnsi="Courier New"/>
          <w:sz w:val="16"/>
          <w:szCs w:val="16"/>
          <w:color w:val="auto"/>
        </w:rPr>
        <w:t>0.18</w:t>
      </w:r>
    </w:p>
    <w:p>
      <w:pPr>
        <w:spacing w:after="0" w:line="4" w:lineRule="exact"/>
        <w:rPr>
          <w:sz w:val="20"/>
          <w:szCs w:val="20"/>
          <w:color w:val="auto"/>
        </w:rPr>
      </w:pPr>
    </w:p>
    <w:p>
      <w:pPr>
        <w:jc w:val="right"/>
        <w:ind w:right="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right"/>
        <w:ind w:right="80"/>
        <w:spacing w:after="0"/>
        <w:rPr>
          <w:sz w:val="20"/>
          <w:szCs w:val="20"/>
          <w:color w:val="auto"/>
        </w:rPr>
      </w:pPr>
      <w:r>
        <w:rPr>
          <w:rFonts w:ascii="Courier New" w:cs="Courier New" w:eastAsia="Courier New" w:hAnsi="Courier New"/>
          <w:sz w:val="16"/>
          <w:szCs w:val="16"/>
          <w:color w:val="auto"/>
        </w:rPr>
        <w:t>$0.68</w:t>
      </w:r>
    </w:p>
    <w:p>
      <w:pPr>
        <w:spacing w:after="0" w:line="4" w:lineRule="exact"/>
        <w:rPr>
          <w:sz w:val="20"/>
          <w:szCs w:val="20"/>
          <w:color w:val="auto"/>
        </w:rPr>
      </w:pPr>
    </w:p>
    <w:p>
      <w:pPr>
        <w:jc w:val="right"/>
        <w:ind w:right="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9300" w:space="280"/>
            <w:col w:w="920"/>
          </w:cols>
          <w:pgMar w:left="240" w:top="648" w:right="1159" w:bottom="1440" w:gutter="0" w:footer="0" w:header="0"/>
        </w:sectPr>
      </w:pPr>
    </w:p>
    <w:bookmarkStart w:id="25" w:name="page26"/>
    <w:bookmarkEnd w:id="25"/>
    <w:p>
      <w:pPr>
        <w:jc w:val="center"/>
        <w:ind w:right="2959"/>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We consent to the inclusion in this Form 8-K of our report dated February 17, 1997, and April 22, 1997, with respect to Note 7, on our audit of the financial statements of M &amp; R Associates Limited Partnership as of and for the years ended December 31, 1996 and 1995.</w:t>
      </w:r>
    </w:p>
    <w:p>
      <w:pPr>
        <w:spacing w:after="0" w:line="185"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We also consent to the incorporation by reference of said report in the Registration Statements of Federal Realty Investment Trust on Form S-3 (File No. 33-15264, effective August 4, 1987), (File No. 33-63687, effective November 6, 1995) and (File No. 33-63955, effective November 3, 1995).</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Friedman &amp; Fuller, P.C.</w:t>
      </w:r>
    </w:p>
    <w:p>
      <w:pPr>
        <w:spacing w:after="0" w:line="236" w:lineRule="auto"/>
        <w:rPr>
          <w:sz w:val="20"/>
          <w:szCs w:val="20"/>
          <w:color w:val="auto"/>
        </w:rPr>
      </w:pPr>
      <w:r>
        <w:rPr>
          <w:rFonts w:ascii="Courier New" w:cs="Courier New" w:eastAsia="Courier New" w:hAnsi="Courier New"/>
          <w:sz w:val="16"/>
          <w:szCs w:val="16"/>
          <w:color w:val="auto"/>
        </w:rPr>
        <w:t>Rockville, Maryland</w:t>
      </w:r>
    </w:p>
    <w:p>
      <w:pPr>
        <w:spacing w:after="0" w:line="237" w:lineRule="auto"/>
        <w:rPr>
          <w:sz w:val="20"/>
          <w:szCs w:val="20"/>
          <w:color w:val="auto"/>
        </w:rPr>
      </w:pPr>
      <w:r>
        <w:rPr>
          <w:rFonts w:ascii="Courier New" w:cs="Courier New" w:eastAsia="Courier New" w:hAnsi="Courier New"/>
          <w:sz w:val="16"/>
          <w:szCs w:val="16"/>
          <w:color w:val="auto"/>
        </w:rPr>
        <w:t>October 1, 1997</w:t>
      </w:r>
    </w:p>
    <w:p>
      <w:pPr>
        <w:spacing w:after="0" w:line="362"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We have issued our reports dated February 5, 1997, accompanying the consolidated financial statements and schedules included in the Annual Report of Federal Realty Investment Trust on Form 10-K for the year ended December 31, 1996. We hereby consent to the incorporation by reference of said reports in the Registration Statements of Federal Realty Investment Trust on Form S-3 (File No. 33-15264, effective August 4, 1997; File No. 33-63687, effective November 6, 1995: and File No. 63955, effective November 3, 1995).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 Thornton LLP</w:t>
      </w:r>
    </w:p>
    <w:p>
      <w:pPr>
        <w:spacing w:after="0" w:line="236" w:lineRule="auto"/>
        <w:rPr>
          <w:sz w:val="20"/>
          <w:szCs w:val="20"/>
          <w:color w:val="auto"/>
        </w:rPr>
      </w:pPr>
      <w:r>
        <w:rPr>
          <w:rFonts w:ascii="Courier New" w:cs="Courier New" w:eastAsia="Courier New" w:hAnsi="Courier New"/>
          <w:sz w:val="16"/>
          <w:szCs w:val="16"/>
          <w:color w:val="auto"/>
        </w:rPr>
        <w:t>Vienna, Virginia</w:t>
      </w:r>
    </w:p>
    <w:p>
      <w:pPr>
        <w:spacing w:after="0" w:line="237" w:lineRule="auto"/>
        <w:rPr>
          <w:sz w:val="20"/>
          <w:szCs w:val="20"/>
          <w:color w:val="auto"/>
        </w:rPr>
      </w:pPr>
      <w:r>
        <w:rPr>
          <w:rFonts w:ascii="Courier New" w:cs="Courier New" w:eastAsia="Courier New" w:hAnsi="Courier New"/>
          <w:sz w:val="16"/>
          <w:szCs w:val="16"/>
          <w:color w:val="auto"/>
        </w:rPr>
        <w:t>October 1, 1997</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We consent to the inclusion in this Form 8-K of our reports dated April 11, 1997, and May 14, 1997, on our audits of the Historical Summary of Gross Income and Direct Operating Expenses of Town and Country Village Shopping Center, San Jose, California, and the Historical Summary of Gross Income and Direct Operating Expenses of the J.C. Penney Company Building, Santa Monica, California, respectively, for the year ended December 31, 1996. We also consent to the incorporation by reference of said reports in the Registration Statements of Federal Realty Investment Trust on Form S-3 (File No. 33-15264, effective August 4, 1987; File No. 33- 63687, effective November 6, 1995; and File No. 63955, effective November 3, 1995).</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 Thornton LLP</w:t>
      </w:r>
    </w:p>
    <w:p>
      <w:pPr>
        <w:spacing w:after="0" w:line="236" w:lineRule="auto"/>
        <w:rPr>
          <w:sz w:val="20"/>
          <w:szCs w:val="20"/>
          <w:color w:val="auto"/>
        </w:rPr>
      </w:pPr>
      <w:r>
        <w:rPr>
          <w:rFonts w:ascii="Courier New" w:cs="Courier New" w:eastAsia="Courier New" w:hAnsi="Courier New"/>
          <w:sz w:val="16"/>
          <w:szCs w:val="16"/>
          <w:color w:val="auto"/>
        </w:rPr>
        <w:t>Vienna, Virginia</w:t>
      </w:r>
    </w:p>
    <w:p>
      <w:pPr>
        <w:spacing w:after="0" w:line="237" w:lineRule="auto"/>
        <w:rPr>
          <w:sz w:val="20"/>
          <w:szCs w:val="20"/>
          <w:color w:val="auto"/>
        </w:rPr>
      </w:pPr>
      <w:r>
        <w:rPr>
          <w:rFonts w:ascii="Courier New" w:cs="Courier New" w:eastAsia="Courier New" w:hAnsi="Courier New"/>
          <w:sz w:val="16"/>
          <w:szCs w:val="16"/>
          <w:color w:val="auto"/>
        </w:rPr>
        <w:t>October 1, 1997</w:t>
      </w:r>
    </w:p>
    <w:sectPr>
      <w:pgSz w:w="11900" w:h="16838" w:orient="portrait"/>
      <w:cols w:equalWidth="0" w:num="1">
        <w:col w:w="10219"/>
      </w:cols>
      <w:pgMar w:left="240" w:top="4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lowerLetter"/>
      <w:start w:val="1"/>
    </w:lvl>
  </w:abstractNum>
  <w:abstractNum w:abstractNumId="1">
    <w:nsid w:val="7545E146"/>
    <w:multiLevelType w:val="hybridMultilevel"/>
    <w:lvl w:ilvl="0">
      <w:lvlJc w:val="left"/>
      <w:lvlText w:val="(%1)"/>
      <w:numFmt w:val="lowerLetter"/>
      <w:start w:val="2"/>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lowerLetter"/>
      <w:start w:val="3"/>
    </w:lvl>
  </w:abstractNum>
  <w:abstractNum w:abstractNumId="5">
    <w:nsid w:val="4DB127F8"/>
    <w:multiLevelType w:val="hybridMultilevel"/>
    <w:lvl w:ilvl="0">
      <w:lvlJc w:val="left"/>
      <w:lvlText w:val="-"/>
      <w:numFmt w:val="bullet"/>
      <w:start w:val="1"/>
    </w:lvl>
    <w:lvl w:ilvl="1">
      <w:lvlJc w:val="left"/>
      <w:lvlText w:val="(%2)"/>
      <w:numFmt w:val="decimal"/>
      <w:start w:val="23"/>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3"/>
    </w:lvl>
  </w:abstractNum>
  <w:abstractNum w:abstractNumId="9">
    <w:nsid w:val="66EF438D"/>
    <w:multiLevelType w:val="hybridMultilevel"/>
    <w:lvl w:ilvl="0">
      <w:lvlJc w:val="left"/>
      <w:lvlText w:val="%1."/>
      <w:numFmt w:val="decimal"/>
      <w:start w:val="3"/>
    </w:lvl>
    <w:lvl w:ilvl="1">
      <w:lvlJc w:val="left"/>
      <w:lvlText w:val="*"/>
      <w:numFmt w:val="bullet"/>
      <w:start w:val="1"/>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decimal"/>
      <w:start w:val="7"/>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2019-12-13T00:57:00Z</dcterms:created>
  <dcterms:modified xsi:type="dcterms:W3CDTF">2019-12-13T00:57:00Z</dcterms:modified>
</cp:coreProperties>
</file>