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2540"/>
        <w:spacing w:after="0" w:line="238" w:lineRule="auto"/>
        <w:rPr>
          <w:sz w:val="20"/>
          <w:szCs w:val="20"/>
          <w:color w:val="auto"/>
        </w:rPr>
      </w:pPr>
      <w:r>
        <w:rPr>
          <w:rFonts w:ascii="Courier New" w:cs="Courier New" w:eastAsia="Courier New" w:hAnsi="Courier New"/>
          <w:sz w:val="18"/>
          <w:szCs w:val="18"/>
          <w:color w:val="auto"/>
        </w:rPr>
        <w:t>Pursuant to Section 13 or 15(d)</w:t>
      </w: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280"/>
        <w:spacing w:after="0" w:line="238" w:lineRule="auto"/>
        <w:rPr>
          <w:sz w:val="20"/>
          <w:szCs w:val="20"/>
          <w:color w:val="auto"/>
        </w:rPr>
      </w:pPr>
      <w:r>
        <w:rPr>
          <w:rFonts w:ascii="Courier New" w:cs="Courier New" w:eastAsia="Courier New" w:hAnsi="Courier New"/>
          <w:sz w:val="18"/>
          <w:szCs w:val="18"/>
          <w:color w:val="auto"/>
        </w:rPr>
        <w:t>November 19, 2001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Maryland</w:t>
            </w:r>
          </w:p>
        </w:tc>
        <w:tc>
          <w:tcPr>
            <w:tcW w:w="26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1-07533</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52-0782497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(State or other jurisdiction of (Commission File (I.R.S. Employer incorporation or organization) Number) Identification No.)</w:t>
      </w:r>
    </w:p>
    <w:p>
      <w:pPr>
        <w:spacing w:after="0" w:line="200" w:lineRule="exact"/>
        <w:rPr>
          <w:sz w:val="24"/>
          <w:szCs w:val="24"/>
          <w:color w:val="auto"/>
        </w:rPr>
      </w:pPr>
    </w:p>
    <w:p>
      <w:pPr>
        <w:spacing w:after="0" w:line="205"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6"/>
          <w:szCs w:val="16"/>
          <w:color w:val="auto"/>
        </w:rPr>
        <w:t>20852-4041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Registrant's telephone number, including area code: (301) 998-8100</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November 19, 2001, Federal Realty Investment Trust (the "Trust") entered into an underwriting agreement and related pricing agreement (together, the "Agreement") with Morgan Stanley &amp; Co. Incorporated, First Union Securities, Inc. and Salomon Smith Barney Inc., as representatives of the several underwriters listed therein (collectively, the "Underwriters"), relating to the offer and sale by the Trust of 5,000,000 of the Trust's 8 1/2% Series B Cumulative Redeemable Preferred Shares of Beneficial Interest, Liquidation Preference $25 Per Share, Par Value $0.01 Per Share ("Series B Preferred Shares"). Closing on the sale of the Series B Preferred Shares is expected on or about November 27, 2001. Pursuant to the Agreement, the Underwriters have the option to acquire up to an additional 750,000 Series B Preferred Shares to cover overallotments.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Exhibits.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7540" w:type="dxa"/>
            <w:vAlign w:val="bottom"/>
          </w:tcPr>
          <w:p>
            <w:pPr>
              <w:ind w:left="38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5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7540" w:type="dxa"/>
            <w:vAlign w:val="bottom"/>
          </w:tcPr>
          <w:p>
            <w:pPr>
              <w:ind w:left="380"/>
              <w:spacing w:after="0"/>
              <w:rPr>
                <w:sz w:val="20"/>
                <w:szCs w:val="20"/>
                <w:color w:val="auto"/>
              </w:rPr>
            </w:pPr>
            <w:r>
              <w:rPr>
                <w:rFonts w:ascii="Courier New" w:cs="Courier New" w:eastAsia="Courier New" w:hAnsi="Courier New"/>
                <w:sz w:val="18"/>
                <w:szCs w:val="18"/>
                <w:color w:val="auto"/>
              </w:rPr>
              <w:t>Underwriting Agreement and Pricing Agreement, each dated as of</w:t>
            </w:r>
          </w:p>
        </w:tc>
      </w:tr>
      <w:tr>
        <w:trPr>
          <w:trHeight w:val="203"/>
        </w:trPr>
        <w:tc>
          <w:tcPr>
            <w:tcW w:w="900" w:type="dxa"/>
            <w:vAlign w:val="bottom"/>
          </w:tcPr>
          <w:p>
            <w:pPr>
              <w:spacing w:after="0"/>
              <w:rPr>
                <w:sz w:val="17"/>
                <w:szCs w:val="17"/>
                <w:color w:val="auto"/>
              </w:rPr>
            </w:pPr>
          </w:p>
        </w:tc>
        <w:tc>
          <w:tcPr>
            <w:tcW w:w="7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November 19, 2001, by and among the Trust and Morgan Stanley &amp; Co.</w:t>
            </w:r>
          </w:p>
        </w:tc>
      </w:tr>
      <w:tr>
        <w:trPr>
          <w:trHeight w:val="203"/>
        </w:trPr>
        <w:tc>
          <w:tcPr>
            <w:tcW w:w="900" w:type="dxa"/>
            <w:vAlign w:val="bottom"/>
          </w:tcPr>
          <w:p>
            <w:pPr>
              <w:spacing w:after="0"/>
              <w:rPr>
                <w:sz w:val="17"/>
                <w:szCs w:val="17"/>
                <w:color w:val="auto"/>
              </w:rPr>
            </w:pPr>
          </w:p>
        </w:tc>
        <w:tc>
          <w:tcPr>
            <w:tcW w:w="7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Incorporated, First Union Securities, Inc. and Salomon Smith Barney</w:t>
            </w:r>
          </w:p>
        </w:tc>
      </w:tr>
      <w:tr>
        <w:trPr>
          <w:trHeight w:val="203"/>
        </w:trPr>
        <w:tc>
          <w:tcPr>
            <w:tcW w:w="900" w:type="dxa"/>
            <w:vAlign w:val="bottom"/>
          </w:tcPr>
          <w:p>
            <w:pPr>
              <w:spacing w:after="0"/>
              <w:rPr>
                <w:sz w:val="17"/>
                <w:szCs w:val="17"/>
                <w:color w:val="auto"/>
              </w:rPr>
            </w:pPr>
          </w:p>
        </w:tc>
        <w:tc>
          <w:tcPr>
            <w:tcW w:w="7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Inc., as representatives of the several underwriters listed</w:t>
            </w:r>
          </w:p>
        </w:tc>
      </w:tr>
      <w:tr>
        <w:trPr>
          <w:trHeight w:val="203"/>
        </w:trPr>
        <w:tc>
          <w:tcPr>
            <w:tcW w:w="900" w:type="dxa"/>
            <w:vAlign w:val="bottom"/>
          </w:tcPr>
          <w:p>
            <w:pPr>
              <w:spacing w:after="0"/>
              <w:rPr>
                <w:sz w:val="17"/>
                <w:szCs w:val="17"/>
                <w:color w:val="auto"/>
              </w:rPr>
            </w:pPr>
          </w:p>
        </w:tc>
        <w:tc>
          <w:tcPr>
            <w:tcW w:w="7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therein.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7540" w:type="dxa"/>
            <w:vAlign w:val="bottom"/>
          </w:tcPr>
          <w:p>
            <w:pPr>
              <w:ind w:left="380"/>
              <w:spacing w:after="0"/>
              <w:rPr>
                <w:sz w:val="20"/>
                <w:szCs w:val="20"/>
                <w:color w:val="auto"/>
              </w:rPr>
            </w:pPr>
            <w:r>
              <w:rPr>
                <w:rFonts w:ascii="Courier New" w:cs="Courier New" w:eastAsia="Courier New" w:hAnsi="Courier New"/>
                <w:sz w:val="18"/>
                <w:szCs w:val="18"/>
                <w:color w:val="auto"/>
                <w:w w:val="97"/>
              </w:rPr>
              <w:t>Opinion of Hogan &amp; Hartson L.L.P. as to the validity of the Series B</w:t>
            </w:r>
          </w:p>
        </w:tc>
      </w:tr>
      <w:tr>
        <w:trPr>
          <w:trHeight w:val="203"/>
        </w:trPr>
        <w:tc>
          <w:tcPr>
            <w:tcW w:w="900" w:type="dxa"/>
            <w:vAlign w:val="bottom"/>
          </w:tcPr>
          <w:p>
            <w:pPr>
              <w:spacing w:after="0"/>
              <w:rPr>
                <w:sz w:val="17"/>
                <w:szCs w:val="17"/>
                <w:color w:val="auto"/>
              </w:rPr>
            </w:pPr>
          </w:p>
        </w:tc>
        <w:tc>
          <w:tcPr>
            <w:tcW w:w="7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Preferred Shares.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7540" w:type="dxa"/>
            <w:vAlign w:val="bottom"/>
          </w:tcPr>
          <w:p>
            <w:pPr>
              <w:ind w:left="380"/>
              <w:spacing w:after="0"/>
              <w:rPr>
                <w:sz w:val="20"/>
                <w:szCs w:val="20"/>
                <w:color w:val="auto"/>
              </w:rPr>
            </w:pPr>
            <w:r>
              <w:rPr>
                <w:rFonts w:ascii="Courier New" w:cs="Courier New" w:eastAsia="Courier New" w:hAnsi="Courier New"/>
                <w:sz w:val="18"/>
                <w:szCs w:val="18"/>
                <w:color w:val="auto"/>
              </w:rPr>
              <w:t>Opinion of Hogan &amp; Hartson L.L.P. as to certain tax matters.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7540" w:type="dxa"/>
            <w:vAlign w:val="bottom"/>
          </w:tcPr>
          <w:p>
            <w:pPr>
              <w:ind w:left="380"/>
              <w:spacing w:after="0"/>
              <w:rPr>
                <w:sz w:val="20"/>
                <w:szCs w:val="20"/>
                <w:color w:val="auto"/>
              </w:rPr>
            </w:pPr>
            <w:r>
              <w:rPr>
                <w:rFonts w:ascii="Courier New" w:cs="Courier New" w:eastAsia="Courier New" w:hAnsi="Courier New"/>
                <w:sz w:val="18"/>
                <w:szCs w:val="18"/>
                <w:color w:val="auto"/>
              </w:rPr>
              <w:t>Consent of Arthur Andersen LLP.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26, 2001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NANCY J. HERMAN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Nancy J. Herman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President--General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ectPr>
          <w:pgSz w:w="11900" w:h="16838" w:orient="portrait"/>
          <w:cols w:equalWidth="0" w:num="3">
            <w:col w:w="2860" w:space="720"/>
            <w:col w:w="320" w:space="220"/>
            <w:col w:w="6099"/>
          </w:cols>
          <w:pgMar w:left="240" w:top="717"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2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rPr>
              <w:t>Description</w:t>
            </w:r>
          </w:p>
        </w:tc>
        <w:tc>
          <w:tcPr>
            <w:tcW w:w="8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3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Underwriting Agreement and</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Pricing Agreement, each dated as of</w:t>
            </w:r>
          </w:p>
        </w:tc>
      </w:tr>
      <w:tr>
        <w:trPr>
          <w:trHeight w:val="203"/>
        </w:trPr>
        <w:tc>
          <w:tcPr>
            <w:tcW w:w="106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November 19, 2001,</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by and among the Trust and Morgan Stanley &amp; Co.</w:t>
            </w:r>
          </w:p>
        </w:tc>
      </w:tr>
      <w:tr>
        <w:trPr>
          <w:trHeight w:val="203"/>
        </w:trPr>
        <w:tc>
          <w:tcPr>
            <w:tcW w:w="106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Incorporated, First Union Securities, Inc. and Salomon Smith Barney</w:t>
            </w:r>
          </w:p>
        </w:tc>
      </w:tr>
      <w:tr>
        <w:trPr>
          <w:trHeight w:val="203"/>
        </w:trPr>
        <w:tc>
          <w:tcPr>
            <w:tcW w:w="106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Inc., as representatives of the several underwriters listed therein.</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w w:val="98"/>
              </w:rPr>
              <w:t>Opinion of Hogan &amp;</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Hartson</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L.L.P. as to the validity of the</w:t>
            </w:r>
          </w:p>
        </w:tc>
      </w:tr>
      <w:tr>
        <w:trPr>
          <w:trHeight w:val="203"/>
        </w:trPr>
        <w:tc>
          <w:tcPr>
            <w:tcW w:w="106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Series B Preferred</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438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w w:val="98"/>
              </w:rPr>
              <w:t>Opinion of Hogan &amp;</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Hartson</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L.L.P. as to certain tax matters.</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30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Consent of Arthur Andersen</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LLP</w:t>
            </w:r>
          </w:p>
        </w:tc>
      </w:tr>
    </w:tbl>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Shares and Preferred Shares</w:t>
      </w:r>
    </w:p>
    <w:p>
      <w:pPr>
        <w:ind w:left="3380"/>
        <w:spacing w:after="0" w:line="238" w:lineRule="auto"/>
        <w:rPr>
          <w:sz w:val="20"/>
          <w:szCs w:val="20"/>
          <w:color w:val="auto"/>
        </w:rPr>
      </w:pPr>
      <w:r>
        <w:rPr>
          <w:rFonts w:ascii="Courier New" w:cs="Courier New" w:eastAsia="Courier New" w:hAnsi="Courier New"/>
          <w:sz w:val="18"/>
          <w:szCs w:val="18"/>
          <w:color w:val="auto"/>
        </w:rPr>
        <w:t>_______________</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November 19,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38" w:lineRule="auto"/>
        <w:rPr>
          <w:sz w:val="20"/>
          <w:szCs w:val="20"/>
          <w:color w:val="auto"/>
        </w:rPr>
      </w:pPr>
      <w:r>
        <w:rPr>
          <w:rFonts w:ascii="Courier New" w:cs="Courier New" w:eastAsia="Courier New" w:hAnsi="Courier New"/>
          <w:sz w:val="18"/>
          <w:szCs w:val="18"/>
          <w:color w:val="auto"/>
        </w:rPr>
        <w:t>FIRST UNION SECURITIES, INC.</w:t>
      </w:r>
    </w:p>
    <w:p>
      <w:pPr>
        <w:spacing w:after="0"/>
        <w:rPr>
          <w:sz w:val="20"/>
          <w:szCs w:val="20"/>
          <w:color w:val="auto"/>
        </w:rPr>
      </w:pPr>
      <w:r>
        <w:rPr>
          <w:rFonts w:ascii="Courier New" w:cs="Courier New" w:eastAsia="Courier New" w:hAnsi="Courier New"/>
          <w:sz w:val="18"/>
          <w:szCs w:val="18"/>
          <w:color w:val="auto"/>
        </w:rPr>
        <w:t>MERRILL LYNCH, PIERCE, FENNER &amp; SMITH</w:t>
      </w:r>
    </w:p>
    <w:p>
      <w:pPr>
        <w:ind w:left="1280"/>
        <w:spacing w:after="0" w:line="237" w:lineRule="auto"/>
        <w:rPr>
          <w:sz w:val="20"/>
          <w:szCs w:val="20"/>
          <w:color w:val="auto"/>
        </w:rPr>
      </w:pPr>
      <w:r>
        <w:rPr>
          <w:rFonts w:ascii="Courier New" w:cs="Courier New" w:eastAsia="Courier New" w:hAnsi="Courier New"/>
          <w:sz w:val="18"/>
          <w:szCs w:val="18"/>
          <w:color w:val="auto"/>
        </w:rPr>
        <w:t>INCORPORATED</w:t>
      </w:r>
    </w:p>
    <w:p>
      <w:pPr>
        <w:spacing w:after="0" w:line="238" w:lineRule="auto"/>
        <w:rPr>
          <w:sz w:val="20"/>
          <w:szCs w:val="20"/>
          <w:color w:val="auto"/>
        </w:rPr>
      </w:pPr>
      <w:r>
        <w:rPr>
          <w:rFonts w:ascii="Courier New" w:cs="Courier New" w:eastAsia="Courier New" w:hAnsi="Courier New"/>
          <w:sz w:val="18"/>
          <w:szCs w:val="18"/>
          <w:color w:val="auto"/>
        </w:rPr>
        <w:t>SALOMON SMITH BARNEY INC.</w:t>
      </w:r>
    </w:p>
    <w:p>
      <w:pPr>
        <w:spacing w:after="0"/>
        <w:rPr>
          <w:sz w:val="20"/>
          <w:szCs w:val="20"/>
          <w:color w:val="auto"/>
        </w:rPr>
      </w:pPr>
      <w:r>
        <w:rPr>
          <w:rFonts w:ascii="Courier New" w:cs="Courier New" w:eastAsia="Courier New" w:hAnsi="Courier New"/>
          <w:sz w:val="18"/>
          <w:szCs w:val="18"/>
          <w:color w:val="auto"/>
        </w:rPr>
        <w:t>as Representatives of the several Underwriters</w:t>
      </w:r>
    </w:p>
    <w:p>
      <w:pPr>
        <w:ind w:left="220"/>
        <w:spacing w:after="0" w:line="237" w:lineRule="auto"/>
        <w:rPr>
          <w:sz w:val="20"/>
          <w:szCs w:val="20"/>
          <w:color w:val="auto"/>
        </w:rPr>
      </w:pPr>
      <w:r>
        <w:rPr>
          <w:rFonts w:ascii="Courier New" w:cs="Courier New" w:eastAsia="Courier New" w:hAnsi="Courier New"/>
          <w:sz w:val="18"/>
          <w:szCs w:val="18"/>
          <w:color w:val="auto"/>
        </w:rPr>
        <w:t>c/o Morgan Stanley &amp; Co. Incorporated</w:t>
      </w:r>
    </w:p>
    <w:p>
      <w:pPr>
        <w:ind w:left="220"/>
        <w:spacing w:after="0"/>
        <w:rPr>
          <w:sz w:val="20"/>
          <w:szCs w:val="20"/>
          <w:color w:val="auto"/>
        </w:rPr>
      </w:pPr>
      <w:r>
        <w:rPr>
          <w:rFonts w:ascii="Courier New" w:cs="Courier New" w:eastAsia="Courier New" w:hAnsi="Courier New"/>
          <w:sz w:val="18"/>
          <w:szCs w:val="18"/>
          <w:color w:val="auto"/>
        </w:rPr>
        <w:t>1585 Broadway</w:t>
      </w:r>
    </w:p>
    <w:p>
      <w:pPr>
        <w:ind w:left="220"/>
        <w:spacing w:after="0" w:line="237" w:lineRule="auto"/>
        <w:tabs>
          <w:tab w:leader="none" w:pos="2300" w:val="left"/>
        </w:tabs>
        <w:rPr>
          <w:sz w:val="20"/>
          <w:szCs w:val="20"/>
          <w:color w:val="auto"/>
        </w:rPr>
      </w:pPr>
      <w:r>
        <w:rPr>
          <w:rFonts w:ascii="Courier New" w:cs="Courier New" w:eastAsia="Courier New" w:hAnsi="Courier New"/>
          <w:sz w:val="18"/>
          <w:szCs w:val="18"/>
          <w:color w:val="auto"/>
        </w:rPr>
        <w:t>New York, New York</w:t>
        <w:tab/>
        <w:t>10036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From time to time Federal Realty Investment Trust, a Maryland real estate investment trust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shares of beneficial interest (the "Shares") specified in Schedule II to such Pricing Agreement (with respect to such Pricing Agreement, the "Designated Shares"). The Shares may include the Company's common shares of beneficial interest, par value $0.01 per share (the "Common Shares"), or preferred shares of beneficial interest, par value $0.01 per share (the "Preferred Shares").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terms and rights of any particular issuance of Designated Shares shall be as specified in the Pricing Agreement relating thereto and in or pursuant to the resolutions of the board of trustees of the Company or a duly appointed committee thereof identified in such Pricing Agreement.</w:t>
      </w:r>
    </w:p>
    <w:p>
      <w:pPr>
        <w:spacing w:after="0" w:line="207" w:lineRule="exact"/>
        <w:rPr>
          <w:sz w:val="20"/>
          <w:szCs w:val="20"/>
          <w:color w:val="auto"/>
        </w:rPr>
      </w:pPr>
    </w:p>
    <w:p>
      <w:pPr>
        <w:ind w:right="187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Particular sales of Designated Shares may be made from time to time to the Underwriters of such Shares, for whom the firms designated as representatives of the Underwriters of such Shares in the Pricing Agreement relating thereto will act as representatives</w:t>
      </w:r>
    </w:p>
    <w:p>
      <w:pPr>
        <w:sectPr>
          <w:pgSz w:w="11900" w:h="16838" w:orient="portrait"/>
          <w:cols w:equalWidth="0" w:num="1">
            <w:col w:w="10219"/>
          </w:cols>
          <w:pgMar w:left="240" w:top="541" w:right="1440" w:bottom="1440" w:gutter="0" w:footer="0" w:header="0"/>
        </w:sectPr>
      </w:pPr>
    </w:p>
    <w:bookmarkStart w:id="5" w:name="page6"/>
    <w:bookmarkEnd w:id="5"/>
    <w:p>
      <w:pPr>
        <w:ind w:right="1779"/>
        <w:spacing w:after="0" w:line="238" w:lineRule="auto"/>
        <w:rPr>
          <w:sz w:val="20"/>
          <w:szCs w:val="20"/>
          <w:color w:val="auto"/>
        </w:rPr>
      </w:pPr>
      <w:r>
        <w:rPr>
          <w:rFonts w:ascii="Courier New" w:cs="Courier New" w:eastAsia="Courier New" w:hAnsi="Courier New"/>
          <w:sz w:val="18"/>
          <w:szCs w:val="18"/>
          <w:color w:val="auto"/>
        </w:rPr>
        <w:t>(the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Shares or as an obligation of any of the Underwriters to purchase the Shares. The obligation of the Company to issue and sell any of the Shares and the obligation of any of the Underwriters to purchase any of the Shares shall be evidenced by the Pricing Agreement with respect to the Designated Shares specified therein. Each Pricing Agreement shall specify the aggregate number of such Designated Shares, the initial public offering price of such Designated Shares, the purchase price to the Underwriters of such Designated Shares, the names of the Underwriters of such Designated Shares, the names of the Representatives of such Underwriters and the number of such Designated Shares to be purchased by each Underwriter and shall set forth the date, time and manner of delivery of such Designated Shares and payment therefor. The Pricing Agreement shall also specify (to the extent not set forth in the registration statement and prospectus with respect thereto) the terms of such Designated Shares. A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pacing w:after="0" w:line="211" w:lineRule="exact"/>
        <w:rPr>
          <w:sz w:val="20"/>
          <w:szCs w:val="20"/>
          <w:color w:val="auto"/>
        </w:rPr>
      </w:pPr>
    </w:p>
    <w:p>
      <w:pPr>
        <w:ind w:right="2099" w:firstLine="535"/>
        <w:spacing w:after="0" w:line="235"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represents and warrants to, and agrees with, each of the Underwriters that:</w:t>
      </w:r>
    </w:p>
    <w:p>
      <w:pPr>
        <w:spacing w:after="0" w:line="208" w:lineRule="exact"/>
        <w:rPr>
          <w:rFonts w:ascii="Courier New" w:cs="Courier New" w:eastAsia="Courier New" w:hAnsi="Courier New"/>
          <w:sz w:val="18"/>
          <w:szCs w:val="18"/>
          <w:color w:val="auto"/>
        </w:rPr>
      </w:pPr>
    </w:p>
    <w:p>
      <w:pPr>
        <w:ind w:left="540" w:right="1779" w:firstLine="205"/>
        <w:spacing w:after="0" w:line="269" w:lineRule="auto"/>
        <w:tabs>
          <w:tab w:leader="none" w:pos="1277"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on Form S-3 (File No. 333-63619) (the "Registration Statement") in respect of the Shares has been filed with the Securities and Exchange Commission (the "Commission"); the Registration Statement and any post-effective amendments thereto, each in the form heretofore delivered or to be delivered to the Representatives and, excluding exhibits to such Registration Statement, but including all documents incorporated by reference in the prospectus contained therein, to the Representatives for each of the other Underwriters, has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documents with respect to the Registration Statement or documents incorporated by reference therein have heretofore been filed or transmitted for filing with the Commission (other than prospectuses filed pursuant to Rule 424(b) under the Act, each in the form heretofore delivered to the Representatives); and no stop order suspending the effectiveness of the Registration Statement, any post-effective amendments thereto or the Rule 462(b) Registration Statement, if any, have been issued and no proceeding for that purpose has been initiated or threatened by the Commission (any preliminary prospectus included in the Registration Statement or filed with the Commission pursuant to Rule 424(a) under the Act is hereinafter called a "Preliminary Prospectus"; the various parts of the Registration Statement and the Rule 462(b) Registration Statement, if any, including all exhibits thereto and the documents incorporated by reference in the prospectus contained in the Registration Statement at the time such part of the registration statement became effective, each as amended at the time such part of the Registration Statement became effective or such part of the Rule 462(b)</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 w:name="page7"/>
    <w:bookmarkEnd w:id="6"/>
    <w:p>
      <w:pPr>
        <w:ind w:right="1779"/>
        <w:spacing w:after="0" w:line="238" w:lineRule="auto"/>
        <w:rPr>
          <w:sz w:val="20"/>
          <w:szCs w:val="20"/>
          <w:color w:val="auto"/>
        </w:rPr>
      </w:pPr>
      <w:r>
        <w:rPr>
          <w:rFonts w:ascii="Courier New" w:cs="Courier New" w:eastAsia="Courier New" w:hAnsi="Courier New"/>
          <w:sz w:val="18"/>
          <w:szCs w:val="18"/>
          <w:color w:val="auto"/>
        </w:rPr>
        <w:t>Registration Statement, if any, became or hereafter becomes effective, are hereinafter collectively called the "Registration Statement"; the prospectus relating to the Shares, in the form in which it has most 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Shares in the form in which it is filed with the Commission pursuant to Rule 424(b) under the Act in accordance with Section 5(a) hereof, including any documents incorporated by reference therein as of the date of such filing;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214" w:lineRule="exact"/>
        <w:rPr>
          <w:sz w:val="20"/>
          <w:szCs w:val="20"/>
          <w:color w:val="auto"/>
        </w:rPr>
      </w:pPr>
    </w:p>
    <w:p>
      <w:pPr>
        <w:ind w:right="1779" w:firstLine="205"/>
        <w:spacing w:after="0" w:line="238" w:lineRule="auto"/>
        <w:tabs>
          <w:tab w:leader="none" w:pos="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210" w:lineRule="exact"/>
        <w:rPr>
          <w:rFonts w:ascii="Courier New" w:cs="Courier New" w:eastAsia="Courier New" w:hAnsi="Courier New"/>
          <w:sz w:val="18"/>
          <w:szCs w:val="18"/>
          <w:color w:val="auto"/>
        </w:rPr>
      </w:pPr>
    </w:p>
    <w:p>
      <w:pPr>
        <w:ind w:right="2319" w:firstLine="205"/>
        <w:spacing w:after="0" w:line="236" w:lineRule="auto"/>
        <w:tabs>
          <w:tab w:leader="none" w:pos="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the Prospectus conform, and any further amendments or supplements to the Registration Statement or the Prospectus will</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79"/>
          </w:cols>
          <w:pgMar w:left="780" w:top="723" w:right="1440" w:bottom="1440" w:gutter="0" w:footer="0" w:header="0"/>
        </w:sectPr>
      </w:pPr>
    </w:p>
    <w:bookmarkStart w:id="7" w:name="page8"/>
    <w:bookmarkEnd w:id="7"/>
    <w:p>
      <w:pPr>
        <w:ind w:right="1779"/>
        <w:spacing w:after="0" w:line="238" w:lineRule="auto"/>
        <w:rPr>
          <w:sz w:val="20"/>
          <w:szCs w:val="20"/>
          <w:color w:val="auto"/>
        </w:rPr>
      </w:pPr>
      <w:r>
        <w:rPr>
          <w:rFonts w:ascii="Courier New" w:cs="Courier New" w:eastAsia="Courier New" w:hAnsi="Courier New"/>
          <w:sz w:val="18"/>
          <w:szCs w:val="18"/>
          <w:color w:val="auto"/>
        </w:rPr>
        <w:t>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207" w:lineRule="exact"/>
        <w:rPr>
          <w:sz w:val="20"/>
          <w:szCs w:val="20"/>
          <w:color w:val="auto"/>
        </w:rPr>
      </w:pPr>
    </w:p>
    <w:p>
      <w:pPr>
        <w:ind w:right="1779" w:firstLine="205"/>
        <w:spacing w:after="0" w:line="269" w:lineRule="auto"/>
        <w:tabs>
          <w:tab w:leader="none" w:pos="6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Prospectus; the Company has interests in a number of entities (collectively, the "Entities"), identified on Annex III, which have been duly organized and are validly existing as corporations, partnerships, limited liability corporations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Prospectus; except as otherwise denoted in Annex III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is fully paid and non-assessable and is owned by the Company, except as otherwise denoted in Annex III hereto, free and clear of all pledges, liens, encumbrances, claims, security interests and defects;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779" w:firstLine="205"/>
        <w:spacing w:after="0" w:line="270" w:lineRule="auto"/>
        <w:tabs>
          <w:tab w:leader="none" w:pos="73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the Entities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date as of which information is given in the Prospectus, there has not been any change in the consolidated capital stock (except for issuances of Common Shares pursuant to the Company's employee benefit plans and the Company's Dividend Reinvestment and Share Purchase Plan) or any increase in the consolidated long-term debt of the Company or any material adverse change, or any development involving a prospective material adverse change, in or affecting the general affairs,</w:t>
      </w: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79"/>
          </w:cols>
          <w:pgMar w:left="780" w:top="723" w:right="1440" w:bottom="1440" w:gutter="0" w:footer="0" w:header="0"/>
        </w:sectPr>
      </w:pPr>
    </w:p>
    <w:bookmarkStart w:id="8" w:name="page9"/>
    <w:bookmarkEnd w:id="8"/>
    <w:p>
      <w:pPr>
        <w:ind w:right="1779"/>
        <w:spacing w:after="0" w:line="236" w:lineRule="auto"/>
        <w:rPr>
          <w:sz w:val="20"/>
          <w:szCs w:val="20"/>
          <w:color w:val="auto"/>
        </w:rPr>
      </w:pPr>
      <w:r>
        <w:rPr>
          <w:rFonts w:ascii="Courier New" w:cs="Courier New" w:eastAsia="Courier New" w:hAnsi="Courier New"/>
          <w:sz w:val="18"/>
          <w:szCs w:val="18"/>
          <w:color w:val="auto"/>
        </w:rPr>
        <w:t>management, financial position, shareholders' equity or results of operations of the Company and the Entities taken as a whole, otherwise than as set forth or contemplated in the Prospectus;</w:t>
      </w:r>
    </w:p>
    <w:p>
      <w:pPr>
        <w:spacing w:after="0" w:line="209" w:lineRule="exact"/>
        <w:rPr>
          <w:sz w:val="20"/>
          <w:szCs w:val="20"/>
          <w:color w:val="auto"/>
        </w:rPr>
      </w:pPr>
    </w:p>
    <w:p>
      <w:pPr>
        <w:ind w:right="1779" w:firstLine="205"/>
        <w:spacing w:after="0" w:line="237" w:lineRule="auto"/>
        <w:tabs>
          <w:tab w:leader="none" w:pos="7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an authorized capitalization as set forth in the Prospectus, and all of the issued shares of capital stock of the Company have been duly and validly authorized and issued and are fully paid and, except as set forth in the Prospectus under the captions "Description of Common Shares--Shareholder Liability" and "Description of Preferred Shares--Shareholder Liability", non-assessable;</w:t>
      </w:r>
    </w:p>
    <w:p>
      <w:pPr>
        <w:spacing w:after="0" w:line="209" w:lineRule="exact"/>
        <w:rPr>
          <w:rFonts w:ascii="Courier New" w:cs="Courier New" w:eastAsia="Courier New" w:hAnsi="Courier New"/>
          <w:sz w:val="18"/>
          <w:szCs w:val="18"/>
          <w:color w:val="auto"/>
        </w:rPr>
      </w:pPr>
    </w:p>
    <w:p>
      <w:pPr>
        <w:ind w:right="1779" w:firstLine="205"/>
        <w:spacing w:after="0" w:line="237" w:lineRule="auto"/>
        <w:tabs>
          <w:tab w:leader="none" w:pos="7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Designated Shares have been duly and validly authorized, and, when Designated Shares are issued and delivered pursuant to this Agreement and the Pricing Agreement with respect to such Designated Shares, such Designated Shares will be duly and validly issued and fully paid and, except as set forth in the Prospectus under the captions "Description of Common Shares--Shareholder Liability" and "Description of Preferred Shares--Shareholder Liability", non-assessable; and the Designated Shares conform to the description thereof contained in the Registration Statement and the Prospectus as amended or supplemented with respect to such Designated Shares;</w:t>
      </w:r>
    </w:p>
    <w:p>
      <w:pPr>
        <w:spacing w:after="0" w:line="214" w:lineRule="exact"/>
        <w:rPr>
          <w:rFonts w:ascii="Courier New" w:cs="Courier New" w:eastAsia="Courier New" w:hAnsi="Courier New"/>
          <w:sz w:val="18"/>
          <w:szCs w:val="18"/>
          <w:color w:val="auto"/>
        </w:rPr>
      </w:pPr>
    </w:p>
    <w:p>
      <w:pPr>
        <w:ind w:right="1779" w:firstLine="205"/>
        <w:spacing w:after="0" w:line="269" w:lineRule="auto"/>
        <w:tabs>
          <w:tab w:leader="none" w:pos="73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Designated Shares and the compliance by the Company with all of the provisions of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or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Agreement or any Pricing Agreement, except such as have been, or will have been prior to the Time of Delivery (as defined in Section 4 hereof), obtained under the Act and the Exchange Act and except for the listing of the Designated Shares on the New York Stock Exchange, Inc. or other stock exchanges and such consents, approvals, authorizations, registrations or qualifications as may be required under state securities or Blue Sky laws in connection with the purchase and distribution of the Shares by the Underwriters;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205"/>
        <w:spacing w:after="0" w:line="237" w:lineRule="auto"/>
        <w:tabs>
          <w:tab w:leader="none" w:pos="7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79"/>
          </w:cols>
          <w:pgMar w:left="780" w:top="723" w:right="1440" w:bottom="1440" w:gutter="0" w:footer="0" w:header="0"/>
        </w:sectPr>
      </w:pPr>
    </w:p>
    <w:bookmarkStart w:id="9" w:name="page10"/>
    <w:bookmarkEnd w:id="9"/>
    <w:p>
      <w:pPr>
        <w:ind w:right="1879"/>
        <w:spacing w:after="0" w:line="235" w:lineRule="auto"/>
        <w:rPr>
          <w:sz w:val="20"/>
          <w:szCs w:val="20"/>
          <w:color w:val="auto"/>
        </w:rPr>
      </w:pPr>
      <w:r>
        <w:rPr>
          <w:rFonts w:ascii="Courier New" w:cs="Courier New" w:eastAsia="Courier New" w:hAnsi="Courier New"/>
          <w:sz w:val="18"/>
          <w:szCs w:val="18"/>
          <w:color w:val="auto"/>
        </w:rPr>
        <w:t>Company's knowledge, no such proceedings are threatened or contemplated by governmental authorities or threatened by others;</w:t>
      </w:r>
    </w:p>
    <w:p>
      <w:pPr>
        <w:spacing w:after="0" w:line="208" w:lineRule="exact"/>
        <w:rPr>
          <w:sz w:val="20"/>
          <w:szCs w:val="20"/>
          <w:color w:val="auto"/>
        </w:rPr>
      </w:pPr>
    </w:p>
    <w:p>
      <w:pPr>
        <w:ind w:right="1779" w:firstLine="205"/>
        <w:spacing w:after="0" w:line="270" w:lineRule="auto"/>
        <w:tabs>
          <w:tab w:leader="none" w:pos="73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of the Company and the Entities, together with related notes and schedules as set forth or incorporated by reference in the Registration Statement,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included in the Prospectus present fairly the information shown therein and have been compiled on a basis consistent with the consolidated financial statements incorporated by reference therein;</w:t>
      </w:r>
    </w:p>
    <w:p>
      <w:pPr>
        <w:spacing w:after="0" w:line="390" w:lineRule="exact"/>
        <w:rPr>
          <w:rFonts w:ascii="Courier New" w:cs="Courier New" w:eastAsia="Courier New" w:hAnsi="Courier New"/>
          <w:sz w:val="16"/>
          <w:szCs w:val="16"/>
          <w:color w:val="auto"/>
        </w:rPr>
      </w:pPr>
    </w:p>
    <w:p>
      <w:pPr>
        <w:ind w:right="1779" w:firstLine="205"/>
        <w:spacing w:after="0" w:line="272" w:lineRule="auto"/>
        <w:tabs>
          <w:tab w:leader="none" w:pos="73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Entities have good and marketable title to, or valid and enforceable leasehold estates in, all items of real and personal property referred to in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185" w:lineRule="exact"/>
        <w:rPr>
          <w:rFonts w:ascii="Courier New" w:cs="Courier New" w:eastAsia="Courier New" w:hAnsi="Courier New"/>
          <w:sz w:val="16"/>
          <w:szCs w:val="16"/>
          <w:color w:val="auto"/>
        </w:rPr>
      </w:pPr>
    </w:p>
    <w:p>
      <w:pPr>
        <w:ind w:right="1779" w:firstLine="205"/>
        <w:spacing w:after="0" w:line="237"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209" w:lineRule="exact"/>
        <w:rPr>
          <w:rFonts w:ascii="Courier New" w:cs="Courier New" w:eastAsia="Courier New" w:hAnsi="Courier New"/>
          <w:sz w:val="18"/>
          <w:szCs w:val="18"/>
          <w:color w:val="auto"/>
        </w:rPr>
      </w:pPr>
    </w:p>
    <w:p>
      <w:pPr>
        <w:ind w:right="1779" w:firstLine="205"/>
        <w:spacing w:after="0" w:line="237"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209" w:lineRule="exact"/>
        <w:rPr>
          <w:rFonts w:ascii="Courier New" w:cs="Courier New" w:eastAsia="Courier New" w:hAnsi="Courier New"/>
          <w:sz w:val="18"/>
          <w:szCs w:val="18"/>
          <w:color w:val="auto"/>
        </w:rPr>
      </w:pPr>
    </w:p>
    <w:p>
      <w:pPr>
        <w:ind w:right="1779" w:firstLine="205"/>
        <w:spacing w:after="0" w:line="237"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Arthur Andersen LLP who has audited the consolidated balance sheets of the Company and subsidiaries as of December 31, 2000 and 1999 and the related consolidated statements of operations, common shareholders' equity, and cash flows for each of the years in the two year period ended December 31, 2000 and Grant Thornton LLP who has audited the accompanying consolidated statement of operations, shareholders' equity and cash flows of the Company for the period ended December 31, 1998, filed with the Commission as part of, or incorporated by reference in, the Registration Statement and Prospectus, are each independent public accountants as required by the Act and the rules and regulations of the Commission promulgated thereunder;</w:t>
      </w:r>
    </w:p>
    <w:p>
      <w:pPr>
        <w:spacing w:after="0" w:line="215" w:lineRule="exact"/>
        <w:rPr>
          <w:rFonts w:ascii="Courier New" w:cs="Courier New" w:eastAsia="Courier New" w:hAnsi="Courier New"/>
          <w:sz w:val="18"/>
          <w:szCs w:val="18"/>
          <w:color w:val="auto"/>
        </w:rPr>
      </w:pPr>
    </w:p>
    <w:p>
      <w:pPr>
        <w:ind w:right="1999" w:firstLine="205"/>
        <w:spacing w:after="0" w:line="237"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for use of registration statements on Form S-3 set forth in the General Instructions on Form S-3 have been satisfied and the Company is entitled to use such form for the transaction contemplated herein;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79"/>
          </w:cols>
          <w:pgMar w:left="780" w:top="723" w:right="1440" w:bottom="1440" w:gutter="0" w:footer="0" w:header="0"/>
        </w:sectPr>
      </w:pPr>
    </w:p>
    <w:bookmarkStart w:id="10" w:name="page11"/>
    <w:bookmarkEnd w:id="10"/>
    <w:p>
      <w:pPr>
        <w:ind w:left="540" w:right="1779" w:firstLine="205"/>
        <w:spacing w:after="0" w:line="238" w:lineRule="auto"/>
        <w:tabs>
          <w:tab w:leader="none" w:pos="117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 and</w:t>
      </w:r>
    </w:p>
    <w:p>
      <w:pPr>
        <w:spacing w:after="0" w:line="207" w:lineRule="exact"/>
        <w:rPr>
          <w:rFonts w:ascii="Courier New" w:cs="Courier New" w:eastAsia="Courier New" w:hAnsi="Courier New"/>
          <w:sz w:val="18"/>
          <w:szCs w:val="18"/>
          <w:color w:val="auto"/>
        </w:rPr>
      </w:pPr>
    </w:p>
    <w:p>
      <w:pPr>
        <w:ind w:left="540" w:right="1779" w:firstLine="205"/>
        <w:spacing w:after="0" w:line="237" w:lineRule="auto"/>
        <w:tabs>
          <w:tab w:leader="none" w:pos="1277"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213" w:lineRule="exact"/>
        <w:rPr>
          <w:rFonts w:ascii="Courier New" w:cs="Courier New" w:eastAsia="Courier New" w:hAnsi="Courier New"/>
          <w:sz w:val="18"/>
          <w:szCs w:val="18"/>
          <w:color w:val="auto"/>
        </w:rPr>
      </w:pPr>
    </w:p>
    <w:p>
      <w:pPr>
        <w:ind w:right="2199" w:firstLine="535"/>
        <w:spacing w:after="0" w:line="237" w:lineRule="auto"/>
        <w:tabs>
          <w:tab w:leader="none" w:pos="9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execution of the Pricing Agreement applicable to any Designated Shares and authorization by the Representatives of the release of such Designated Shares, the several Underwriters propose to offer such Designated Shares for sale upon the terms and conditions set forth in the Prospectus as amended or supplemented.</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the Designated Shares to be purchased by each Underwriter pursuant to the Pricing Agreement relating thereto, in definitive form and in such authorized denominations and registered in such names as the Representatives may request upon at least twenty-four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 all at the place and time and date specified in such Pricing Agreement or at such other place and time and date as the Representatives and the Company may agree upon in writing, such time and date being herein called the "Time of Delivery" for such Shares.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with each of the Underwriters of any Designated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207" w:lineRule="exact"/>
        <w:rPr>
          <w:rFonts w:ascii="Courier New" w:cs="Courier New" w:eastAsia="Courier New" w:hAnsi="Courier New"/>
          <w:sz w:val="18"/>
          <w:szCs w:val="18"/>
          <w:color w:val="auto"/>
        </w:rPr>
      </w:pPr>
    </w:p>
    <w:p>
      <w:pPr>
        <w:ind w:left="540" w:right="1779" w:firstLine="205"/>
        <w:spacing w:after="0" w:line="237" w:lineRule="auto"/>
        <w:tabs>
          <w:tab w:leader="none" w:pos="1277"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does not elect to rely on Rule 434 under the Act, immediately following execution and delivery of the applicable Pricing Agreement, to prepare the Prospectus as amended and supplemented in relation to the applicable Designated Shares in a form approved by the Representatives and to file such Prospectus pursuant to Rule 424(b) under the Act not later than the Commission's close of business on the business day following the execution and delivery of the Pricing Agreement relating to the applicable Designated Shares or, if applicable, such earlier time as may be required by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68" w:lineRule="auto"/>
        <w:rPr>
          <w:sz w:val="20"/>
          <w:szCs w:val="20"/>
          <w:color w:val="auto"/>
        </w:rPr>
      </w:pPr>
      <w:r>
        <w:rPr>
          <w:rFonts w:ascii="Courier New" w:cs="Courier New" w:eastAsia="Courier New" w:hAnsi="Courier New"/>
          <w:sz w:val="16"/>
          <w:szCs w:val="16"/>
          <w:color w:val="auto"/>
        </w:rPr>
        <w:t>Rule 424(b), or if the Company elects to rely on Rule 434 under the Act, immediately following execution and delivery of the applicable Pricing Agreement, to prepare an abbreviated term sheet relating to the Designated Shares in a form approved by the Representatives that complies with the requirements of Rule 434 under the Act and to file such form of Rule 434 Prospectus complying with Rule 434(c)(2) of the Act pursuant to Rule 424(b) under the Act not later than the Commission's close of business on the business day following the execution and delivery of the Pricing Agreement relating to the applicable Designated Shares or, if applicable, such earlier time as may be required by Rule 424(b); to make no further amendment or any supplement to the Registration Statement or Prospectus as amended or supplemented after the date of the Pricing Agreement relating to such Designated Shares and prior to the Time of Delivery for such Designated Shares which shall be reasonably disapproved by the Representatives for such Designated Shares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Designated Shares,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Designated Shares, of the suspension of the qualification of such Designated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Designated Shares or suspending any such qualification, to use promptly its best efforts to obtain its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205"/>
        <w:spacing w:after="0" w:line="271" w:lineRule="auto"/>
        <w:tabs>
          <w:tab w:leader="none" w:pos="73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from time to time to take such action as the Representatives may reasonably request to qualify such Designated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Shares, provided that in connection therewith the Company shall not be required to qualify as a foreign corporation or to file a general consent to service of process in any jurisdiction;</w:t>
      </w:r>
    </w:p>
    <w:p>
      <w:pPr>
        <w:spacing w:after="0" w:line="388" w:lineRule="exact"/>
        <w:rPr>
          <w:rFonts w:ascii="Courier New" w:cs="Courier New" w:eastAsia="Courier New" w:hAnsi="Courier New"/>
          <w:sz w:val="16"/>
          <w:szCs w:val="16"/>
          <w:color w:val="auto"/>
        </w:rPr>
      </w:pPr>
    </w:p>
    <w:p>
      <w:pPr>
        <w:ind w:right="1879" w:firstLine="205"/>
        <w:spacing w:after="0" w:line="271" w:lineRule="auto"/>
        <w:tabs>
          <w:tab w:leader="none" w:pos="73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to furnish the Underwriters with copies of the Prospectus in New York City as amended or supplemented in such quantities as the Representatives may reasonably request, and, if the delivery of a prospectus is required at any time in connection with the offering or sale of the Designated Shares and if at such time any event shall have occurred as a result of which the Prospectus as then amended or supplemented would include an untrue statement of a material fact or omit to state any</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679"/>
          </w:cols>
          <w:pgMar w:left="780" w:top="723" w:right="1440" w:bottom="1440" w:gutter="0" w:footer="0" w:header="0"/>
        </w:sectPr>
      </w:pPr>
    </w:p>
    <w:bookmarkStart w:id="12" w:name="page13"/>
    <w:bookmarkEnd w:id="12"/>
    <w:p>
      <w:pPr>
        <w:ind w:left="532" w:right="1779"/>
        <w:spacing w:after="0" w:line="238" w:lineRule="auto"/>
        <w:rPr>
          <w:sz w:val="20"/>
          <w:szCs w:val="20"/>
          <w:color w:val="auto"/>
        </w:rPr>
      </w:pPr>
      <w:r>
        <w:rPr>
          <w:rFonts w:ascii="Courier New" w:cs="Courier New" w:eastAsia="Courier New" w:hAnsi="Courier New"/>
          <w:sz w:val="18"/>
          <w:szCs w:val="18"/>
          <w:color w:val="auto"/>
        </w:rPr>
        <w:t>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207" w:lineRule="exact"/>
        <w:rPr>
          <w:sz w:val="20"/>
          <w:szCs w:val="20"/>
          <w:color w:val="auto"/>
        </w:rPr>
      </w:pPr>
    </w:p>
    <w:p>
      <w:pPr>
        <w:ind w:left="532" w:right="1879" w:firstLine="205"/>
        <w:spacing w:after="0" w:line="272" w:lineRule="auto"/>
        <w:tabs>
          <w:tab w:leader="none" w:pos="1269"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185" w:lineRule="exact"/>
        <w:rPr>
          <w:rFonts w:ascii="Courier New" w:cs="Courier New" w:eastAsia="Courier New" w:hAnsi="Courier New"/>
          <w:sz w:val="16"/>
          <w:szCs w:val="16"/>
          <w:color w:val="auto"/>
        </w:rPr>
      </w:pPr>
    </w:p>
    <w:p>
      <w:pPr>
        <w:jc w:val="both"/>
        <w:ind w:left="532" w:right="1999" w:firstLine="205"/>
        <w:spacing w:after="0" w:line="268" w:lineRule="auto"/>
        <w:tabs>
          <w:tab w:leader="none" w:pos="1269"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from the date of the Pricing Agreement for such Designated Shares and continuing to and including the earlier of</w:t>
      </w:r>
    </w:p>
    <w:p>
      <w:pPr>
        <w:ind w:left="532" w:right="1879" w:hanging="5"/>
        <w:spacing w:after="0" w:line="237" w:lineRule="auto"/>
        <w:tabs>
          <w:tab w:leader="none" w:pos="9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trading restrictions for such Designated Shares, as notified to the Company by the Representatives and (ii) the Time of Delivery for such Designated Shares, not to offer, sell, contract to sell or otherwise issue any shares of capital stock of the Company which are substantially similar to such Designated Shares, without the prior written consent of the Representatives;</w:t>
      </w:r>
    </w:p>
    <w:p>
      <w:pPr>
        <w:spacing w:after="0" w:line="209" w:lineRule="exact"/>
        <w:rPr>
          <w:rFonts w:ascii="Courier New" w:cs="Courier New" w:eastAsia="Courier New" w:hAnsi="Courier New"/>
          <w:sz w:val="18"/>
          <w:szCs w:val="18"/>
          <w:color w:val="auto"/>
        </w:rPr>
      </w:pPr>
    </w:p>
    <w:p>
      <w:pPr>
        <w:ind w:left="532" w:right="2419" w:firstLine="205"/>
        <w:spacing w:after="0" w:line="236" w:lineRule="auto"/>
        <w:tabs>
          <w:tab w:leader="none" w:pos="126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the net proceeds received by it from the sale of the Designated Shares in the manner specified in the Prospectus under the caption "Use of Proceeds"; and</w:t>
      </w:r>
    </w:p>
    <w:p>
      <w:pPr>
        <w:spacing w:after="0" w:line="208" w:lineRule="exact"/>
        <w:rPr>
          <w:rFonts w:ascii="Courier New" w:cs="Courier New" w:eastAsia="Courier New" w:hAnsi="Courier New"/>
          <w:sz w:val="18"/>
          <w:szCs w:val="18"/>
          <w:color w:val="auto"/>
        </w:rPr>
      </w:pPr>
    </w:p>
    <w:p>
      <w:pPr>
        <w:ind w:left="532" w:right="1879" w:firstLine="205"/>
        <w:spacing w:after="0" w:line="237" w:lineRule="auto"/>
        <w:tabs>
          <w:tab w:leader="none" w:pos="126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qualify as a "real estate investment trust" under the Internal Revenue Code of 1986, as amended (the "Code"), and to use its best efforts to continue to meet the requirements to qualify as a "real estate investment trust".</w:t>
      </w:r>
    </w:p>
    <w:p>
      <w:pPr>
        <w:spacing w:after="0" w:line="207" w:lineRule="exact"/>
        <w:rPr>
          <w:sz w:val="20"/>
          <w:szCs w:val="20"/>
          <w:color w:val="auto"/>
        </w:rPr>
      </w:pPr>
    </w:p>
    <w:p>
      <w:pPr>
        <w:ind w:left="-8" w:right="1779" w:firstLine="535"/>
        <w:spacing w:after="0" w:line="269" w:lineRule="auto"/>
        <w:tabs>
          <w:tab w:leader="none" w:pos="9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blue sky and legal investment surveys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and legal investment surveys;</w:t>
      </w:r>
    </w:p>
    <w:p>
      <w:pPr>
        <w:spacing w:after="0" w:line="189" w:lineRule="exact"/>
        <w:rPr>
          <w:rFonts w:ascii="Courier New" w:cs="Courier New" w:eastAsia="Courier New" w:hAnsi="Courier New"/>
          <w:sz w:val="16"/>
          <w:szCs w:val="16"/>
          <w:color w:val="auto"/>
        </w:rPr>
      </w:pPr>
    </w:p>
    <w:p>
      <w:pPr>
        <w:ind w:left="532" w:hanging="532"/>
        <w:spacing w:after="0" w:line="238"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filing fees incident to any required review by the</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723" w:right="1440" w:bottom="1440" w:gutter="0" w:footer="0" w:header="0"/>
        </w:sectPr>
      </w:pPr>
    </w:p>
    <w:bookmarkStart w:id="13" w:name="page14"/>
    <w:bookmarkEnd w:id="13"/>
    <w:p>
      <w:pPr>
        <w:ind w:right="1779"/>
        <w:spacing w:after="0" w:line="268" w:lineRule="auto"/>
        <w:rPr>
          <w:sz w:val="20"/>
          <w:szCs w:val="20"/>
          <w:color w:val="auto"/>
        </w:rPr>
      </w:pPr>
      <w:r>
        <w:rPr>
          <w:rFonts w:ascii="Courier New" w:cs="Courier New" w:eastAsia="Courier New" w:hAnsi="Courier New"/>
          <w:sz w:val="16"/>
          <w:szCs w:val="16"/>
          <w:color w:val="auto"/>
        </w:rPr>
        <w:t>National Association of Securities Dealers, Inc. of the terms of the sale of the Shares; (v) the cost of preparing certificates for the Shares; (vi) the costs and charges of any transfer agent or registrar or dividend disbursing agent; and</w:t>
      </w:r>
    </w:p>
    <w:p>
      <w:pPr>
        <w:spacing w:after="0" w:line="1" w:lineRule="exact"/>
        <w:rPr>
          <w:sz w:val="20"/>
          <w:szCs w:val="20"/>
          <w:color w:val="auto"/>
        </w:rPr>
      </w:pPr>
    </w:p>
    <w:p>
      <w:pPr>
        <w:ind w:right="1779" w:firstLine="8"/>
        <w:spacing w:after="0" w:line="237"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costs and expenses incident to the performance of its obligations hereunder which are not otherwise specifically provided for in this Section. It is understood, however, that, except as provided in this Section, Section 8 and Section 11 hereof, the Underwriters will pay all of their own costs and expenses, including the fees of their counsel, transfer taxes on resale of any of the Shares by them, and any advertising expenses connected with any offers they may make.</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Underwriters of any Designated Shares under the Pricing Agreement relating to such Designated Shares shall be subject, in the discretion of the Representatives, to the condition that all representations and warranties and other statements of the Company in, or incorporated by reference from this Agreement into, the Pricing Agreement relating to such Designated Shares are, at and as of the Time of Delivery for such Designated Shares, true and correct, to the condition that the Company shall have performed all of its obligations hereunder theretofore to be performed, and to the following additional conditions:</w:t>
      </w:r>
    </w:p>
    <w:p>
      <w:pPr>
        <w:spacing w:after="0" w:line="213" w:lineRule="exact"/>
        <w:rPr>
          <w:rFonts w:ascii="Courier New" w:cs="Courier New" w:eastAsia="Courier New" w:hAnsi="Courier New"/>
          <w:sz w:val="18"/>
          <w:szCs w:val="18"/>
          <w:color w:val="auto"/>
        </w:rPr>
      </w:pPr>
    </w:p>
    <w:p>
      <w:pPr>
        <w:ind w:left="540" w:right="1779" w:firstLine="205"/>
        <w:spacing w:after="0" w:line="237" w:lineRule="auto"/>
        <w:tabs>
          <w:tab w:leader="none" w:pos="1277"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Prospectus as amended or supplemented in relation to the applicable Designated Shares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214" w:lineRule="exact"/>
        <w:rPr>
          <w:rFonts w:ascii="Courier New" w:cs="Courier New" w:eastAsia="Courier New" w:hAnsi="Courier New"/>
          <w:sz w:val="18"/>
          <w:szCs w:val="18"/>
          <w:color w:val="auto"/>
        </w:rPr>
      </w:pPr>
    </w:p>
    <w:p>
      <w:pPr>
        <w:ind w:left="540" w:right="1879" w:firstLine="205"/>
        <w:spacing w:after="0" w:line="237" w:lineRule="auto"/>
        <w:tabs>
          <w:tab w:leader="none" w:pos="1277"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Sidley Austin Brown &amp; Wood LLP, counsel for the Underwriters, shall have furnished to the Representatives such opinion or opinions, dated the Time of Delivery for such Designated Shares, with respect to the organization of the Company, the validity of the Designated Shares being delivered at such Time of Delivery, the Registration Statement, the Prospectus as amended or supplemented and other related matters as the Representatives may reasonably request, and such counsel shall have received such papers and information as they may reasonably request to enable them to pass upon such matters;</w:t>
      </w:r>
    </w:p>
    <w:p>
      <w:pPr>
        <w:spacing w:after="0" w:line="207" w:lineRule="exact"/>
        <w:rPr>
          <w:rFonts w:ascii="Courier New" w:cs="Courier New" w:eastAsia="Courier New" w:hAnsi="Courier New"/>
          <w:sz w:val="18"/>
          <w:szCs w:val="18"/>
          <w:color w:val="auto"/>
        </w:rPr>
      </w:pPr>
    </w:p>
    <w:p>
      <w:pPr>
        <w:ind w:left="1280" w:hanging="535"/>
        <w:spacing w:after="0"/>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Hogan &amp; Hartson L.L.P., counsel for the Company, shall have</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furnished to the Representatives their written opinion, dated the Time of Delivery for such Designated Shares, in form and substance satisfactory to the Representatives, to the effect that:</w:t>
      </w:r>
    </w:p>
    <w:p>
      <w:pPr>
        <w:spacing w:after="0" w:line="208" w:lineRule="exact"/>
        <w:rPr>
          <w:rFonts w:ascii="Courier New" w:cs="Courier New" w:eastAsia="Courier New" w:hAnsi="Courier New"/>
          <w:sz w:val="18"/>
          <w:szCs w:val="18"/>
          <w:color w:val="auto"/>
        </w:rPr>
      </w:pPr>
    </w:p>
    <w:p>
      <w:pPr>
        <w:ind w:left="740" w:right="1779" w:firstLine="321"/>
        <w:spacing w:after="0" w:line="237" w:lineRule="auto"/>
        <w:tabs>
          <w:tab w:leader="none" w:pos="1583"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organized and is validly existing as a real estate investment trust in good standing under the laws of the state of Maryland, with full power and authority to own its current properties and conduct its business as described in the Prospectus; SRI has been duly organized and is validly existing as a corporation in good standing under the laws of the state of Maryland, with full power and authority to own its current properties and conduct its business as described in the Prospectus; the Company and SRI are authorized to transact business in the states specified in such</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4" w:name="page15"/>
    <w:bookmarkEnd w:id="14"/>
    <w:p>
      <w:pPr>
        <w:ind w:right="1879"/>
        <w:spacing w:after="0" w:line="236" w:lineRule="auto"/>
        <w:rPr>
          <w:sz w:val="20"/>
          <w:szCs w:val="20"/>
          <w:color w:val="auto"/>
        </w:rPr>
      </w:pPr>
      <w:r>
        <w:rPr>
          <w:rFonts w:ascii="Courier New" w:cs="Courier New" w:eastAsia="Courier New" w:hAnsi="Courier New"/>
          <w:sz w:val="18"/>
          <w:szCs w:val="18"/>
          <w:color w:val="auto"/>
        </w:rPr>
        <w:t>opinion as of the respective dates of the certificates specified in such opinion; and the conditions for use of a registration statement on Form S-3 have been satisfied;</w:t>
      </w:r>
    </w:p>
    <w:p>
      <w:pPr>
        <w:spacing w:after="0" w:line="209" w:lineRule="exact"/>
        <w:rPr>
          <w:sz w:val="20"/>
          <w:szCs w:val="20"/>
          <w:color w:val="auto"/>
        </w:rPr>
      </w:pPr>
    </w:p>
    <w:p>
      <w:pPr>
        <w:ind w:right="1879" w:firstLine="637"/>
        <w:spacing w:after="0" w:line="236" w:lineRule="auto"/>
        <w:tabs>
          <w:tab w:leader="none" w:pos="126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Pricing Agreement with respect to the Designated Shares have been duly authorized, executed and delivered by the Company;</w:t>
      </w:r>
    </w:p>
    <w:p>
      <w:pPr>
        <w:spacing w:after="0" w:line="208" w:lineRule="exact"/>
        <w:rPr>
          <w:rFonts w:ascii="Courier New" w:cs="Courier New" w:eastAsia="Courier New" w:hAnsi="Courier New"/>
          <w:sz w:val="18"/>
          <w:szCs w:val="18"/>
          <w:color w:val="auto"/>
        </w:rPr>
      </w:pPr>
    </w:p>
    <w:p>
      <w:pPr>
        <w:ind w:right="1779" w:firstLine="637"/>
        <w:spacing w:after="0" w:line="237" w:lineRule="auto"/>
        <w:tabs>
          <w:tab w:leader="none" w:pos="136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in the Prospectus as amended or supplemented under the captions "Description of Series B Preferred Shares" and "Description of Preferred Shares," to the extent that such information constitutes matters of law or legal conclusions, has been reviewed by such counsel, and is correct in all material respects;</w:t>
      </w:r>
    </w:p>
    <w:p>
      <w:pPr>
        <w:spacing w:after="0" w:line="208" w:lineRule="exact"/>
        <w:rPr>
          <w:rFonts w:ascii="Courier New" w:cs="Courier New" w:eastAsia="Courier New" w:hAnsi="Courier New"/>
          <w:sz w:val="18"/>
          <w:szCs w:val="18"/>
          <w:color w:val="auto"/>
        </w:rPr>
      </w:pPr>
    </w:p>
    <w:p>
      <w:pPr>
        <w:ind w:right="1779" w:firstLine="637"/>
        <w:spacing w:after="0" w:line="238" w:lineRule="auto"/>
        <w:tabs>
          <w:tab w:leader="none" w:pos="126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 and sale of the Designated Shares being delivered at such Time of Delivery and the compliance by the Company with all of the provisions of this Agreement and the Pricing Agreement with respect to the Designated Shares and the consummation of the transactions herein and therein contemplated will not conflict with or result in a breach or violation of Title 8 of the Corporations and Associations Article of the Annotated Code of Maryland, the Declaration of Trust or By-laws of the Company or any applicable law, rule, regulation, order, judgement or decree known to such counsel of any Maryland court or governmental agency or body having jurisdiction over the Company or SRI or any of their respective properties or any of the agreements identified in Schedule A hereto;</w:t>
      </w:r>
    </w:p>
    <w:p>
      <w:pPr>
        <w:spacing w:after="0" w:line="207" w:lineRule="exact"/>
        <w:rPr>
          <w:rFonts w:ascii="Courier New" w:cs="Courier New" w:eastAsia="Courier New" w:hAnsi="Courier New"/>
          <w:sz w:val="18"/>
          <w:szCs w:val="18"/>
          <w:color w:val="auto"/>
        </w:rPr>
      </w:pPr>
    </w:p>
    <w:p>
      <w:pPr>
        <w:ind w:right="1779" w:firstLine="532"/>
        <w:spacing w:after="0" w:line="238" w:lineRule="auto"/>
        <w:tabs>
          <w:tab w:leader="none" w:pos="10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approval, authorization, order, registration or qualification of or with the Commission or any Maryland court or governmental agency or body is required for the issue and sale of the Designated Shares being delivered at such Time of Delivery or the consummation by the Company of the transactions contemplated by this Agreement or the Pricing Agreement, except such as have been obtained under the Act and the Exchange Act and except for the listing of the Designated Shares on the New York Stock Exchange, Inc. or other stock exchanges and such consents, approvals, authorizations, registrations or qualifications as may be required under state securities or Blue Sky laws in connection with the purchase and distribution of the Designated Shares by the Underwriters;</w:t>
      </w:r>
    </w:p>
    <w:p>
      <w:pPr>
        <w:spacing w:after="0" w:line="207" w:lineRule="exact"/>
        <w:rPr>
          <w:rFonts w:ascii="Courier New" w:cs="Courier New" w:eastAsia="Courier New" w:hAnsi="Courier New"/>
          <w:sz w:val="18"/>
          <w:szCs w:val="18"/>
          <w:color w:val="auto"/>
        </w:rPr>
      </w:pPr>
    </w:p>
    <w:p>
      <w:pPr>
        <w:ind w:right="1779" w:firstLine="532"/>
        <w:spacing w:after="0" w:line="237" w:lineRule="auto"/>
        <w:tabs>
          <w:tab w:leader="none" w:pos="11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w:t>
      </w:r>
    </w:p>
    <w:p>
      <w:pPr>
        <w:spacing w:after="0" w:line="211" w:lineRule="exact"/>
        <w:rPr>
          <w:rFonts w:ascii="Courier New" w:cs="Courier New" w:eastAsia="Courier New" w:hAnsi="Courier New"/>
          <w:sz w:val="18"/>
          <w:szCs w:val="18"/>
          <w:color w:val="auto"/>
        </w:rPr>
      </w:pPr>
    </w:p>
    <w:p>
      <w:pPr>
        <w:ind w:right="1779" w:firstLine="637"/>
        <w:spacing w:after="0" w:line="237" w:lineRule="auto"/>
        <w:tabs>
          <w:tab w:leader="none" w:pos="136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the Prospectus as amended or supplemented and any further amendments and supplements thereto made by the Company prior to the Time of Delivery for the Designated Shares (other than the financial statements and related schedules therein, as to which such counsel need express no opinion) comply as to form in all material respects with the requirements of the Act and the rules and regulations thereunder; if applicable, the Rule 434</w:t>
      </w: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479"/>
          </w:cols>
          <w:pgMar w:left="980" w:top="723" w:right="1440" w:bottom="1440" w:gutter="0" w:footer="0" w:header="0"/>
        </w:sectPr>
      </w:pPr>
    </w:p>
    <w:bookmarkStart w:id="15" w:name="page16"/>
    <w:bookmarkEnd w:id="15"/>
    <w:p>
      <w:pPr>
        <w:ind w:right="1779"/>
        <w:spacing w:after="0" w:line="238" w:lineRule="auto"/>
        <w:rPr>
          <w:sz w:val="20"/>
          <w:szCs w:val="20"/>
          <w:color w:val="auto"/>
        </w:rPr>
      </w:pPr>
      <w:r>
        <w:rPr>
          <w:rFonts w:ascii="Courier New" w:cs="Courier New" w:eastAsia="Courier New" w:hAnsi="Courier New"/>
          <w:sz w:val="18"/>
          <w:szCs w:val="18"/>
          <w:color w:val="auto"/>
        </w:rPr>
        <w:t>Prospectus complies as to form in all material respects with the requirements of Rule 434 under the Act; they have no reason to believe that, as of its effective date, the Registration Statement or any further amendment thereto made by the Company prior to the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related schedules therein, as to which such counsel need express no opinion) contained an untrue statement of a material fact or omitted to state a material fact necessary to make the statements therein, in light of the circumstances in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related schedules therein, as to which such counsel need express no opinion) contains an untrue statement of a material fact or omits to state a material fact necessary to make the statements therein, in light of the circumstances in which they were made, not misleading; and they do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delivering such opinion, counsel shall be entitled to rely in respect of the opinion in this clause upon opinions of local counsel and in respect of certain matters of fact upon certificates of officers of the Company, provided that such counsel shall state that they believe that both you and they are justified in relying upon such opinions and certificates.</w:t>
      </w:r>
    </w:p>
    <w:p>
      <w:pPr>
        <w:spacing w:after="0" w:line="210" w:lineRule="exact"/>
        <w:rPr>
          <w:sz w:val="20"/>
          <w:szCs w:val="20"/>
          <w:color w:val="auto"/>
        </w:rPr>
      </w:pPr>
    </w:p>
    <w:p>
      <w:pPr>
        <w:ind w:left="-200" w:right="1779" w:firstLine="205"/>
        <w:spacing w:after="0" w:line="238" w:lineRule="auto"/>
        <w:tabs>
          <w:tab w:leader="none" w:pos="53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above opinion, the Representatives shall have received the opinion or opinions of Hogan &amp; Hartson L.L.P., Tax Counsel to the Company, dated the Time of Delivery for such Designated Shares, in form and substance satisfactory to the Representatives, to the effect that (1) the Company is and has been organized and operated in conformity with the requirements for qualification and taxation as a real estate investment trust ("REIT") under the Code since its taxable year ended December 31, 1996, and the Company's current and proposed organization and method of operation including distributions (as described in the Prospectus, Prospectus Supplement, the Company's Current Report on Form 8-K filed with the Commission on November 15, 2001 (hereafter, the "Company's Form 8-K") and as represented by the Company) will enable the Company to continue to meet the requirements for qualification and taxation as a REIT for its taxable year ending December 31, 2001, and thereafter; and (2) the discussion in (x) the Prospectus Supplement under the caption "Federal Income Tax Consequences"; (y) the Prospectus under the caption "Federal Income Tax Considerations," except we note that the statement to the effect that the Company is</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479"/>
          </w:cols>
          <w:pgMar w:left="980" w:top="723" w:right="1440" w:bottom="1440" w:gutter="0" w:footer="0" w:header="0"/>
        </w:sectPr>
      </w:pPr>
    </w:p>
    <w:bookmarkStart w:id="16" w:name="page17"/>
    <w:bookmarkEnd w:id="16"/>
    <w:p>
      <w:pPr>
        <w:ind w:left="5" w:right="1779"/>
        <w:spacing w:after="0" w:line="237" w:lineRule="auto"/>
        <w:rPr>
          <w:sz w:val="20"/>
          <w:szCs w:val="20"/>
          <w:color w:val="auto"/>
        </w:rPr>
      </w:pPr>
      <w:r>
        <w:rPr>
          <w:rFonts w:ascii="Courier New" w:cs="Courier New" w:eastAsia="Courier New" w:hAnsi="Courier New"/>
          <w:sz w:val="18"/>
          <w:szCs w:val="18"/>
          <w:color w:val="auto"/>
        </w:rPr>
        <w:t>generally required to distribute to shareholders 95% of its taxable income each year is not correct for tax years of the Company beginning after December 31, 2000, for which periods the Company is generally required to dostribute to shareholders 90% of its taxable income; and (z) the Company's Form 8-K under the caption "Federal Income Tax Consequences" which is incorporated by reference into the Prospectus, to the extent that they discuss matters of law or legal conclusions or purport to describe certain provisions of the federal tax laws, are correct summaries of the matters discussed therein.</w:t>
      </w:r>
    </w:p>
    <w:p>
      <w:pPr>
        <w:spacing w:after="0" w:line="214" w:lineRule="exact"/>
        <w:rPr>
          <w:sz w:val="20"/>
          <w:szCs w:val="20"/>
          <w:color w:val="auto"/>
        </w:rPr>
      </w:pPr>
    </w:p>
    <w:p>
      <w:pPr>
        <w:ind w:left="5" w:right="1779" w:firstLine="205"/>
        <w:spacing w:after="0" w:line="237" w:lineRule="auto"/>
        <w:tabs>
          <w:tab w:leader="none" w:pos="74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of the Pricing Agreement for such Designated Shares and at the Time of Delivery for such Designated Shares, the independent accountants of the Company who have certified the financial statements of the Company included or incorporated by reference in the Registration Statement shall have furnished to the Representatives a letter, dated the date of the Pricing Agreement, and a letter dated such Time of Delivery, respectively, to the effect set forth in Annex II hereto, and with respect to such letter dated such Time of Delivery, as to such other matters as the Representatives may reasonably request and in form and substance satisfactory to the Representatives;</w:t>
      </w:r>
    </w:p>
    <w:p>
      <w:pPr>
        <w:spacing w:after="0" w:line="214" w:lineRule="exact"/>
        <w:rPr>
          <w:rFonts w:ascii="Courier New" w:cs="Courier New" w:eastAsia="Courier New" w:hAnsi="Courier New"/>
          <w:sz w:val="18"/>
          <w:szCs w:val="18"/>
          <w:color w:val="auto"/>
        </w:rPr>
      </w:pPr>
    </w:p>
    <w:p>
      <w:pPr>
        <w:ind w:left="5" w:right="1779" w:firstLine="205"/>
        <w:spacing w:after="0" w:line="269" w:lineRule="auto"/>
        <w:tabs>
          <w:tab w:leader="none" w:pos="74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 supplemented there shall not have been any change in the capital stock or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Shares on the terms and in the manner contemplated in the Prospectus as amended or supplemented;</w:t>
      </w:r>
    </w:p>
    <w:p>
      <w:pPr>
        <w:spacing w:after="0" w:line="394" w:lineRule="exact"/>
        <w:rPr>
          <w:rFonts w:ascii="Courier New" w:cs="Courier New" w:eastAsia="Courier New" w:hAnsi="Courier New"/>
          <w:sz w:val="16"/>
          <w:szCs w:val="16"/>
          <w:color w:val="auto"/>
        </w:rPr>
      </w:pPr>
    </w:p>
    <w:p>
      <w:pPr>
        <w:ind w:left="5" w:right="1879" w:firstLine="205"/>
        <w:spacing w:after="0" w:line="268" w:lineRule="auto"/>
        <w:tabs>
          <w:tab w:leader="none" w:pos="74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Shares (i) no downgrading shall have occurred in the rating accorded the Company's debt securities or preferred shares by any "nationally recognized statistical rating organization", as that term is defined by the Commission for purposes of Rule 436(g)(2) under the Act and</w:t>
      </w:r>
    </w:p>
    <w:p>
      <w:pPr>
        <w:ind w:left="5" w:right="1879" w:hanging="5"/>
        <w:spacing w:after="0" w:line="236" w:lineRule="auto"/>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such organization shall have publicly announced that it has under surveillance or review, with possible negative implications, its rating of any of the Company's debt securities or preferred shares;</w:t>
      </w:r>
    </w:p>
    <w:p>
      <w:pPr>
        <w:spacing w:after="0" w:line="203" w:lineRule="exact"/>
        <w:rPr>
          <w:rFonts w:ascii="Courier New" w:cs="Courier New" w:eastAsia="Courier New" w:hAnsi="Courier New"/>
          <w:sz w:val="18"/>
          <w:szCs w:val="18"/>
          <w:color w:val="auto"/>
        </w:rPr>
      </w:pPr>
    </w:p>
    <w:p>
      <w:pPr>
        <w:ind w:left="745" w:hanging="535"/>
        <w:spacing w:after="0"/>
        <w:tabs>
          <w:tab w:leader="none" w:pos="74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after the date of the Pricing Agreement relating to the</w:t>
      </w:r>
    </w:p>
    <w:p>
      <w:pPr>
        <w:spacing w:after="0" w:line="4" w:lineRule="exact"/>
        <w:rPr>
          <w:rFonts w:ascii="Courier New" w:cs="Courier New" w:eastAsia="Courier New" w:hAnsi="Courier New"/>
          <w:sz w:val="18"/>
          <w:szCs w:val="18"/>
          <w:color w:val="auto"/>
        </w:rPr>
      </w:pPr>
    </w:p>
    <w:p>
      <w:pPr>
        <w:ind w:left="5"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Shares there shall not have occurred any of the following: (i) a suspension or material limitation in trading in securities generally on the New York Stock Exchange; (ii) a suspension or material limitation in trading in the Company's securities on the New York Stock Exchange; (iii) a general moratorium on commercial banking activities in New York</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684"/>
          </w:cols>
          <w:pgMar w:left="775" w:top="723" w:right="1440" w:bottom="1440" w:gutter="0" w:footer="0" w:header="0"/>
        </w:sectPr>
      </w:pPr>
    </w:p>
    <w:bookmarkStart w:id="17" w:name="page18"/>
    <w:bookmarkEnd w:id="17"/>
    <w:p>
      <w:pPr>
        <w:ind w:left="5" w:right="1999"/>
        <w:spacing w:after="0" w:line="237" w:lineRule="auto"/>
        <w:rPr>
          <w:sz w:val="20"/>
          <w:szCs w:val="20"/>
          <w:color w:val="auto"/>
        </w:rPr>
      </w:pPr>
      <w:r>
        <w:rPr>
          <w:rFonts w:ascii="Courier New" w:cs="Courier New" w:eastAsia="Courier New" w:hAnsi="Courier New"/>
          <w:sz w:val="18"/>
          <w:szCs w:val="18"/>
          <w:color w:val="auto"/>
        </w:rPr>
        <w:t>declared by either Federal or New York State authorities; or (iv) the outbreak or escalation of hostilities involving the United States or the declaration by the United States of a national emergency or war if the effect of any such event specified in this clause (iv) in the judgment of the Representatives makes it impracticable or inadvisable to proceed with the public offering or the delivery of the Designated Shares on the terms and in the manner contemplated in the Prospectus as amended or supplemented;</w:t>
      </w:r>
    </w:p>
    <w:p>
      <w:pPr>
        <w:spacing w:after="0" w:line="212" w:lineRule="exact"/>
        <w:rPr>
          <w:sz w:val="20"/>
          <w:szCs w:val="20"/>
          <w:color w:val="auto"/>
        </w:rPr>
      </w:pPr>
    </w:p>
    <w:p>
      <w:pPr>
        <w:ind w:left="5" w:right="1879" w:firstLine="205"/>
        <w:spacing w:after="0" w:line="235" w:lineRule="auto"/>
        <w:tabs>
          <w:tab w:leader="none" w:pos="74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complied with the provisions of Section 5(c) hereof with respect to the furnishing of prospectuses; and</w:t>
      </w:r>
    </w:p>
    <w:p>
      <w:pPr>
        <w:spacing w:after="0" w:line="208" w:lineRule="exact"/>
        <w:rPr>
          <w:rFonts w:ascii="Courier New" w:cs="Courier New" w:eastAsia="Courier New" w:hAnsi="Courier New"/>
          <w:sz w:val="18"/>
          <w:szCs w:val="18"/>
          <w:color w:val="auto"/>
        </w:rPr>
      </w:pPr>
    </w:p>
    <w:p>
      <w:pPr>
        <w:ind w:left="5" w:right="1779" w:firstLine="205"/>
        <w:spacing w:after="0" w:line="237" w:lineRule="auto"/>
        <w:tabs>
          <w:tab w:leader="none" w:pos="74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furnished or caused to be furnished to the Representatives at the Time of Delivery for the Designated Shares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the Representatives may reasonably request.</w:t>
      </w:r>
    </w:p>
    <w:p>
      <w:pPr>
        <w:spacing w:after="0" w:line="213" w:lineRule="exact"/>
        <w:rPr>
          <w:rFonts w:ascii="Courier New" w:cs="Courier New" w:eastAsia="Courier New" w:hAnsi="Courier New"/>
          <w:sz w:val="18"/>
          <w:szCs w:val="18"/>
          <w:color w:val="auto"/>
        </w:rPr>
      </w:pPr>
    </w:p>
    <w:p>
      <w:pPr>
        <w:ind w:left="-535" w:right="1779" w:firstLine="535"/>
        <w:spacing w:after="0" w:line="238" w:lineRule="auto"/>
        <w:tabs>
          <w:tab w:leader="none" w:pos="41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any Underwriter of Designated Shares through the Representatives expressly for use in the Prospectus as amended or supplemented relating to such Shares.</w:t>
      </w:r>
    </w:p>
    <w:p>
      <w:pPr>
        <w:spacing w:after="0" w:line="206" w:lineRule="exact"/>
        <w:rPr>
          <w:rFonts w:ascii="Courier New" w:cs="Courier New" w:eastAsia="Courier New" w:hAnsi="Courier New"/>
          <w:sz w:val="18"/>
          <w:szCs w:val="18"/>
          <w:color w:val="auto"/>
        </w:rPr>
      </w:pPr>
    </w:p>
    <w:p>
      <w:pPr>
        <w:ind w:left="745" w:hanging="535"/>
        <w:spacing w:after="0"/>
        <w:tabs>
          <w:tab w:leader="none" w:pos="74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Underwriter will indemnify and hold harmless the Company</w:t>
      </w:r>
    </w:p>
    <w:p>
      <w:pPr>
        <w:spacing w:after="0" w:line="4" w:lineRule="exact"/>
        <w:rPr>
          <w:rFonts w:ascii="Courier New" w:cs="Courier New" w:eastAsia="Courier New" w:hAnsi="Courier New"/>
          <w:sz w:val="18"/>
          <w:szCs w:val="18"/>
          <w:color w:val="auto"/>
        </w:rPr>
      </w:pPr>
    </w:p>
    <w:p>
      <w:pPr>
        <w:ind w:left="5"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w:t>
      </w:r>
    </w:p>
    <w:p>
      <w:pPr>
        <w:spacing w:after="0" w:line="20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684"/>
          </w:cols>
          <w:pgMar w:left="775" w:top="723" w:right="1440" w:bottom="1440" w:gutter="0" w:footer="0" w:header="0"/>
        </w:sectPr>
      </w:pPr>
    </w:p>
    <w:bookmarkStart w:id="18" w:name="page19"/>
    <w:bookmarkEnd w:id="18"/>
    <w:p>
      <w:pPr>
        <w:ind w:left="5" w:right="1779"/>
        <w:spacing w:after="0" w:line="270" w:lineRule="auto"/>
        <w:rPr>
          <w:sz w:val="20"/>
          <w:szCs w:val="20"/>
          <w:color w:val="auto"/>
        </w:rPr>
      </w:pPr>
      <w:r>
        <w:rPr>
          <w:rFonts w:ascii="Courier New" w:cs="Courier New" w:eastAsia="Courier New" w:hAnsi="Courier New"/>
          <w:sz w:val="16"/>
          <w:szCs w:val="16"/>
          <w:color w:val="auto"/>
        </w:rPr>
        <w:t>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w:t>
      </w:r>
    </w:p>
    <w:p>
      <w:pPr>
        <w:spacing w:after="0" w:line="387" w:lineRule="exact"/>
        <w:rPr>
          <w:sz w:val="20"/>
          <w:szCs w:val="20"/>
          <w:color w:val="auto"/>
        </w:rPr>
      </w:pPr>
    </w:p>
    <w:p>
      <w:pPr>
        <w:ind w:left="5" w:right="1779" w:firstLine="205"/>
        <w:spacing w:after="0" w:line="269" w:lineRule="auto"/>
        <w:tabs>
          <w:tab w:leader="none" w:pos="74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affect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compromises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5" w:right="1779" w:firstLine="205"/>
        <w:spacing w:after="0" w:line="268" w:lineRule="auto"/>
        <w:tabs>
          <w:tab w:leader="none" w:pos="74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8 is unavailable to or insufficient to hold harmless an indemnified party under subsection</w:t>
      </w:r>
    </w:p>
    <w:p>
      <w:pPr>
        <w:ind w:left="5" w:right="1779" w:hanging="5"/>
        <w:spacing w:after="0" w:line="237" w:lineRule="auto"/>
        <w:tabs>
          <w:tab w:leader="none" w:pos="42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Shares</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684"/>
          </w:cols>
          <w:pgMar w:left="775" w:top="723" w:right="1440" w:bottom="1440" w:gutter="0" w:footer="0" w:header="0"/>
        </w:sectPr>
      </w:pPr>
    </w:p>
    <w:bookmarkStart w:id="19" w:name="page20"/>
    <w:bookmarkEnd w:id="19"/>
    <w:p>
      <w:pPr>
        <w:ind w:right="1779"/>
        <w:spacing w:after="0" w:line="268" w:lineRule="auto"/>
        <w:rPr>
          <w:sz w:val="20"/>
          <w:szCs w:val="20"/>
          <w:color w:val="auto"/>
        </w:rPr>
      </w:pPr>
      <w:r>
        <w:rPr>
          <w:rFonts w:ascii="Courier New" w:cs="Courier New" w:eastAsia="Courier New" w:hAnsi="Courier New"/>
          <w:sz w:val="16"/>
          <w:szCs w:val="16"/>
          <w:color w:val="auto"/>
        </w:rPr>
        <w:t>on the other from the offering of the Designated Shares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Shares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Shares in this subsection (d) to contribute are several in proportion to their respective underwriting obligations with respect to such Shares and not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779" w:firstLine="205"/>
        <w:spacing w:after="0" w:line="237" w:lineRule="auto"/>
        <w:tabs>
          <w:tab w:leader="none" w:pos="73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trustee of the Company and to each person, if any, who controls the Company within the meaning of the Act.</w:t>
      </w: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79"/>
          </w:cols>
          <w:pgMar w:left="780" w:top="723" w:right="1440" w:bottom="1440" w:gutter="0" w:footer="0" w:header="0"/>
        </w:sectPr>
      </w:pPr>
    </w:p>
    <w:bookmarkStart w:id="20" w:name="page21"/>
    <w:bookmarkEnd w:id="20"/>
    <w:p>
      <w:pPr>
        <w:ind w:left="-535" w:right="1779" w:firstLine="535"/>
        <w:spacing w:after="0" w:line="269" w:lineRule="auto"/>
        <w:tabs>
          <w:tab w:leader="none" w:pos="41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any Underwriter shall default in its obligation to purchase the Designated Shares which it has agreed to purchase under the Pricing Agreement relating to such Designated Shares, the Representatives may in their discretion arrange for themselves or another party or other parties to purchase such Designated Shares on the terms contained herein. If within thirty-six hours after such default by any Underwriter the Representatives do not arrange for the purchase of such Designated Shares, then the Company shall be entitled to a further period of thirty-six hours within which to procure another party or other parties satisfactory to the Representatives to purchase such Designated Shares on such terms. In the event that, within the respective prescribed period, the Representatives notify the Company that they have so arranged for the purchase of such Designated Shares, or the Company notifies the Representatives that it has so arranged for the purchase of such Designated Shares, the Representatives or the Company shall have the right to postpone the time of Delivery for such Designated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Shares.</w:t>
      </w:r>
    </w:p>
    <w:p>
      <w:pPr>
        <w:spacing w:after="0" w:line="392" w:lineRule="exact"/>
        <w:rPr>
          <w:rFonts w:ascii="Courier New" w:cs="Courier New" w:eastAsia="Courier New" w:hAnsi="Courier New"/>
          <w:sz w:val="16"/>
          <w:szCs w:val="16"/>
          <w:color w:val="auto"/>
        </w:rPr>
      </w:pPr>
    </w:p>
    <w:p>
      <w:pPr>
        <w:ind w:left="5" w:right="1779" w:firstLine="205"/>
        <w:spacing w:after="0" w:line="270" w:lineRule="auto"/>
        <w:tabs>
          <w:tab w:leader="none" w:pos="74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Designated Shares of a defaulting Underwriter or Underwriters by the Representatives and the Company as provided in subsection (a) above, the aggregate number of such Designated Shares which remains unpurchased does not exceed one-tenth of the aggregate number of the Designated Shares, then the Company shall have the right to require each non-defaulting Underwriter to purchase the number of Designated Shares which such Underwriter agreed to purchase under the Pricing Agreement relating to such Designated Shares and, in addition, to require each non-defaulting Underwriter to purchase its pro rata share (based on the number of Designated Shares which such Underwriter agreed to purchase under such Pricing Agreement) of the Designated Shares of such defaulting Underwriter or Underwriters for which such arrangements have not been made; but nothing herein shall relieve a defaulting Underwriter from liability for its default.</w:t>
      </w:r>
    </w:p>
    <w:p>
      <w:pPr>
        <w:spacing w:after="0" w:line="387" w:lineRule="exact"/>
        <w:rPr>
          <w:rFonts w:ascii="Courier New" w:cs="Courier New" w:eastAsia="Courier New" w:hAnsi="Courier New"/>
          <w:sz w:val="16"/>
          <w:szCs w:val="16"/>
          <w:color w:val="auto"/>
        </w:rPr>
      </w:pPr>
    </w:p>
    <w:p>
      <w:pPr>
        <w:ind w:left="5" w:right="1779" w:firstLine="205"/>
        <w:spacing w:after="0" w:line="238" w:lineRule="auto"/>
        <w:tabs>
          <w:tab w:leader="none" w:pos="74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after giving effect to any arrangements for the purchase of the Designated Shares of a defaulting Underwriter or Underwriters by the Representatives and the Company as provided in subsection (a) above, the aggregate number of Designated Shares which remains unpurchased exceeds one-tenth of the aggregate number of the Designated Shares, as referred to in subsection (b) above, or if the Company shall not exercise the right described in subsection (b) above to require non-defaulting Underwriters to purchase Designated Shares of a defaulting Underwriter or Underwriters, then the Pricing Agreement relating to such Designated Shares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84"/>
          </w:cols>
          <w:pgMar w:left="775" w:top="723" w:right="1440" w:bottom="1440" w:gutter="0" w:footer="0" w:header="0"/>
        </w:sectPr>
      </w:pPr>
    </w:p>
    <w:bookmarkStart w:id="21" w:name="page22"/>
    <w:bookmarkEnd w:id="21"/>
    <w:p>
      <w:pPr>
        <w:ind w:right="1779" w:firstLine="535"/>
        <w:spacing w:after="0" w:line="237"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Shares.</w:t>
      </w:r>
    </w:p>
    <w:p>
      <w:pPr>
        <w:spacing w:after="0" w:line="212" w:lineRule="exact"/>
        <w:rPr>
          <w:rFonts w:ascii="Courier New" w:cs="Courier New" w:eastAsia="Courier New" w:hAnsi="Courier New"/>
          <w:sz w:val="18"/>
          <w:szCs w:val="18"/>
          <w:color w:val="auto"/>
        </w:rPr>
      </w:pPr>
    </w:p>
    <w:p>
      <w:pPr>
        <w:ind w:right="1879" w:firstLine="535"/>
        <w:spacing w:after="0" w:line="238"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Pricing Agreement shall be terminated pursuant to Section 9 hereof, the Company shall not then be under any liability to any Underwriter with respect to the Designated Shares covered by such Pricing Agreement except as provided in Section 6 and Section 8 hereof. If this Agreement shall be terminated as a result of any of the conditions set forth in Section 7 (other than Section 7(h)(i), (iii) or (iv)) not being satisfied the Company will reimburse the Underwriters through the Representatives for all out-of-pocket expenses approved in writing by the Representatives, including fees and disbursements to counsel, reasonably incurred by the Underwriters in making preparations for the purchase, sale and delivery of such Designated Shares, but the Company shall then be under no further liability to any Underwriter with respect to such Designated Shares except as provided in Section 6 and Section 8 hereof.</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dealings hereunder, the Representatives of the Underwriters of Designated Shares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207" w:lineRule="exact"/>
        <w:rPr>
          <w:sz w:val="20"/>
          <w:szCs w:val="20"/>
          <w:color w:val="auto"/>
        </w:rPr>
      </w:pPr>
    </w:p>
    <w:p>
      <w:pPr>
        <w:ind w:right="1779" w:firstLine="535"/>
        <w:spacing w:after="0" w:line="237"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shall be binding upon, and inure solely to the benefit of, the Underwriters, the Company and, to the extent provided in Section 8 and Section 10 hereof, the officers and trustees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Shares from any Underwriter shall be deemed a successor or assign by reason merely of such purchase.</w:t>
      </w:r>
    </w:p>
    <w:p>
      <w:pPr>
        <w:spacing w:after="0" w:line="213" w:lineRule="exact"/>
        <w:rPr>
          <w:rFonts w:ascii="Courier New" w:cs="Courier New" w:eastAsia="Courier New" w:hAnsi="Courier New"/>
          <w:sz w:val="18"/>
          <w:szCs w:val="18"/>
          <w:color w:val="auto"/>
        </w:rPr>
      </w:pPr>
    </w:p>
    <w:p>
      <w:pPr>
        <w:ind w:right="2419" w:firstLine="535"/>
        <w:spacing w:after="0" w:line="236"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shall be of the essence of each Pricing Agreement. As used herein, "business day" shall mean any day when the Commission's office in Washington, D.C. is open for business.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 w:name="page23"/>
    <w:bookmarkEnd w:id="22"/>
    <w:p>
      <w:pPr>
        <w:ind w:right="2199" w:firstLine="535"/>
        <w:spacing w:after="0" w:line="235"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shall be governed by and construed in accordance with the laws of the State of New York.</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[REMAINDER OF THIS PAGE INTENTIONALLY LEFT BLANK]</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23" w:name="page24"/>
    <w:bookmarkEnd w:id="23"/>
    <w:p>
      <w:pPr>
        <w:ind w:right="1879" w:firstLine="527"/>
        <w:spacing w:after="0" w:line="235" w:lineRule="auto"/>
        <w:rPr>
          <w:sz w:val="20"/>
          <w:szCs w:val="20"/>
          <w:color w:val="auto"/>
        </w:rPr>
      </w:pPr>
      <w:r>
        <w:rPr>
          <w:rFonts w:ascii="Courier New" w:cs="Courier New" w:eastAsia="Courier New" w:hAnsi="Courier New"/>
          <w:sz w:val="18"/>
          <w:szCs w:val="18"/>
          <w:color w:val="auto"/>
        </w:rPr>
        <w:t>If the foregoing is in accordance with your understanding, please sign and return to us four counterparts hereof.</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NANCY J. HERMAN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Nancy J. Herman</w:t>
      </w:r>
    </w:p>
    <w:p>
      <w:pPr>
        <w:ind w:left="3580"/>
        <w:spacing w:after="0" w:line="237" w:lineRule="auto"/>
        <w:tabs>
          <w:tab w:leader="none" w:pos="4420" w:val="left"/>
        </w:tabs>
        <w:rPr>
          <w:sz w:val="20"/>
          <w:szCs w:val="20"/>
          <w:color w:val="auto"/>
        </w:rPr>
      </w:pPr>
      <w:r>
        <w:rPr>
          <w:rFonts w:ascii="Courier New" w:cs="Courier New" w:eastAsia="Courier New" w:hAnsi="Courier New"/>
          <w:sz w:val="18"/>
          <w:szCs w:val="18"/>
          <w:color w:val="auto"/>
        </w:rPr>
        <w:t>Title:</w:t>
        <w:tab/>
        <w:t>Senior Vice President - General</w:t>
      </w:r>
    </w:p>
    <w:p>
      <w:pPr>
        <w:ind w:left="4440"/>
        <w:spacing w:after="0" w:line="238" w:lineRule="auto"/>
        <w:rPr>
          <w:sz w:val="20"/>
          <w:szCs w:val="20"/>
          <w:color w:val="auto"/>
        </w:rPr>
      </w:pPr>
      <w:r>
        <w:rPr>
          <w:rFonts w:ascii="Courier New" w:cs="Courier New" w:eastAsia="Courier New" w:hAnsi="Courier New"/>
          <w:sz w:val="18"/>
          <w:szCs w:val="18"/>
          <w:color w:val="auto"/>
        </w:rPr>
        <w:t>Counsel and Secretary</w:t>
      </w: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38" w:lineRule="auto"/>
        <w:rPr>
          <w:sz w:val="20"/>
          <w:szCs w:val="20"/>
          <w:color w:val="auto"/>
        </w:rPr>
      </w:pPr>
      <w:r>
        <w:rPr>
          <w:rFonts w:ascii="Courier New" w:cs="Courier New" w:eastAsia="Courier New" w:hAnsi="Courier New"/>
          <w:sz w:val="18"/>
          <w:szCs w:val="18"/>
          <w:color w:val="auto"/>
        </w:rPr>
        <w:t>FIRST UNION SECURITIES, INC.</w:t>
      </w:r>
    </w:p>
    <w:p>
      <w:pPr>
        <w:spacing w:after="0"/>
        <w:rPr>
          <w:sz w:val="20"/>
          <w:szCs w:val="20"/>
          <w:color w:val="auto"/>
        </w:rPr>
      </w:pPr>
      <w:r>
        <w:rPr>
          <w:rFonts w:ascii="Courier New" w:cs="Courier New" w:eastAsia="Courier New" w:hAnsi="Courier New"/>
          <w:sz w:val="18"/>
          <w:szCs w:val="18"/>
          <w:color w:val="auto"/>
        </w:rPr>
        <w:t>MERRILL LYNCH, PIERCE, FENNER &amp; SMITH</w:t>
      </w:r>
    </w:p>
    <w:p>
      <w:pPr>
        <w:ind w:left="1280"/>
        <w:spacing w:after="0" w:line="237" w:lineRule="auto"/>
        <w:rPr>
          <w:sz w:val="20"/>
          <w:szCs w:val="20"/>
          <w:color w:val="auto"/>
        </w:rPr>
      </w:pPr>
      <w:r>
        <w:rPr>
          <w:rFonts w:ascii="Courier New" w:cs="Courier New" w:eastAsia="Courier New" w:hAnsi="Courier New"/>
          <w:sz w:val="18"/>
          <w:szCs w:val="18"/>
          <w:color w:val="auto"/>
        </w:rPr>
        <w:t>INCORPORATED</w:t>
      </w:r>
    </w:p>
    <w:p>
      <w:pPr>
        <w:spacing w:after="0" w:line="238" w:lineRule="auto"/>
        <w:rPr>
          <w:sz w:val="20"/>
          <w:szCs w:val="20"/>
          <w:color w:val="auto"/>
        </w:rPr>
      </w:pPr>
      <w:r>
        <w:rPr>
          <w:rFonts w:ascii="Courier New" w:cs="Courier New" w:eastAsia="Courier New" w:hAnsi="Courier New"/>
          <w:sz w:val="18"/>
          <w:szCs w:val="18"/>
          <w:color w:val="auto"/>
        </w:rPr>
        <w:t>SALOMON SMITH BARNEY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MORGAN STANLEY &amp; CO.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HAROLD J. HENDERSHOT III</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/s/ Harold J. Hendershot III</w:t>
      </w:r>
    </w:p>
    <w:p>
      <w:pPr>
        <w:ind w:left="320"/>
        <w:spacing w:after="0"/>
        <w:tabs>
          <w:tab w:leader="none" w:pos="11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Director</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For themselves and as Representatives of the other Underwriters named in Schedule I of Annex I 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4" w:name="page25"/>
    <w:bookmarkEnd w:id="24"/>
    <w:p>
      <w:pPr>
        <w:ind w:left="7380"/>
        <w:spacing w:after="0"/>
        <w:rPr>
          <w:sz w:val="20"/>
          <w:szCs w:val="20"/>
          <w:color w:val="auto"/>
        </w:rPr>
      </w:pPr>
      <w:r>
        <w:rPr>
          <w:rFonts w:ascii="Courier New" w:cs="Courier New" w:eastAsia="Courier New" w:hAnsi="Courier New"/>
          <w:sz w:val="16"/>
          <w:szCs w:val="16"/>
          <w:color w:val="auto"/>
        </w:rPr>
        <w:t>SCHEDULE A</w:t>
      </w:r>
    </w:p>
    <w:p>
      <w:pPr>
        <w:spacing w:after="0" w:line="2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Indenture dated December 13, 1993, related to the Trust's 7.48% Debentures due August 15, 2026; 8 7/8% Senior Notes due January 15, 2000; 8% Notes due April 21, 2002; 6 5/8% Notes due 2005; 6.82% Medium Term Notes due August 1, 2027; 6.74% Medium Term Notes due March 10, 2004; and 6.99% Medium Term Notes due March 10, 2006, filed with the Commission on December 13, 1993 as exhibit 4(a) to the Trust's Registration Statement on Form S-3, (File No. 33-51029) and amended on Form S-3 (File No. 33-63687), effective December 4, 1995 is incorporated herein by reference thereto.</w:t>
      </w: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Indenture dated September 1, 1998 related to the Trust's 8.75% Notes due December 1, 2009 filed as exhibit 4(a) to the Trust's Registration Statement on Form S-3 (File No. 333-63619) is incorporated herein by reference thereto.</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Credit Agreement Dated as of December 19, 1997, and as subsequently amended, by and among Federal Realty Investment Trust, as Borrower, The Financial Institutions Party Thereto and Their Assignees Under Section 13.5.(a), as Lenders, Corestates Bank, N.A., as Syndication Agent, First Union National Bank, as Administrative Agent and as Arranger, and Wells Fargo Bank, as Documentation Agent and as Co-Arranger.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Term Loan Agreement, dated as of December 22, 1998, and as subsequently amended, by and among Federal Realty Investment Trust, as Borrower, the Financial Institutions Party Thereto and Their Assignees Under Section 13.5.(d), as Lenders, Commerzbank Aktiengesellschaft, New York Branch as Syndication Agent, PNC, National Association, as Administrative Agent and Fleet National Bank, as documentation agent.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Building Loan Agreement among FRIT San Jose Town and Country Village LLC, San Jose Residential, Inc. and Street Retail, Inc. jointly and severally as Borrower, Commerzbank AG, New York Branch, Fleet National Bank, Bayerische Hypo-Und Vereinsbank AG, New York Branch and the Other Lenders named therein.</w:t>
      </w:r>
    </w:p>
    <w:p>
      <w:pPr>
        <w:sectPr>
          <w:pgSz w:w="11900" w:h="16838" w:orient="portrait"/>
          <w:cols w:equalWidth="0" w:num="1">
            <w:col w:w="10219"/>
          </w:cols>
          <w:pgMar w:left="240" w:top="723" w:right="1440" w:bottom="1440" w:gutter="0" w:footer="0" w:header="0"/>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Pricing Agreement</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 2001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38" w:lineRule="auto"/>
        <w:tabs>
          <w:tab w:leader="none" w:pos="3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As representatives of the several</w:t>
      </w:r>
    </w:p>
    <w:p>
      <w:pPr>
        <w:spacing w:after="0" w:line="237" w:lineRule="auto"/>
        <w:rPr>
          <w:sz w:val="20"/>
          <w:szCs w:val="20"/>
          <w:color w:val="auto"/>
        </w:rPr>
      </w:pPr>
      <w:r>
        <w:rPr>
          <w:rFonts w:ascii="Courier New" w:cs="Courier New" w:eastAsia="Courier New" w:hAnsi="Courier New"/>
          <w:sz w:val="18"/>
          <w:szCs w:val="18"/>
          <w:color w:val="auto"/>
        </w:rPr>
        <w:t>Underwriters named in Schedule I hereto</w:t>
      </w:r>
    </w:p>
    <w:p>
      <w:pPr>
        <w:ind w:left="220"/>
        <w:spacing w:after="0" w:line="238" w:lineRule="auto"/>
        <w:rPr>
          <w:sz w:val="20"/>
          <w:szCs w:val="20"/>
          <w:color w:val="auto"/>
        </w:rPr>
      </w:pPr>
      <w:r>
        <w:rPr>
          <w:rFonts w:ascii="Courier New" w:cs="Courier New" w:eastAsia="Courier New" w:hAnsi="Courier New"/>
          <w:sz w:val="18"/>
          <w:szCs w:val="18"/>
          <w:color w:val="auto"/>
        </w:rPr>
        <w:t>c/o Morgan Stanley &amp; Co. Incorporated</w:t>
      </w:r>
    </w:p>
    <w:p>
      <w:pPr>
        <w:ind w:left="220"/>
        <w:spacing w:after="0"/>
        <w:rPr>
          <w:sz w:val="20"/>
          <w:szCs w:val="20"/>
          <w:color w:val="auto"/>
        </w:rPr>
      </w:pPr>
      <w:r>
        <w:rPr>
          <w:rFonts w:ascii="Courier New" w:cs="Courier New" w:eastAsia="Courier New" w:hAnsi="Courier New"/>
          <w:sz w:val="18"/>
          <w:szCs w:val="18"/>
          <w:color w:val="auto"/>
        </w:rPr>
        <w:t>1585 Broadway</w:t>
      </w:r>
    </w:p>
    <w:p>
      <w:pPr>
        <w:ind w:left="220"/>
        <w:spacing w:after="0" w:line="237" w:lineRule="auto"/>
        <w:tabs>
          <w:tab w:leader="none" w:pos="2300" w:val="left"/>
        </w:tabs>
        <w:rPr>
          <w:sz w:val="20"/>
          <w:szCs w:val="20"/>
          <w:color w:val="auto"/>
        </w:rPr>
      </w:pPr>
      <w:r>
        <w:rPr>
          <w:rFonts w:ascii="Courier New" w:cs="Courier New" w:eastAsia="Courier New" w:hAnsi="Courier New"/>
          <w:sz w:val="18"/>
          <w:szCs w:val="18"/>
          <w:color w:val="auto"/>
        </w:rPr>
        <w:t>New York, New York</w:t>
        <w:tab/>
        <w:t>10036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Federal Realty Investment Trust, a Maryland real estate investment trust (the "Company"), proposes, subject to the terms and conditions stated herein and</w:t>
      </w:r>
    </w:p>
    <w:tbl>
      <w:tblPr>
        <w:tblLayout w:type="fixed"/>
        <w:tblInd w:w="0" w:type="dxa"/>
        <w:tblCellMar>
          <w:top w:w="0" w:type="dxa"/>
          <w:left w:w="0" w:type="dxa"/>
          <w:bottom w:w="0" w:type="dxa"/>
          <w:right w:w="0" w:type="dxa"/>
        </w:tblCellMar>
      </w:tblPr>
      <w:tr>
        <w:trPr>
          <w:trHeight w:val="199"/>
        </w:trPr>
        <w:tc>
          <w:tcPr>
            <w:tcW w:w="3220" w:type="dxa"/>
            <w:vAlign w:val="bottom"/>
            <w:gridSpan w:val="3"/>
          </w:tcPr>
          <w:p>
            <w:pPr>
              <w:spacing w:after="0" w:line="198" w:lineRule="exact"/>
              <w:rPr>
                <w:sz w:val="20"/>
                <w:szCs w:val="20"/>
                <w:color w:val="auto"/>
              </w:rPr>
            </w:pPr>
            <w:r>
              <w:rPr>
                <w:rFonts w:ascii="Courier New" w:cs="Courier New" w:eastAsia="Courier New" w:hAnsi="Courier New"/>
                <w:sz w:val="18"/>
                <w:szCs w:val="18"/>
                <w:color w:val="auto"/>
                <w:w w:val="98"/>
              </w:rPr>
              <w:t>in the Underwriting Agreement,</w:t>
            </w:r>
          </w:p>
        </w:tc>
        <w:tc>
          <w:tcPr>
            <w:tcW w:w="1380" w:type="dxa"/>
            <w:vAlign w:val="bottom"/>
          </w:tcPr>
          <w:p>
            <w:pPr>
              <w:jc w:val="right"/>
              <w:ind w:right="712"/>
              <w:spacing w:after="0" w:line="198" w:lineRule="exact"/>
              <w:rPr>
                <w:sz w:val="20"/>
                <w:szCs w:val="20"/>
                <w:color w:val="auto"/>
              </w:rPr>
            </w:pPr>
            <w:r>
              <w:rPr>
                <w:rFonts w:ascii="Courier New" w:cs="Courier New" w:eastAsia="Courier New" w:hAnsi="Courier New"/>
                <w:sz w:val="18"/>
                <w:szCs w:val="18"/>
                <w:color w:val="auto"/>
              </w:rPr>
              <w:t>dated</w:t>
            </w:r>
          </w:p>
        </w:tc>
        <w:tc>
          <w:tcPr>
            <w:tcW w:w="5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2001 (the</w:t>
            </w:r>
          </w:p>
        </w:tc>
        <w:tc>
          <w:tcPr>
            <w:tcW w:w="2220" w:type="dxa"/>
            <w:vAlign w:val="bottom"/>
            <w:gridSpan w:val="3"/>
          </w:tcPr>
          <w:p>
            <w:pPr>
              <w:spacing w:after="0" w:line="198" w:lineRule="exact"/>
              <w:rPr>
                <w:sz w:val="20"/>
                <w:szCs w:val="20"/>
                <w:color w:val="auto"/>
              </w:rPr>
            </w:pPr>
            <w:r>
              <w:rPr>
                <w:rFonts w:ascii="Courier New" w:cs="Courier New" w:eastAsia="Courier New" w:hAnsi="Courier New"/>
                <w:sz w:val="18"/>
                <w:szCs w:val="18"/>
                <w:color w:val="auto"/>
              </w:rPr>
              <w:t>"Underwriting</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Agreement"), between the</w:t>
            </w:r>
          </w:p>
        </w:tc>
        <w:tc>
          <w:tcPr>
            <w:tcW w:w="2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Company on the one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hand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Morgan</w:t>
            </w:r>
          </w:p>
        </w:tc>
        <w:tc>
          <w:tcPr>
            <w:tcW w:w="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Stanley</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 Co.</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Incorporated, [</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on the</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hand, to</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issue</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and sell to the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Underwriters named in</w:t>
            </w: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Schedule</w:t>
            </w:r>
          </w:p>
        </w:tc>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I hereto (the "Underwriters") the</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specified in Schedule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II</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hereto (the "Designated</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Each</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bl>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Shares pursuant to Section 12 of the Underwriting Agreement and the address of the Representatives referred to in such Section 12 are set forth at the end of Schedule II hereto.</w:t>
      </w:r>
    </w:p>
    <w:p>
      <w:pPr>
        <w:spacing w:after="0" w:line="21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An amendment to the Registration Statement, or a supplement to the Prospectus, as the case may be, relating to the Designated Shares, in the form heretofore delivered to you is now proposed to be filed with the Commission.</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w:t>
      </w:r>
    </w:p>
    <w:p>
      <w:pPr>
        <w:sectPr>
          <w:pgSz w:w="11900" w:h="16838" w:orient="portrait"/>
          <w:cols w:equalWidth="0" w:num="1">
            <w:col w:w="10219"/>
          </w:cols>
          <w:pgMar w:left="240" w:top="717" w:right="1440" w:bottom="1440" w:gutter="0" w:footer="0" w:header="0"/>
        </w:sectPr>
      </w:pPr>
    </w:p>
    <w:bookmarkStart w:id="26" w:name="page27"/>
    <w:bookmarkEnd w:id="26"/>
    <w:p>
      <w:pPr>
        <w:ind w:right="1779"/>
        <w:spacing w:after="0" w:line="236" w:lineRule="auto"/>
        <w:rPr>
          <w:sz w:val="20"/>
          <w:szCs w:val="20"/>
          <w:color w:val="auto"/>
        </w:rPr>
      </w:pPr>
      <w:r>
        <w:rPr>
          <w:rFonts w:ascii="Courier New" w:cs="Courier New" w:eastAsia="Courier New" w:hAnsi="Courier New"/>
          <w:sz w:val="18"/>
          <w:szCs w:val="18"/>
          <w:color w:val="auto"/>
        </w:rPr>
        <w:t>the Company, at the time and place and at the purchase price to the Underwriters set forth in Schedule II hereto, the number of Designated Shares set forth opposite the name of such Underwriter in Schedule I hereto.</w:t>
      </w: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10219"/>
          </w:cols>
          <w:pgMar w:left="240" w:top="723" w:right="1440" w:bottom="1440" w:gutter="0" w:footer="0" w:header="0"/>
        </w:sectPr>
      </w:pPr>
    </w:p>
    <w:bookmarkStart w:id="27" w:name="page28"/>
    <w:bookmarkEnd w:id="27"/>
    <w:p>
      <w:pPr>
        <w:ind w:right="1779" w:firstLine="527"/>
        <w:spacing w:after="0" w:line="271"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four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38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w:t>
      </w:r>
    </w:p>
    <w:p>
      <w:pPr>
        <w:jc w:val="center"/>
        <w:ind w:right="299"/>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38" w:lineRule="auto"/>
        <w:tabs>
          <w:tab w:leader="none" w:pos="3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MORGAN STANLEY &amp; CO.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7" w:lineRule="exact"/>
        <w:rPr>
          <w:sz w:val="20"/>
          <w:szCs w:val="20"/>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For themselves and as Representatives of the other Underwriters named in Schedule I hereto.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9"/>
          </w:cols>
          <w:pgMar w:left="240" w:top="723" w:right="1440" w:bottom="1440" w:gutter="0" w:footer="0" w:header="0"/>
        </w:sectPr>
      </w:pPr>
    </w:p>
    <w:bookmarkStart w:id="28" w:name="page29"/>
    <w:bookmarkEnd w:id="28"/>
    <w:p>
      <w:pPr>
        <w:ind w:left="3380"/>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9899"/>
          </w:cols>
          <w:pgMar w:left="56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Underwriter</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Designated Shares</w:t>
      </w:r>
    </w:p>
    <w:p>
      <w:pPr>
        <w:ind w:left="100"/>
        <w:spacing w:after="0"/>
        <w:rPr>
          <w:sz w:val="20"/>
          <w:szCs w:val="20"/>
          <w:color w:val="auto"/>
        </w:rPr>
      </w:pPr>
      <w:r>
        <w:rPr>
          <w:rFonts w:ascii="Courier New" w:cs="Courier New" w:eastAsia="Courier New" w:hAnsi="Courier New"/>
          <w:sz w:val="18"/>
          <w:szCs w:val="18"/>
          <w:color w:val="auto"/>
        </w:rPr>
        <w:t>to be Purchased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40" w:space="720"/>
            <w:col w:w="4939"/>
          </w:cols>
          <w:pgMar w:left="56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w:t>
      </w:r>
    </w:p>
    <w:p>
      <w:pPr>
        <w:sectPr>
          <w:pgSz w:w="11900" w:h="16838" w:orient="portrait"/>
          <w:cols w:equalWidth="0" w:num="1">
            <w:col w:w="9899"/>
          </w:cols>
          <w:pgMar w:left="560" w:top="723" w:right="1440" w:bottom="1440" w:gutter="0" w:footer="0" w:header="0"/>
          <w:type w:val="continuous"/>
        </w:sectPr>
      </w:pPr>
    </w:p>
    <w:bookmarkStart w:id="29" w:name="page30"/>
    <w:bookmarkEnd w:id="29"/>
    <w:p>
      <w:pPr>
        <w:ind w:left="3580"/>
        <w:spacing w:after="0"/>
        <w:rPr>
          <w:sz w:val="20"/>
          <w:szCs w:val="20"/>
          <w:color w:val="auto"/>
        </w:rPr>
      </w:pPr>
      <w:r>
        <w:rPr>
          <w:rFonts w:ascii="Courier New" w:cs="Courier New" w:eastAsia="Courier New" w:hAnsi="Courier New"/>
          <w:sz w:val="18"/>
          <w:szCs w:val="18"/>
          <w:color w:val="auto"/>
        </w:rPr>
        <w:t>SCHEDULE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Designated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Designated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Overallotment Option: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Initial Offering Price to Public: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price per share for Designated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 if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Specified Funds for Payment of Purchase Price: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Payment Dates, if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provisions, if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Sinking fund requirements, if applicable:</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Names and addresses of Representatives:</w:t>
      </w:r>
      <w:r>
        <w:rPr>
          <w:sz w:val="20"/>
          <w:szCs w:val="20"/>
          <w:color w:val="auto"/>
        </w:rPr>
        <w:tab/>
      </w:r>
      <w:r>
        <w:rPr>
          <w:rFonts w:ascii="Courier New" w:cs="Courier New" w:eastAsia="Courier New" w:hAnsi="Courier New"/>
          <w:sz w:val="16"/>
          <w:szCs w:val="16"/>
          <w:color w:val="auto"/>
        </w:rPr>
        <w:t>Morgan Stanley &amp; Co. Incorporated</w:t>
      </w:r>
    </w:p>
    <w:p>
      <w:pPr>
        <w:spacing w:after="0" w:line="207" w:lineRule="exact"/>
        <w:rPr>
          <w:sz w:val="20"/>
          <w:szCs w:val="20"/>
          <w:color w:val="auto"/>
        </w:rPr>
      </w:pPr>
    </w:p>
    <w:p>
      <w:pPr>
        <w:ind w:left="2960" w:right="2739" w:hanging="2949"/>
        <w:spacing w:after="0" w:line="235" w:lineRule="auto"/>
        <w:tabs>
          <w:tab w:leader="none" w:pos="2940" w:val="left"/>
        </w:tabs>
        <w:rPr>
          <w:sz w:val="20"/>
          <w:szCs w:val="20"/>
          <w:color w:val="auto"/>
        </w:rPr>
      </w:pPr>
      <w:r>
        <w:rPr>
          <w:rFonts w:ascii="Courier New" w:cs="Courier New" w:eastAsia="Courier New" w:hAnsi="Courier New"/>
          <w:sz w:val="18"/>
          <w:szCs w:val="18"/>
          <w:color w:val="auto"/>
        </w:rPr>
        <w:t>Address for Notices, etc.:</w:t>
        <w:tab/>
        <w:t>c/o Morgan Stanley &amp; Co. Incorporated, 1585 Broadway, New York, New York, 10036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Terms: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of Delivery: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Location:</w:t>
      </w:r>
    </w:p>
    <w:p>
      <w:pPr>
        <w:sectPr>
          <w:pgSz w:w="11900" w:h="16838" w:orient="portrait"/>
          <w:cols w:equalWidth="0" w:num="1">
            <w:col w:w="10219"/>
          </w:cols>
          <w:pgMar w:left="240" w:top="717" w:right="1440" w:bottom="1440" w:gutter="0" w:footer="0" w:header="0"/>
        </w:sectPr>
      </w:pPr>
    </w:p>
    <w:bookmarkStart w:id="30" w:name="page31"/>
    <w:bookmarkEnd w:id="30"/>
    <w:p>
      <w:pPr>
        <w:ind w:left="7600"/>
        <w:spacing w:after="0"/>
        <w:rPr>
          <w:sz w:val="20"/>
          <w:szCs w:val="20"/>
          <w:color w:val="auto"/>
        </w:rPr>
      </w:pPr>
      <w:r>
        <w:rPr>
          <w:rFonts w:ascii="Courier New" w:cs="Courier New" w:eastAsia="Courier New" w:hAnsi="Courier New"/>
          <w:sz w:val="16"/>
          <w:szCs w:val="16"/>
          <w:color w:val="auto"/>
        </w:rPr>
        <w:t>ANNEX II</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Section 7(e) of the Underwriting Agreement, Arthur Andersen LLP shall furnish letters to the Underwriters to the effect that (it being understood that Arthur Andersen LLP shall not be required to address any periods to April 1, 1999):</w:t>
      </w:r>
    </w:p>
    <w:p>
      <w:pPr>
        <w:spacing w:after="0" w:line="207" w:lineRule="exact"/>
        <w:rPr>
          <w:sz w:val="20"/>
          <w:szCs w:val="20"/>
          <w:color w:val="auto"/>
        </w:rPr>
      </w:pPr>
    </w:p>
    <w:p>
      <w:pPr>
        <w:ind w:left="860" w:right="2099" w:firstLine="833"/>
        <w:spacing w:after="0" w:line="279" w:lineRule="auto"/>
        <w:tabs>
          <w:tab w:leader="none" w:pos="201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are independent certified public accountants with respect to the Company and its subsidiaries within the meaning of the Act and the applicable published rules and regulations thereunder;</w:t>
      </w:r>
    </w:p>
    <w:p>
      <w:pPr>
        <w:spacing w:after="0" w:line="178" w:lineRule="exact"/>
        <w:rPr>
          <w:rFonts w:ascii="Courier New" w:cs="Courier New" w:eastAsia="Courier New" w:hAnsi="Courier New"/>
          <w:sz w:val="16"/>
          <w:szCs w:val="16"/>
          <w:color w:val="auto"/>
        </w:rPr>
      </w:pPr>
    </w:p>
    <w:p>
      <w:pPr>
        <w:ind w:left="860" w:right="1779" w:firstLine="833"/>
        <w:spacing w:after="0" w:line="270" w:lineRule="auto"/>
        <w:tabs>
          <w:tab w:leader="none" w:pos="201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and any supplementary financial information and schedules audited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furnished to the representatives of the Underwriters (the "Representatives");</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860" w:right="1779" w:firstLine="833"/>
        <w:spacing w:after="0" w:line="269" w:lineRule="auto"/>
        <w:tabs>
          <w:tab w:leader="none" w:pos="201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as indicated in their reports thereon copies of which are attached hereto; and on the basis of specified procedures including inquiries of officials of the Company who have responsibility for financial and accounting matters regarding whether the unaudited condensed consolidated financial statements referred to in paragraph (6)(a)(i)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860" w:right="1779" w:firstLine="833"/>
        <w:spacing w:after="0" w:line="237" w:lineRule="auto"/>
        <w:tabs>
          <w:tab w:leader="none" w:pos="201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five such fiscal years which were included</w:t>
      </w:r>
    </w:p>
    <w:p>
      <w:pPr>
        <w:sectPr>
          <w:pgSz w:w="11900" w:h="16838" w:orient="portrait"/>
          <w:cols w:equalWidth="0" w:num="1">
            <w:col w:w="10219"/>
          </w:cols>
          <w:pgMar w:left="240" w:top="723" w:right="1440" w:bottom="1440" w:gutter="0" w:footer="0" w:header="0"/>
        </w:sectPr>
      </w:pPr>
    </w:p>
    <w:bookmarkStart w:id="31" w:name="page32"/>
    <w:bookmarkEnd w:id="31"/>
    <w:p>
      <w:pPr>
        <w:ind w:right="1779"/>
        <w:spacing w:after="0" w:line="235" w:lineRule="auto"/>
        <w:rPr>
          <w:sz w:val="20"/>
          <w:szCs w:val="20"/>
          <w:color w:val="auto"/>
        </w:rPr>
      </w:pPr>
      <w:r>
        <w:rPr>
          <w:rFonts w:ascii="Courier New" w:cs="Courier New" w:eastAsia="Courier New" w:hAnsi="Courier New"/>
          <w:sz w:val="18"/>
          <w:szCs w:val="18"/>
          <w:color w:val="auto"/>
        </w:rPr>
        <w:t>or incorporated by reference in the Company's Annual Reports on Form 10-K for such fiscal years;</w:t>
      </w:r>
    </w:p>
    <w:p>
      <w:pPr>
        <w:spacing w:after="0" w:line="208" w:lineRule="exact"/>
        <w:rPr>
          <w:sz w:val="20"/>
          <w:szCs w:val="20"/>
          <w:color w:val="auto"/>
        </w:rPr>
      </w:pPr>
    </w:p>
    <w:p>
      <w:pPr>
        <w:ind w:right="1779" w:firstLine="833"/>
        <w:spacing w:after="0" w:line="237"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compared the information in the Prospectus under selected captions with the disclosure requirements of Regulation S-K and on the basis of limited procedures specified in such letter nothing came to their attention as a result to the foregoing procedures that caused them to believe that this information does not conform in all material respects with the disclosure requirements of Items 301, 302, 402 and 503(d), respectively, of Regulation S-K;</w:t>
      </w:r>
    </w:p>
    <w:p>
      <w:pPr>
        <w:spacing w:after="0" w:line="211" w:lineRule="exact"/>
        <w:rPr>
          <w:rFonts w:ascii="Courier New" w:cs="Courier New" w:eastAsia="Courier New" w:hAnsi="Courier New"/>
          <w:sz w:val="18"/>
          <w:szCs w:val="18"/>
          <w:color w:val="auto"/>
        </w:rPr>
      </w:pPr>
    </w:p>
    <w:p>
      <w:pPr>
        <w:ind w:right="1779" w:firstLine="833"/>
        <w:spacing w:after="0" w:line="270" w:lineRule="auto"/>
        <w:tabs>
          <w:tab w:leader="none" w:pos="115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188" w:lineRule="exact"/>
        <w:rPr>
          <w:sz w:val="20"/>
          <w:szCs w:val="20"/>
          <w:color w:val="auto"/>
        </w:rPr>
      </w:pPr>
    </w:p>
    <w:p>
      <w:pPr>
        <w:ind w:left="200" w:right="1779" w:firstLine="528"/>
        <w:spacing w:after="0" w:line="268" w:lineRule="auto"/>
        <w:tabs>
          <w:tab w:leader="none" w:pos="125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w:t>
      </w:r>
    </w:p>
    <w:p>
      <w:pPr>
        <w:spacing w:after="0" w:line="1" w:lineRule="exact"/>
        <w:rPr>
          <w:rFonts w:ascii="Courier New" w:cs="Courier New" w:eastAsia="Courier New" w:hAnsi="Courier New"/>
          <w:sz w:val="16"/>
          <w:szCs w:val="16"/>
          <w:color w:val="auto"/>
        </w:rPr>
      </w:pPr>
    </w:p>
    <w:p>
      <w:pPr>
        <w:ind w:left="200" w:right="1779" w:firstLine="1"/>
        <w:spacing w:after="0" w:line="237" w:lineRule="auto"/>
        <w:tabs>
          <w:tab w:leader="none" w:pos="72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209" w:lineRule="exact"/>
        <w:rPr>
          <w:rFonts w:ascii="Courier New" w:cs="Courier New" w:eastAsia="Courier New" w:hAnsi="Courier New"/>
          <w:sz w:val="18"/>
          <w:szCs w:val="18"/>
          <w:color w:val="auto"/>
        </w:rPr>
      </w:pPr>
    </w:p>
    <w:p>
      <w:pPr>
        <w:ind w:left="200" w:right="1779" w:firstLine="528"/>
        <w:spacing w:after="0" w:line="271" w:lineRule="auto"/>
        <w:tabs>
          <w:tab w:leader="none" w:pos="125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185" w:lineRule="exact"/>
        <w:rPr>
          <w:rFonts w:ascii="Courier New" w:cs="Courier New" w:eastAsia="Courier New" w:hAnsi="Courier New"/>
          <w:sz w:val="16"/>
          <w:szCs w:val="16"/>
          <w:color w:val="auto"/>
        </w:rPr>
      </w:pPr>
    </w:p>
    <w:p>
      <w:pPr>
        <w:ind w:left="200" w:right="1879" w:firstLine="528"/>
        <w:spacing w:after="0" w:line="271" w:lineRule="auto"/>
        <w:tabs>
          <w:tab w:leader="none" w:pos="125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383"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9359"/>
          </w:cols>
          <w:pgMar w:left="1100" w:top="723" w:right="1440" w:bottom="1440" w:gutter="0" w:footer="0" w:header="0"/>
        </w:sectPr>
      </w:pPr>
    </w:p>
    <w:bookmarkStart w:id="32" w:name="page33"/>
    <w:bookmarkEnd w:id="32"/>
    <w:p>
      <w:pPr>
        <w:ind w:left="-140" w:right="1779" w:firstLine="528"/>
        <w:spacing w:after="0" w:line="237" w:lineRule="auto"/>
        <w:tabs>
          <w:tab w:leader="none" w:pos="9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211" w:lineRule="exact"/>
        <w:rPr>
          <w:rFonts w:ascii="Courier New" w:cs="Courier New" w:eastAsia="Courier New" w:hAnsi="Courier New"/>
          <w:sz w:val="18"/>
          <w:szCs w:val="18"/>
          <w:color w:val="auto"/>
        </w:rPr>
      </w:pPr>
    </w:p>
    <w:p>
      <w:pPr>
        <w:ind w:left="-140" w:right="1779" w:firstLine="528"/>
        <w:spacing w:after="0" w:line="270" w:lineRule="auto"/>
        <w:tabs>
          <w:tab w:leader="none" w:pos="91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 specified date not more than three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or any decreases in consolidated net current assets or net assets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386" w:lineRule="exact"/>
        <w:rPr>
          <w:rFonts w:ascii="Courier New" w:cs="Courier New" w:eastAsia="Courier New" w:hAnsi="Courier New"/>
          <w:sz w:val="16"/>
          <w:szCs w:val="16"/>
          <w:color w:val="auto"/>
        </w:rPr>
      </w:pPr>
    </w:p>
    <w:p>
      <w:pPr>
        <w:ind w:left="-140" w:right="1879" w:firstLine="528"/>
        <w:spacing w:after="0" w:line="270" w:lineRule="auto"/>
        <w:tabs>
          <w:tab w:leader="none" w:pos="91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the date of the latest financial statements included or incorporated by reference in the Prospectus to the specified date referred to in clause (E) there were any decreases in revenue, or in income before gain on sale of real estate and extraordinary items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391" w:lineRule="exact"/>
        <w:rPr>
          <w:sz w:val="20"/>
          <w:szCs w:val="20"/>
          <w:color w:val="auto"/>
        </w:rPr>
      </w:pPr>
    </w:p>
    <w:p>
      <w:pPr>
        <w:ind w:left="-340" w:right="1779" w:firstLine="833"/>
        <w:spacing w:after="0" w:line="238" w:lineRule="auto"/>
        <w:tabs>
          <w:tab w:leader="none" w:pos="81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audit referred to in their reports included or incorporated by reference in the Prospectus and the limited procedures, inspection of minute books, inquiries and other procedures referred to in paragraphs (iii) and (vi) 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200" w:lineRule="exact"/>
        <w:rPr>
          <w:sz w:val="20"/>
          <w:szCs w:val="20"/>
          <w:color w:val="auto"/>
        </w:rPr>
      </w:pPr>
    </w:p>
    <w:p>
      <w:pPr>
        <w:spacing w:after="0" w:line="205"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019"/>
          </w:cols>
          <w:pgMar w:left="1440" w:top="723" w:right="1440" w:bottom="1440" w:gutter="0" w:footer="0" w:header="0"/>
        </w:sectPr>
      </w:pPr>
    </w:p>
    <w:bookmarkStart w:id="33" w:name="page34"/>
    <w:bookmarkEnd w:id="33"/>
    <w:p>
      <w:pPr>
        <w:ind w:right="1999" w:firstLine="843"/>
        <w:spacing w:after="0" w:line="237" w:lineRule="auto"/>
        <w:rPr>
          <w:sz w:val="20"/>
          <w:szCs w:val="20"/>
          <w:color w:val="auto"/>
        </w:rPr>
      </w:pPr>
      <w:r>
        <w:rPr>
          <w:rFonts w:ascii="Courier New" w:cs="Courier New" w:eastAsia="Courier New" w:hAnsi="Courier New"/>
          <w:sz w:val="18"/>
          <w:szCs w:val="18"/>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Shares for purposes of the letter delivered at the Time of Delivery for such Designated Shares.</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4"/>
        </w:trPr>
        <w:tc>
          <w:tcPr>
            <w:tcW w:w="8440" w:type="dxa"/>
            <w:vAlign w:val="bottom"/>
          </w:tcPr>
          <w:p>
            <w:pPr>
              <w:ind w:left="7480"/>
              <w:spacing w:after="0"/>
              <w:rPr>
                <w:sz w:val="20"/>
                <w:szCs w:val="20"/>
                <w:color w:val="auto"/>
              </w:rPr>
            </w:pPr>
            <w:r>
              <w:rPr>
                <w:rFonts w:ascii="Courier New" w:cs="Courier New" w:eastAsia="Courier New" w:hAnsi="Courier New"/>
                <w:sz w:val="18"/>
                <w:szCs w:val="18"/>
                <w:color w:val="auto"/>
                <w:w w:val="96"/>
              </w:rPr>
              <w:t>ANNEX III</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8440" w:type="dxa"/>
            <w:vAlign w:val="bottom"/>
          </w:tcPr>
          <w:p>
            <w:pPr>
              <w:spacing w:after="0"/>
              <w:rPr>
                <w:sz w:val="20"/>
                <w:szCs w:val="20"/>
                <w:color w:val="auto"/>
              </w:rPr>
            </w:pPr>
            <w:r>
              <w:rPr>
                <w:rFonts w:ascii="Courier New" w:cs="Courier New" w:eastAsia="Courier New" w:hAnsi="Courier New"/>
                <w:sz w:val="18"/>
                <w:szCs w:val="18"/>
                <w:color w:val="auto"/>
                <w:w w:val="97"/>
              </w:rPr>
              <w:t>Corporations (including Subsidiaries), Partnerships, Limited Liability Companies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Joint Ventures of Federal Realty Investment Trust ("FRIT")</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8440" w:type="dxa"/>
            <w:vAlign w:val="bottom"/>
          </w:tcPr>
          <w:p>
            <w:pPr>
              <w:spacing w:after="0"/>
              <w:rPr>
                <w:sz w:val="20"/>
                <w:szCs w:val="20"/>
                <w:color w:val="auto"/>
              </w:rPr>
            </w:pPr>
            <w:r>
              <w:rPr>
                <w:rFonts w:ascii="Courier New" w:cs="Courier New" w:eastAsia="Courier New" w:hAnsi="Courier New"/>
                <w:sz w:val="18"/>
                <w:szCs w:val="18"/>
                <w:color w:val="auto"/>
              </w:rPr>
              <w:t>FEDERAL REALTY INVESTMENT TRUST</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8440" w:type="dxa"/>
            <w:vAlign w:val="bottom"/>
          </w:tcPr>
          <w:p>
            <w:pPr>
              <w:spacing w:after="0"/>
              <w:rPr>
                <w:sz w:val="20"/>
                <w:szCs w:val="20"/>
                <w:color w:val="auto"/>
              </w:rPr>
            </w:pPr>
            <w:r>
              <w:rPr>
                <w:rFonts w:ascii="Courier New" w:cs="Courier New" w:eastAsia="Courier New" w:hAnsi="Courier New"/>
                <w:sz w:val="18"/>
                <w:szCs w:val="18"/>
                <w:color w:val="auto"/>
              </w:rPr>
              <w:t>FR Associates Limited Partnership ("FR")</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Andorra Associates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 FR)</w:t>
            </w:r>
          </w:p>
        </w:tc>
        <w:tc>
          <w:tcPr>
            <w:tcW w:w="940" w:type="dxa"/>
            <w:vAlign w:val="bottom"/>
          </w:tcPr>
          <w:p>
            <w:pPr>
              <w:spacing w:after="0"/>
              <w:rPr>
                <w:sz w:val="17"/>
                <w:szCs w:val="17"/>
                <w:color w:val="auto"/>
              </w:rPr>
            </w:pP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Governor Plaza Associates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 FR)</w:t>
            </w:r>
          </w:p>
        </w:tc>
        <w:tc>
          <w:tcPr>
            <w:tcW w:w="940" w:type="dxa"/>
            <w:vAlign w:val="bottom"/>
          </w:tcPr>
          <w:p>
            <w:pPr>
              <w:spacing w:after="0"/>
              <w:rPr>
                <w:sz w:val="17"/>
                <w:szCs w:val="17"/>
                <w:color w:val="auto"/>
              </w:rPr>
            </w:pP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Shopping Center Associates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 FR)</w:t>
            </w:r>
          </w:p>
        </w:tc>
        <w:tc>
          <w:tcPr>
            <w:tcW w:w="940" w:type="dxa"/>
            <w:vAlign w:val="bottom"/>
          </w:tcPr>
          <w:p>
            <w:pPr>
              <w:spacing w:after="0"/>
              <w:rPr>
                <w:sz w:val="17"/>
                <w:szCs w:val="17"/>
                <w:color w:val="auto"/>
              </w:rPr>
            </w:pP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Berman Enterprises Ii Limited Partnership</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 FR)</w:t>
            </w:r>
          </w:p>
        </w:tc>
        <w:tc>
          <w:tcPr>
            <w:tcW w:w="940" w:type="dxa"/>
            <w:vAlign w:val="bottom"/>
          </w:tcPr>
          <w:p>
            <w:pPr>
              <w:spacing w:after="0"/>
              <w:rPr>
                <w:sz w:val="17"/>
                <w:szCs w:val="17"/>
                <w:color w:val="auto"/>
              </w:rPr>
            </w:pP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Virginia Real Estate Investors Limited Partnership</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99.762% (.238% FR)</w:t>
            </w: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FRIT Escondido Promenade, LLC</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70%</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FRIT Leasing &amp; Development Services, Inc.</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Congressional Plaza Associates</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55.7065%</w:t>
            </w:r>
          </w:p>
        </w:tc>
        <w:tc>
          <w:tcPr>
            <w:tcW w:w="940" w:type="dxa"/>
            <w:vAlign w:val="bottom"/>
          </w:tcPr>
          <w:p>
            <w:pPr>
              <w:spacing w:after="0"/>
              <w:rPr>
                <w:sz w:val="17"/>
                <w:szCs w:val="17"/>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FR Pike 7 Limited Partnership (DownREIT)</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Partners L. P. (Master DownREIT- 576,669 units</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40 units (FRLP Inc.)</w:t>
            </w: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outstanding - 164,952 units have been redeemed)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Partners, Inc.</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Loehmann's Plaza Limited Partnership (DownREIT)</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 Gen. Partner Int.</w:t>
            </w: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FRLP, Inc.</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FR Leesburg Plaza, LP (DownREIT-352,500 total units issued)</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214,500 units (LLC)</w:t>
            </w: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FR Leesburg Plaza, LLC</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100%</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FRIT Property Services, Inc. (f/k/a Terranomics Retail</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100% nonvoting stock</w:t>
            </w: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Services, Inc. f/k/a TRS Acquisition, Inc.)</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Ravenswood Development Services, Inc.</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100% nonvoting stock</w:t>
            </w: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Management Services, Inc.</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FR Federal Plaza, Inc.</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FR Federal Plaza, LLC</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100%</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Inc.</w:t>
            </w: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608"/>
        </w:trPr>
        <w:tc>
          <w:tcPr>
            <w:tcW w:w="8440" w:type="dxa"/>
            <w:vAlign w:val="bottom"/>
          </w:tcPr>
          <w:p>
            <w:pPr>
              <w:spacing w:after="0"/>
              <w:rPr>
                <w:sz w:val="20"/>
                <w:szCs w:val="20"/>
                <w:color w:val="auto"/>
              </w:rPr>
            </w:pPr>
            <w:r>
              <w:rPr>
                <w:rFonts w:ascii="Courier New" w:cs="Courier New" w:eastAsia="Courier New" w:hAnsi="Courier New"/>
                <w:sz w:val="18"/>
                <w:szCs w:val="18"/>
                <w:color w:val="auto"/>
              </w:rPr>
              <w:t>STREET RETAIL, INC.</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8440" w:type="dxa"/>
            <w:vAlign w:val="bottom"/>
          </w:tcPr>
          <w:p>
            <w:pPr>
              <w:spacing w:after="0"/>
              <w:rPr>
                <w:sz w:val="20"/>
                <w:szCs w:val="20"/>
                <w:color w:val="auto"/>
              </w:rPr>
            </w:pPr>
            <w:r>
              <w:rPr>
                <w:rFonts w:ascii="Courier New" w:cs="Courier New" w:eastAsia="Courier New" w:hAnsi="Courier New"/>
                <w:sz w:val="18"/>
                <w:szCs w:val="18"/>
                <w:color w:val="auto"/>
              </w:rPr>
              <w:t>SRI Old Town, LLC</w:t>
            </w:r>
          </w:p>
        </w:tc>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100%</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Forest Hills I, LLC</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Forest Hills II, LLC</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Tempe I, LLC</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85%</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4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West GP, Inc. ("SRWGP")</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100%</w:t>
            </w: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voting stock</w:t>
            </w: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Street Retail West I, L.P.</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SRI)</w:t>
            </w: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Street Retail West II, L.P.</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SRI)</w:t>
            </w: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Street Retail West 3, L.P.</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SRI)</w:t>
            </w: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Street Retail West 4, L.P.</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Street Retail West 6, L.P.,</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ectPr>
          <w:pgSz w:w="11900" w:h="16838" w:orient="portrait"/>
          <w:cols w:equalWidth="0" w:num="1">
            <w:col w:w="10540"/>
          </w:cols>
          <w:pgMar w:left="240" w:top="717" w:right="111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tcPr>
          <w:p>
            <w:pPr>
              <w:ind w:left="1160"/>
              <w:spacing w:after="0"/>
              <w:rPr>
                <w:sz w:val="20"/>
                <w:szCs w:val="20"/>
                <w:color w:val="auto"/>
              </w:rPr>
            </w:pPr>
            <w:r>
              <w:rPr>
                <w:rFonts w:ascii="Courier New" w:cs="Courier New" w:eastAsia="Courier New" w:hAnsi="Courier New"/>
                <w:sz w:val="18"/>
                <w:szCs w:val="18"/>
                <w:color w:val="auto"/>
              </w:rPr>
              <w:t>Street Retail West 7, L.P.</w:t>
            </w:r>
          </w:p>
        </w:tc>
        <w:tc>
          <w:tcPr>
            <w:tcW w:w="2100" w:type="dxa"/>
            <w:vAlign w:val="bottom"/>
          </w:tcPr>
          <w:p>
            <w:pPr>
              <w:ind w:left="1580"/>
              <w:spacing w:after="0"/>
              <w:rPr>
                <w:sz w:val="20"/>
                <w:szCs w:val="20"/>
                <w:color w:val="auto"/>
              </w:rPr>
            </w:pPr>
            <w:r>
              <w:rPr>
                <w:rFonts w:ascii="Courier New" w:cs="Courier New" w:eastAsia="Courier New" w:hAnsi="Courier New"/>
                <w:sz w:val="18"/>
                <w:szCs w:val="18"/>
                <w:color w:val="auto"/>
              </w:rPr>
              <w:t>90%</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Street Retail West 10, L.P.</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90%</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Street Retail San Antonio, LP</w:t>
            </w:r>
          </w:p>
        </w:tc>
        <w:tc>
          <w:tcPr>
            <w:tcW w:w="2780" w:type="dxa"/>
            <w:vAlign w:val="bottom"/>
            <w:gridSpan w:val="2"/>
          </w:tcPr>
          <w:p>
            <w:pPr>
              <w:ind w:left="1580"/>
              <w:spacing w:after="0"/>
              <w:rPr>
                <w:sz w:val="20"/>
                <w:szCs w:val="20"/>
                <w:color w:val="auto"/>
              </w:rPr>
            </w:pPr>
            <w:r>
              <w:rPr>
                <w:rFonts w:ascii="Courier New" w:cs="Courier New" w:eastAsia="Courier New" w:hAnsi="Courier New"/>
                <w:sz w:val="18"/>
                <w:szCs w:val="18"/>
                <w:color w:val="auto"/>
                <w:w w:val="99"/>
              </w:rPr>
              <w:t>.1% SRI San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Antonio</w:t>
            </w:r>
          </w:p>
        </w:tc>
      </w:tr>
      <w:tr>
        <w:trPr>
          <w:trHeight w:val="203"/>
        </w:trPr>
        <w:tc>
          <w:tcPr>
            <w:tcW w:w="6860" w:type="dxa"/>
            <w:vAlign w:val="bottom"/>
          </w:tcPr>
          <w:p>
            <w:pPr>
              <w:spacing w:after="0"/>
              <w:rPr>
                <w:sz w:val="17"/>
                <w:szCs w:val="17"/>
                <w:color w:val="auto"/>
              </w:rPr>
            </w:pPr>
          </w:p>
        </w:tc>
        <w:tc>
          <w:tcPr>
            <w:tcW w:w="368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99.9% SRI Texas</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SRI San Antonio, Inc. (f/k/a Dim Sum, Inc.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100%</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68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f/k/a FR Acquisition Holding Co., Inc.)</w:t>
            </w: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SRI Texas, Inc.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100%</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JS&amp;DB, Inc.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100%</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SRI Holding Company, Inc.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100%</w:t>
            </w:r>
          </w:p>
        </w:tc>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nonvoting stock</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West 9, L.P.</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90%</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FRIT San Jose Town and Country Village, LLC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75%</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San Jose Residential, Inc.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100%</w:t>
            </w:r>
          </w:p>
        </w:tc>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nonvoting stock</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580 Market, LLC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100%</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Santana Row Services, Inc.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100%</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w:t>
            </w:r>
          </w:p>
        </w:tc>
        <w:tc>
          <w:tcPr>
            <w:tcW w:w="9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Santana Row ROF, Inc.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100%</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w:t>
            </w:r>
          </w:p>
        </w:tc>
        <w:tc>
          <w:tcPr>
            <w:tcW w:w="9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La Rive Gauche San Jose, LLC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2"/>
              </w:rPr>
              <w:t>37.5%</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Straits Santana Row, LLC</w:t>
            </w:r>
          </w:p>
        </w:tc>
        <w:tc>
          <w:tcPr>
            <w:tcW w:w="21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90%</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Santana Row Association, a California non-profit mutual benefit corporation</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III-2</w:t>
      </w:r>
    </w:p>
    <w:p>
      <w:pPr>
        <w:sectPr>
          <w:pgSz w:w="11900" w:h="16838" w:orient="portrait"/>
          <w:cols w:equalWidth="0" w:num="1">
            <w:col w:w="10540"/>
          </w:cols>
          <w:pgMar w:left="240" w:top="1122" w:right="1119" w:bottom="1440" w:gutter="0" w:footer="0" w:header="0"/>
        </w:sectPr>
      </w:pPr>
    </w:p>
    <w:bookmarkStart w:id="36" w:name="page37"/>
    <w:bookmarkEnd w:id="36"/>
    <w:p>
      <w:pPr>
        <w:ind w:left="3280"/>
        <w:spacing w:after="0"/>
        <w:rPr>
          <w:sz w:val="20"/>
          <w:szCs w:val="20"/>
          <w:color w:val="auto"/>
        </w:rPr>
      </w:pPr>
      <w:r>
        <w:rPr>
          <w:rFonts w:ascii="Courier New" w:cs="Courier New" w:eastAsia="Courier New" w:hAnsi="Courier New"/>
          <w:sz w:val="18"/>
          <w:szCs w:val="18"/>
          <w:color w:val="auto"/>
        </w:rPr>
        <w:t>Pricing Agreement</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November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38" w:lineRule="auto"/>
        <w:rPr>
          <w:sz w:val="20"/>
          <w:szCs w:val="20"/>
          <w:color w:val="auto"/>
        </w:rPr>
      </w:pPr>
      <w:r>
        <w:rPr>
          <w:rFonts w:ascii="Courier New" w:cs="Courier New" w:eastAsia="Courier New" w:hAnsi="Courier New"/>
          <w:sz w:val="18"/>
          <w:szCs w:val="18"/>
          <w:color w:val="auto"/>
        </w:rPr>
        <w:t>First Union Securities, Inc.</w:t>
      </w:r>
    </w:p>
    <w:p>
      <w:pPr>
        <w:spacing w:after="0"/>
        <w:rPr>
          <w:sz w:val="20"/>
          <w:szCs w:val="20"/>
          <w:color w:val="auto"/>
        </w:rPr>
      </w:pPr>
      <w:r>
        <w:rPr>
          <w:rFonts w:ascii="Courier New" w:cs="Courier New" w:eastAsia="Courier New" w:hAnsi="Courier New"/>
          <w:sz w:val="18"/>
          <w:szCs w:val="18"/>
          <w:color w:val="auto"/>
        </w:rPr>
        <w:t>Merrill Lynch, Pierce, Fenner &amp; Smith</w:t>
      </w:r>
    </w:p>
    <w:p>
      <w:pPr>
        <w:ind w:left="1280"/>
        <w:spacing w:after="0" w:line="237" w:lineRule="auto"/>
        <w:rPr>
          <w:sz w:val="20"/>
          <w:szCs w:val="20"/>
          <w:color w:val="auto"/>
        </w:rPr>
      </w:pPr>
      <w:r>
        <w:rPr>
          <w:rFonts w:ascii="Courier New" w:cs="Courier New" w:eastAsia="Courier New" w:hAnsi="Courier New"/>
          <w:sz w:val="18"/>
          <w:szCs w:val="18"/>
          <w:color w:val="auto"/>
        </w:rPr>
        <w:t>Incorporated</w:t>
      </w:r>
    </w:p>
    <w:p>
      <w:pPr>
        <w:spacing w:after="0" w:line="238" w:lineRule="auto"/>
        <w:rPr>
          <w:sz w:val="20"/>
          <w:szCs w:val="20"/>
          <w:color w:val="auto"/>
        </w:rPr>
      </w:pPr>
      <w:r>
        <w:rPr>
          <w:rFonts w:ascii="Courier New" w:cs="Courier New" w:eastAsia="Courier New" w:hAnsi="Courier New"/>
          <w:sz w:val="18"/>
          <w:szCs w:val="18"/>
          <w:color w:val="auto"/>
        </w:rPr>
        <w:t>Salomon Smith Barney Inc.</w:t>
      </w:r>
    </w:p>
    <w:p>
      <w:pPr>
        <w:spacing w:after="0"/>
        <w:rPr>
          <w:sz w:val="20"/>
          <w:szCs w:val="20"/>
          <w:color w:val="auto"/>
        </w:rPr>
      </w:pPr>
      <w:r>
        <w:rPr>
          <w:rFonts w:ascii="Courier New" w:cs="Courier New" w:eastAsia="Courier New" w:hAnsi="Courier New"/>
          <w:sz w:val="18"/>
          <w:szCs w:val="18"/>
          <w:color w:val="auto"/>
        </w:rPr>
        <w:t>As representatives of the several</w:t>
      </w:r>
    </w:p>
    <w:p>
      <w:pPr>
        <w:spacing w:after="0" w:line="237" w:lineRule="auto"/>
        <w:rPr>
          <w:sz w:val="20"/>
          <w:szCs w:val="20"/>
          <w:color w:val="auto"/>
        </w:rPr>
      </w:pPr>
      <w:r>
        <w:rPr>
          <w:rFonts w:ascii="Courier New" w:cs="Courier New" w:eastAsia="Courier New" w:hAnsi="Courier New"/>
          <w:sz w:val="18"/>
          <w:szCs w:val="18"/>
          <w:color w:val="auto"/>
        </w:rPr>
        <w:t>Underwriters named in Schedule I hereto</w:t>
      </w:r>
    </w:p>
    <w:p>
      <w:pPr>
        <w:ind w:left="220"/>
        <w:spacing w:after="0"/>
        <w:rPr>
          <w:sz w:val="20"/>
          <w:szCs w:val="20"/>
          <w:color w:val="auto"/>
        </w:rPr>
      </w:pPr>
      <w:r>
        <w:rPr>
          <w:rFonts w:ascii="Courier New" w:cs="Courier New" w:eastAsia="Courier New" w:hAnsi="Courier New"/>
          <w:sz w:val="18"/>
          <w:szCs w:val="18"/>
          <w:color w:val="auto"/>
        </w:rPr>
        <w:t>c/o Morgan Stanley &amp; Co. Incorporated</w:t>
      </w:r>
    </w:p>
    <w:p>
      <w:pPr>
        <w:ind w:left="220"/>
        <w:spacing w:after="0" w:line="237" w:lineRule="auto"/>
        <w:rPr>
          <w:sz w:val="20"/>
          <w:szCs w:val="20"/>
          <w:color w:val="auto"/>
        </w:rPr>
      </w:pPr>
      <w:r>
        <w:rPr>
          <w:rFonts w:ascii="Courier New" w:cs="Courier New" w:eastAsia="Courier New" w:hAnsi="Courier New"/>
          <w:sz w:val="18"/>
          <w:szCs w:val="18"/>
          <w:color w:val="auto"/>
        </w:rPr>
        <w:t>1585 Broadway</w:t>
      </w: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New York, New York</w:t>
        <w:tab/>
        <w:t>10036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Federal Realty Investment Trust, a Maryland real estate investment trust (the "Company"), proposes, subject to the terms and conditions stated herein and in the Underwriting Agreement, dated November 19, 2001 (the "Underwriting Agreement"), between the Company on the one hand and Morgan Stanley &amp; Co. Incorporated, First Union Securities, Inc., Merrill Lynch, Pierce, Fenner &amp; Smith Incorporated and Salomon Smith Barney Inc. on the other hand, to issue and sell to the Underwriters named in Schedule I hereto (the "Underwriters") the Shares specified in Schedule II hereto (the "Designated Shares").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Underwriters of the Designated Shares pursuant to Section 12 of the Underwriting Agreement and the address of the Representatives referred to in such Section 12 are set forth at the end of Schedule II hereto.</w:t>
      </w:r>
    </w:p>
    <w:p>
      <w:pPr>
        <w:spacing w:after="0" w:line="200" w:lineRule="exact"/>
        <w:rPr>
          <w:sz w:val="20"/>
          <w:szCs w:val="20"/>
          <w:color w:val="auto"/>
        </w:rPr>
      </w:pPr>
    </w:p>
    <w:p>
      <w:pPr>
        <w:spacing w:after="0" w:line="394"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An amendment to the Registration Statement, or a supplement to the Prospectus, as the case may be, relating to the Designated Shares, in the form heretofore delivered to you is now proposed to be filed with the Commission.</w:t>
      </w:r>
    </w:p>
    <w:p>
      <w:pPr>
        <w:spacing w:after="0" w:line="17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Subject to the terms and conditions set forth herein and in the Underwriting Agreement incorporated herein by reference, the Company agrees to issue and sell to each of the</w:t>
      </w:r>
    </w:p>
    <w:p>
      <w:pPr>
        <w:sectPr>
          <w:pgSz w:w="11900" w:h="16838" w:orient="portrait"/>
          <w:cols w:equalWidth="0" w:num="1">
            <w:col w:w="10219"/>
          </w:cols>
          <w:pgMar w:left="240" w:top="717" w:right="1440" w:bottom="1440" w:gutter="0" w:footer="0" w:header="0"/>
        </w:sectPr>
      </w:pPr>
    </w:p>
    <w:bookmarkStart w:id="37" w:name="page38"/>
    <w:bookmarkEnd w:id="37"/>
    <w:p>
      <w:pPr>
        <w:ind w:right="1779"/>
        <w:spacing w:after="0" w:line="237" w:lineRule="auto"/>
        <w:rPr>
          <w:sz w:val="20"/>
          <w:szCs w:val="20"/>
          <w:color w:val="auto"/>
        </w:rPr>
      </w:pPr>
      <w:r>
        <w:rPr>
          <w:rFonts w:ascii="Courier New" w:cs="Courier New" w:eastAsia="Courier New" w:hAnsi="Courier New"/>
          <w:sz w:val="18"/>
          <w:szCs w:val="18"/>
          <w:color w:val="auto"/>
        </w:rPr>
        <w:t>Underwriters, and each of the Underwriters agrees, severally and not jointly, to purchase from the Company, at the time and place and at the purchase price to the Underwriters set forth in Schedule II hereto, the number of Designated Shares set forth opposite the name of such Underwriter in Schedule I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8" w:name="page39"/>
    <w:bookmarkEnd w:id="38"/>
    <w:p>
      <w:pPr>
        <w:ind w:right="1779" w:firstLine="527"/>
        <w:spacing w:after="0" w:line="271"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four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38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NANCY J. HERMAN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Nancy J. Herman</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 - General</w:t>
      </w:r>
    </w:p>
    <w:p>
      <w:pPr>
        <w:ind w:left="4640"/>
        <w:spacing w:after="0" w:line="238" w:lineRule="auto"/>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38" w:lineRule="auto"/>
        <w:rPr>
          <w:sz w:val="20"/>
          <w:szCs w:val="20"/>
          <w:color w:val="auto"/>
        </w:rPr>
      </w:pPr>
      <w:r>
        <w:rPr>
          <w:rFonts w:ascii="Courier New" w:cs="Courier New" w:eastAsia="Courier New" w:hAnsi="Courier New"/>
          <w:sz w:val="18"/>
          <w:szCs w:val="18"/>
          <w:color w:val="auto"/>
        </w:rPr>
        <w:t>FIRST UNION SECURITIES, INC.</w:t>
      </w:r>
    </w:p>
    <w:p>
      <w:pPr>
        <w:spacing w:after="0"/>
        <w:rPr>
          <w:sz w:val="20"/>
          <w:szCs w:val="20"/>
          <w:color w:val="auto"/>
        </w:rPr>
      </w:pPr>
      <w:r>
        <w:rPr>
          <w:rFonts w:ascii="Courier New" w:cs="Courier New" w:eastAsia="Courier New" w:hAnsi="Courier New"/>
          <w:sz w:val="18"/>
          <w:szCs w:val="18"/>
          <w:color w:val="auto"/>
        </w:rPr>
        <w:t>MERRILL LYNCH, PIERCE, FENNER &amp; SMITH</w:t>
      </w:r>
    </w:p>
    <w:p>
      <w:pPr>
        <w:ind w:left="1280"/>
        <w:spacing w:after="0" w:line="237" w:lineRule="auto"/>
        <w:rPr>
          <w:sz w:val="20"/>
          <w:szCs w:val="20"/>
          <w:color w:val="auto"/>
        </w:rPr>
      </w:pPr>
      <w:r>
        <w:rPr>
          <w:rFonts w:ascii="Courier New" w:cs="Courier New" w:eastAsia="Courier New" w:hAnsi="Courier New"/>
          <w:sz w:val="18"/>
          <w:szCs w:val="18"/>
          <w:color w:val="auto"/>
        </w:rPr>
        <w:t>INCORPORATED</w:t>
      </w:r>
    </w:p>
    <w:p>
      <w:pPr>
        <w:spacing w:after="0" w:line="238" w:lineRule="auto"/>
        <w:rPr>
          <w:sz w:val="20"/>
          <w:szCs w:val="20"/>
          <w:color w:val="auto"/>
        </w:rPr>
      </w:pPr>
      <w:r>
        <w:rPr>
          <w:rFonts w:ascii="Courier New" w:cs="Courier New" w:eastAsia="Courier New" w:hAnsi="Courier New"/>
          <w:sz w:val="18"/>
          <w:szCs w:val="18"/>
          <w:color w:val="auto"/>
        </w:rPr>
        <w:t>SALOMON SMITH BARNEY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MORGAN STANLEY &amp; CO.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HAROLD J. HENDERSHOT III</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Harold J. Hendershot III</w:t>
      </w:r>
    </w:p>
    <w:p>
      <w:pPr>
        <w:ind w:left="320"/>
        <w:spacing w:after="0"/>
        <w:tabs>
          <w:tab w:leader="none" w:pos="11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Director</w:t>
      </w:r>
    </w:p>
    <w:p>
      <w:pPr>
        <w:spacing w:after="0" w:line="207" w:lineRule="exact"/>
        <w:rPr>
          <w:sz w:val="20"/>
          <w:szCs w:val="20"/>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For themselves and as Representatives of the other Underwriters named in Schedule I hereto.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4"/>
        </w:trPr>
        <w:tc>
          <w:tcPr>
            <w:tcW w:w="7020" w:type="dxa"/>
            <w:vAlign w:val="bottom"/>
          </w:tcPr>
          <w:p>
            <w:pPr>
              <w:ind w:left="3580"/>
              <w:spacing w:after="0"/>
              <w:rPr>
                <w:sz w:val="20"/>
                <w:szCs w:val="20"/>
                <w:color w:val="auto"/>
              </w:rPr>
            </w:pPr>
            <w:r>
              <w:rPr>
                <w:rFonts w:ascii="Courier New" w:cs="Courier New" w:eastAsia="Courier New" w:hAnsi="Courier New"/>
                <w:sz w:val="18"/>
                <w:szCs w:val="18"/>
                <w:color w:val="auto"/>
              </w:rPr>
              <w:t>SCHEDULE I</w:t>
            </w:r>
          </w:p>
        </w:tc>
        <w:tc>
          <w:tcPr>
            <w:tcW w:w="3320" w:type="dxa"/>
            <w:vAlign w:val="bottom"/>
          </w:tcPr>
          <w:p>
            <w:pPr>
              <w:spacing w:after="0"/>
              <w:rPr>
                <w:sz w:val="17"/>
                <w:szCs w:val="17"/>
                <w:color w:val="auto"/>
              </w:rPr>
            </w:pPr>
          </w:p>
        </w:tc>
      </w:tr>
      <w:tr>
        <w:trPr>
          <w:trHeight w:val="810"/>
        </w:trPr>
        <w:tc>
          <w:tcPr>
            <w:tcW w:w="7020" w:type="dxa"/>
            <w:vAlign w:val="bottom"/>
          </w:tcPr>
          <w:p>
            <w:pPr>
              <w:spacing w:after="0"/>
              <w:rPr>
                <w:sz w:val="24"/>
                <w:szCs w:val="24"/>
                <w:color w:val="auto"/>
              </w:rPr>
            </w:pPr>
          </w:p>
        </w:tc>
        <w:tc>
          <w:tcPr>
            <w:tcW w:w="3320" w:type="dxa"/>
            <w:vAlign w:val="bottom"/>
          </w:tcPr>
          <w:p>
            <w:pPr>
              <w:jc w:val="center"/>
              <w:ind w:left="1012"/>
              <w:spacing w:after="0"/>
              <w:rPr>
                <w:sz w:val="20"/>
                <w:szCs w:val="20"/>
                <w:color w:val="auto"/>
              </w:rPr>
            </w:pPr>
            <w:r>
              <w:rPr>
                <w:rFonts w:ascii="Courier New" w:cs="Courier New" w:eastAsia="Courier New" w:hAnsi="Courier New"/>
                <w:sz w:val="18"/>
                <w:szCs w:val="18"/>
                <w:color w:val="auto"/>
                <w:w w:val="96"/>
              </w:rPr>
              <w:t>Number of</w:t>
            </w:r>
          </w:p>
        </w:tc>
      </w:tr>
      <w:tr>
        <w:trPr>
          <w:trHeight w:val="203"/>
        </w:trPr>
        <w:tc>
          <w:tcPr>
            <w:tcW w:w="7020" w:type="dxa"/>
            <w:vAlign w:val="bottom"/>
          </w:tcPr>
          <w:p>
            <w:pPr>
              <w:spacing w:after="0"/>
              <w:rPr>
                <w:sz w:val="17"/>
                <w:szCs w:val="17"/>
                <w:color w:val="auto"/>
              </w:rPr>
            </w:pPr>
          </w:p>
        </w:tc>
        <w:tc>
          <w:tcPr>
            <w:tcW w:w="332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6"/>
              </w:rPr>
              <w:t>Designated Shares</w:t>
            </w:r>
          </w:p>
        </w:tc>
      </w:tr>
      <w:tr>
        <w:trPr>
          <w:trHeight w:val="203"/>
        </w:trPr>
        <w:tc>
          <w:tcPr>
            <w:tcW w:w="7020" w:type="dxa"/>
            <w:vAlign w:val="bottom"/>
          </w:tcPr>
          <w:p>
            <w:pPr>
              <w:ind w:left="2960"/>
              <w:spacing w:after="0" w:line="203" w:lineRule="exact"/>
              <w:rPr>
                <w:sz w:val="20"/>
                <w:szCs w:val="20"/>
                <w:color w:val="auto"/>
              </w:rPr>
            </w:pPr>
            <w:r>
              <w:rPr>
                <w:rFonts w:ascii="Courier New" w:cs="Courier New" w:eastAsia="Courier New" w:hAnsi="Courier New"/>
                <w:sz w:val="18"/>
                <w:szCs w:val="18"/>
                <w:color w:val="auto"/>
              </w:rPr>
              <w:t>Underwriter</w:t>
            </w:r>
          </w:p>
        </w:tc>
        <w:tc>
          <w:tcPr>
            <w:tcW w:w="332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to be Purchased</w:t>
            </w:r>
          </w:p>
        </w:tc>
      </w:tr>
      <w:tr>
        <w:trPr>
          <w:trHeight w:val="203"/>
        </w:trPr>
        <w:tc>
          <w:tcPr>
            <w:tcW w:w="702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Morgan Stanley &amp; Co. Incorporated</w:t>
            </w:r>
          </w:p>
        </w:tc>
        <w:tc>
          <w:tcPr>
            <w:tcW w:w="3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1,047,500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Union Securities,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1,047,500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 Fenner &amp; Smith</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1,047,500</w:t>
            </w:r>
          </w:p>
        </w:tc>
      </w:tr>
      <w:tr>
        <w:trPr>
          <w:trHeight w:val="203"/>
        </w:trPr>
        <w:tc>
          <w:tcPr>
            <w:tcW w:w="70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Incorporated</w:t>
            </w:r>
          </w:p>
        </w:tc>
        <w:tc>
          <w:tcPr>
            <w:tcW w:w="332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Salomon Smith Barney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1,047,500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A.G. Edwards &amp; Sons,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of America Securities LLC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Bear, Stearns &amp; Co.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CIBC World Markets Corp.</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Dain Rauscher Wessels</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Deutsche Banc Alex. Brown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H&amp;R Block Financial Advisors,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HSBC Securities (USA)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McDonald Investments Inc., a KeyCorp Company</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Prudential Securities Incorporated</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Quick and Reilly</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Raymond James &amp; Associates,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Schwab &amp; Co.,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Tucker Anthony Incorporated</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U.S. Bancorp Piper Jaffray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Wachovia Securities,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Wells Fargo Van Kasper, LLC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Advest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W. Baird &amp; Co. Incorporated</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BB&amp;T Capital Markets, a Division of Scott &amp; Stringfellow</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Blair &amp; Co.</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Davenport &amp; Company LLC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D.A. Davidson &amp; Co.</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Fahnestock &amp; Co.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Fifth Third Securities,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Gibraltar Securities Co.</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Gruntal &amp; Co., L.L.C.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J.J.B. Hilliard, W.L. Lyons,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Janney Montgomery Scott LLC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C.L. King &amp; Associates,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McGinn, Smith &amp; Co.,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Mesirow Financial,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Parker/Hunter Incorporated</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Pershing/ a Division of Donaldson, Lufkin &amp; Jenrette</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Ryan, Beck &amp; Co. LLC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Southwest Securities, Inc.</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Stifel, Nicolaus &amp; Company Incorporated</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20" w:type="dxa"/>
            <w:vAlign w:val="bottom"/>
          </w:tcPr>
          <w:p>
            <w:pPr>
              <w:spacing w:after="0"/>
              <w:rPr>
                <w:sz w:val="17"/>
                <w:szCs w:val="17"/>
                <w:color w:val="auto"/>
              </w:rPr>
            </w:pP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5,000,000</w:t>
            </w:r>
          </w:p>
        </w:tc>
      </w:tr>
      <w:tr>
        <w:trPr>
          <w:trHeight w:val="203"/>
        </w:trPr>
        <w:tc>
          <w:tcPr>
            <w:tcW w:w="7020" w:type="dxa"/>
            <w:vAlign w:val="bottom"/>
          </w:tcPr>
          <w:p>
            <w:pPr>
              <w:spacing w:after="0"/>
              <w:rPr>
                <w:sz w:val="17"/>
                <w:szCs w:val="17"/>
                <w:color w:val="auto"/>
              </w:rPr>
            </w:pP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340"/>
          </w:cols>
          <w:pgMar w:left="240" w:top="717" w:right="1319" w:bottom="1440" w:gutter="0" w:footer="0" w:header="0"/>
        </w:sectPr>
      </w:pPr>
    </w:p>
    <w:bookmarkStart w:id="40" w:name="page41"/>
    <w:bookmarkEnd w:id="40"/>
    <w:p>
      <w:pPr>
        <w:ind w:left="3580"/>
        <w:spacing w:after="0"/>
        <w:rPr>
          <w:sz w:val="20"/>
          <w:szCs w:val="20"/>
          <w:color w:val="auto"/>
        </w:rPr>
      </w:pPr>
      <w:r>
        <w:rPr>
          <w:rFonts w:ascii="Courier New" w:cs="Courier New" w:eastAsia="Courier New" w:hAnsi="Courier New"/>
          <w:sz w:val="18"/>
          <w:szCs w:val="18"/>
          <w:color w:val="auto"/>
        </w:rPr>
        <w:t>SCHEDULE II</w:t>
      </w:r>
    </w:p>
    <w:p>
      <w:pPr>
        <w:spacing w:after="0" w:line="200" w:lineRule="exact"/>
        <w:rPr>
          <w:sz w:val="20"/>
          <w:szCs w:val="20"/>
          <w:color w:val="auto"/>
        </w:rPr>
      </w:pPr>
    </w:p>
    <w:p>
      <w:pPr>
        <w:spacing w:after="0" w:line="209" w:lineRule="exact"/>
        <w:rPr>
          <w:sz w:val="20"/>
          <w:szCs w:val="20"/>
          <w:color w:val="auto"/>
        </w:rPr>
      </w:pPr>
    </w:p>
    <w:p>
      <w:pPr>
        <w:ind w:left="3060" w:right="2199" w:hanging="3054"/>
        <w:spacing w:after="0" w:line="235" w:lineRule="auto"/>
        <w:tabs>
          <w:tab w:leader="none" w:pos="3040" w:val="left"/>
        </w:tabs>
        <w:rPr>
          <w:sz w:val="20"/>
          <w:szCs w:val="20"/>
          <w:color w:val="auto"/>
        </w:rPr>
      </w:pPr>
      <w:r>
        <w:rPr>
          <w:rFonts w:ascii="Courier New" w:cs="Courier New" w:eastAsia="Courier New" w:hAnsi="Courier New"/>
          <w:sz w:val="18"/>
          <w:szCs w:val="18"/>
          <w:color w:val="auto"/>
        </w:rPr>
        <w:t>Title of Designated Shares:</w:t>
        <w:tab/>
        <w:t>8 1/2% Series B Cumulative Redeemable Preferred Shares</w:t>
      </w:r>
    </w:p>
    <w:p>
      <w:pPr>
        <w:spacing w:after="0" w:line="20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Number of Designated Shares:</w:t>
      </w:r>
      <w:r>
        <w:rPr>
          <w:sz w:val="20"/>
          <w:szCs w:val="20"/>
          <w:color w:val="auto"/>
        </w:rPr>
        <w:tab/>
      </w:r>
      <w:r>
        <w:rPr>
          <w:rFonts w:ascii="Courier New" w:cs="Courier New" w:eastAsia="Courier New" w:hAnsi="Courier New"/>
          <w:sz w:val="16"/>
          <w:szCs w:val="16"/>
          <w:color w:val="auto"/>
        </w:rPr>
        <w:t>5,000,000</w:t>
      </w:r>
    </w:p>
    <w:p>
      <w:pPr>
        <w:spacing w:after="0" w:line="201"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Overallotment Option:</w:t>
      </w:r>
      <w:r>
        <w:rPr>
          <w:sz w:val="20"/>
          <w:szCs w:val="20"/>
          <w:color w:val="auto"/>
        </w:rPr>
        <w:tab/>
      </w:r>
      <w:r>
        <w:rPr>
          <w:rFonts w:ascii="Courier New" w:cs="Courier New" w:eastAsia="Courier New" w:hAnsi="Courier New"/>
          <w:sz w:val="16"/>
          <w:szCs w:val="16"/>
          <w:color w:val="auto"/>
        </w:rPr>
        <w:t>750,000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Initial Offering Price to Public: $25.00</w:t>
      </w:r>
    </w:p>
    <w:p>
      <w:pPr>
        <w:spacing w:after="0" w:line="201"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Purchase price per share for Designated Shares:</w:t>
      </w:r>
      <w:r>
        <w:rPr>
          <w:sz w:val="20"/>
          <w:szCs w:val="20"/>
          <w:color w:val="auto"/>
        </w:rPr>
        <w:tab/>
      </w:r>
      <w:r>
        <w:rPr>
          <w:rFonts w:ascii="Courier New" w:cs="Courier New" w:eastAsia="Courier New" w:hAnsi="Courier New"/>
          <w:sz w:val="16"/>
          <w:szCs w:val="16"/>
          <w:color w:val="auto"/>
        </w:rPr>
        <w:t>$24.2125</w:t>
      </w:r>
    </w:p>
    <w:p>
      <w:pPr>
        <w:spacing w:after="0" w:line="207" w:lineRule="exact"/>
        <w:rPr>
          <w:sz w:val="20"/>
          <w:szCs w:val="20"/>
          <w:color w:val="auto"/>
        </w:rPr>
      </w:pPr>
    </w:p>
    <w:p>
      <w:pPr>
        <w:ind w:left="2640" w:right="2199" w:hanging="2633"/>
        <w:spacing w:after="0" w:line="235" w:lineRule="auto"/>
        <w:tabs>
          <w:tab w:leader="none" w:pos="2620" w:val="left"/>
        </w:tabs>
        <w:rPr>
          <w:sz w:val="20"/>
          <w:szCs w:val="20"/>
          <w:color w:val="auto"/>
        </w:rPr>
      </w:pPr>
      <w:r>
        <w:rPr>
          <w:rFonts w:ascii="Courier New" w:cs="Courier New" w:eastAsia="Courier New" w:hAnsi="Courier New"/>
          <w:sz w:val="18"/>
          <w:szCs w:val="18"/>
          <w:color w:val="auto"/>
        </w:rPr>
        <w:t>Liquidation Preference:</w:t>
        <w:tab/>
        <w:t>$25.00 per Series B Cumulative Redeemable Preferred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Specified Funds for Payment of Purchase Price: Immediately available funds</w:t>
      </w:r>
    </w:p>
    <w:p>
      <w:pPr>
        <w:spacing w:after="0" w:line="207" w:lineRule="exact"/>
        <w:rPr>
          <w:sz w:val="20"/>
          <w:szCs w:val="20"/>
          <w:color w:val="auto"/>
        </w:rPr>
      </w:pPr>
    </w:p>
    <w:p>
      <w:pPr>
        <w:ind w:left="2640" w:right="2419" w:hanging="2633"/>
        <w:spacing w:after="0" w:line="235" w:lineRule="auto"/>
        <w:tabs>
          <w:tab w:leader="none" w:pos="2620" w:val="left"/>
        </w:tabs>
        <w:rPr>
          <w:sz w:val="20"/>
          <w:szCs w:val="20"/>
          <w:color w:val="auto"/>
        </w:rPr>
      </w:pPr>
      <w:r>
        <w:rPr>
          <w:rFonts w:ascii="Courier New" w:cs="Courier New" w:eastAsia="Courier New" w:hAnsi="Courier New"/>
          <w:sz w:val="18"/>
          <w:szCs w:val="18"/>
          <w:color w:val="auto"/>
        </w:rPr>
        <w:t>Dividend Payment Dates:</w:t>
        <w:tab/>
        <w:t>The last day of January, April, July and October, beginning on January 31, 2002</w:t>
      </w:r>
    </w:p>
    <w:p>
      <w:pPr>
        <w:spacing w:after="0" w:line="208" w:lineRule="exact"/>
        <w:rPr>
          <w:sz w:val="20"/>
          <w:szCs w:val="20"/>
          <w:color w:val="auto"/>
        </w:rPr>
      </w:pPr>
    </w:p>
    <w:p>
      <w:pPr>
        <w:ind w:left="2540" w:right="1779" w:hanging="2527"/>
        <w:spacing w:after="0" w:line="270" w:lineRule="auto"/>
        <w:tabs>
          <w:tab w:leader="none" w:pos="2520" w:val="left"/>
        </w:tabs>
        <w:rPr>
          <w:sz w:val="20"/>
          <w:szCs w:val="20"/>
          <w:color w:val="auto"/>
        </w:rPr>
      </w:pPr>
      <w:r>
        <w:rPr>
          <w:rFonts w:ascii="Courier New" w:cs="Courier New" w:eastAsia="Courier New" w:hAnsi="Courier New"/>
          <w:sz w:val="18"/>
          <w:szCs w:val="18"/>
          <w:color w:val="auto"/>
        </w:rPr>
        <w:t>Redemption provisions:</w:t>
      </w:r>
      <w:r>
        <w:rPr>
          <w:sz w:val="20"/>
          <w:szCs w:val="20"/>
          <w:color w:val="auto"/>
        </w:rPr>
        <w:tab/>
      </w:r>
      <w:r>
        <w:rPr>
          <w:rFonts w:ascii="Courier New" w:cs="Courier New" w:eastAsia="Courier New" w:hAnsi="Courier New"/>
          <w:sz w:val="16"/>
          <w:szCs w:val="16"/>
          <w:color w:val="auto"/>
        </w:rPr>
        <w:t>Except in certain circumstances relating to the preservation of the Company's status as a REIT for federal income tax purposes, the Series B Cumulative Redeemable Preferred Shares will not be redeemable prior to November 27, 2006. On or after November 27, 2006, the Company, at its option upon not less than 30 or more than 60 days' written notice, may redeem the Series B Cumulative Redeemable Preferred Shares, in whole or in part, at any time or from time to time, at a redemption price of $25.00 per share, plus all accumulated and unpaid dividends thereon to the date of redemption.</w:t>
      </w:r>
    </w:p>
    <w:p>
      <w:pPr>
        <w:spacing w:after="0" w:line="386"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Sinking fund requirements:</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Names and addresses of Representatives:</w:t>
      </w:r>
      <w:r>
        <w:rPr>
          <w:sz w:val="20"/>
          <w:szCs w:val="20"/>
          <w:color w:val="auto"/>
        </w:rPr>
        <w:tab/>
      </w:r>
      <w:r>
        <w:rPr>
          <w:rFonts w:ascii="Courier New" w:cs="Courier New" w:eastAsia="Courier New" w:hAnsi="Courier New"/>
          <w:sz w:val="16"/>
          <w:szCs w:val="16"/>
          <w:color w:val="auto"/>
        </w:rPr>
        <w:t>Morgan Stanley &amp; Co. Incorporated,</w:t>
      </w:r>
    </w:p>
    <w:p>
      <w:pPr>
        <w:ind w:left="4320"/>
        <w:spacing w:after="0" w:line="238" w:lineRule="auto"/>
        <w:rPr>
          <w:sz w:val="20"/>
          <w:szCs w:val="20"/>
          <w:color w:val="auto"/>
        </w:rPr>
      </w:pPr>
      <w:r>
        <w:rPr>
          <w:rFonts w:ascii="Courier New" w:cs="Courier New" w:eastAsia="Courier New" w:hAnsi="Courier New"/>
          <w:sz w:val="18"/>
          <w:szCs w:val="18"/>
          <w:color w:val="auto"/>
        </w:rPr>
        <w:t>First Union Securities, Inc., Merrill</w:t>
      </w:r>
    </w:p>
    <w:p>
      <w:pPr>
        <w:ind w:left="4320"/>
        <w:spacing w:after="0"/>
        <w:rPr>
          <w:sz w:val="20"/>
          <w:szCs w:val="20"/>
          <w:color w:val="auto"/>
        </w:rPr>
      </w:pPr>
      <w:r>
        <w:rPr>
          <w:rFonts w:ascii="Courier New" w:cs="Courier New" w:eastAsia="Courier New" w:hAnsi="Courier New"/>
          <w:sz w:val="18"/>
          <w:szCs w:val="18"/>
          <w:color w:val="auto"/>
        </w:rPr>
        <w:t>Lynch, Pierce, Fenner &amp; Smith</w:t>
      </w:r>
    </w:p>
    <w:p>
      <w:pPr>
        <w:ind w:left="4320"/>
        <w:spacing w:after="0" w:line="237" w:lineRule="auto"/>
        <w:rPr>
          <w:sz w:val="20"/>
          <w:szCs w:val="20"/>
          <w:color w:val="auto"/>
        </w:rPr>
      </w:pPr>
      <w:r>
        <w:rPr>
          <w:rFonts w:ascii="Courier New" w:cs="Courier New" w:eastAsia="Courier New" w:hAnsi="Courier New"/>
          <w:sz w:val="18"/>
          <w:szCs w:val="18"/>
          <w:color w:val="auto"/>
        </w:rPr>
        <w:t>Incorporated and Salomon Smith Barney</w:t>
      </w:r>
    </w:p>
    <w:p>
      <w:pPr>
        <w:ind w:left="4320"/>
        <w:spacing w:after="0" w:line="238" w:lineRule="auto"/>
        <w:rPr>
          <w:sz w:val="20"/>
          <w:szCs w:val="20"/>
          <w:color w:val="auto"/>
        </w:rPr>
      </w:pPr>
      <w:r>
        <w:rPr>
          <w:rFonts w:ascii="Courier New" w:cs="Courier New" w:eastAsia="Courier New" w:hAnsi="Courier New"/>
          <w:sz w:val="18"/>
          <w:szCs w:val="18"/>
          <w:color w:val="auto"/>
        </w:rPr>
        <w:t>Inc.</w:t>
      </w:r>
    </w:p>
    <w:p>
      <w:pPr>
        <w:spacing w:after="0" w:line="208" w:lineRule="exact"/>
        <w:rPr>
          <w:sz w:val="20"/>
          <w:szCs w:val="20"/>
          <w:color w:val="auto"/>
        </w:rPr>
      </w:pPr>
    </w:p>
    <w:p>
      <w:pPr>
        <w:ind w:left="2960" w:right="3039" w:hanging="2949"/>
        <w:spacing w:after="0" w:line="290" w:lineRule="auto"/>
        <w:tabs>
          <w:tab w:leader="none" w:pos="2940" w:val="left"/>
        </w:tabs>
        <w:rPr>
          <w:sz w:val="20"/>
          <w:szCs w:val="20"/>
          <w:color w:val="auto"/>
        </w:rPr>
      </w:pPr>
      <w:r>
        <w:rPr>
          <w:rFonts w:ascii="Courier New" w:cs="Courier New" w:eastAsia="Courier New" w:hAnsi="Courier New"/>
          <w:sz w:val="18"/>
          <w:szCs w:val="18"/>
          <w:color w:val="auto"/>
        </w:rPr>
        <w:t>Address for Notices, etc.:</w:t>
      </w:r>
      <w:r>
        <w:rPr>
          <w:sz w:val="20"/>
          <w:szCs w:val="20"/>
          <w:color w:val="auto"/>
        </w:rPr>
        <w:tab/>
      </w:r>
      <w:r>
        <w:rPr>
          <w:rFonts w:ascii="Courier New" w:cs="Courier New" w:eastAsia="Courier New" w:hAnsi="Courier New"/>
          <w:sz w:val="16"/>
          <w:szCs w:val="16"/>
          <w:color w:val="auto"/>
        </w:rPr>
        <w:t>c/o Morgan Stanley &amp; Co. Incorporated, 1585 Broadway, New York, New York, 10036</w:t>
      </w:r>
    </w:p>
    <w:p>
      <w:pPr>
        <w:spacing w:after="0" w:line="16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Other Terms:</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Time of Delivery:</w:t>
      </w:r>
      <w:r>
        <w:rPr>
          <w:sz w:val="20"/>
          <w:szCs w:val="20"/>
          <w:color w:val="auto"/>
        </w:rPr>
        <w:tab/>
      </w:r>
      <w:r>
        <w:rPr>
          <w:rFonts w:ascii="Courier New" w:cs="Courier New" w:eastAsia="Courier New" w:hAnsi="Courier New"/>
          <w:sz w:val="16"/>
          <w:szCs w:val="16"/>
          <w:color w:val="auto"/>
        </w:rPr>
        <w:t>November 27, 2001</w:t>
      </w:r>
    </w:p>
    <w:p>
      <w:pPr>
        <w:spacing w:after="0" w:line="207" w:lineRule="exact"/>
        <w:rPr>
          <w:sz w:val="20"/>
          <w:szCs w:val="20"/>
          <w:color w:val="auto"/>
        </w:rPr>
      </w:pPr>
    </w:p>
    <w:p>
      <w:pPr>
        <w:ind w:left="2000" w:right="1999" w:hanging="2001"/>
        <w:spacing w:after="0" w:line="235" w:lineRule="auto"/>
        <w:tabs>
          <w:tab w:leader="none" w:pos="1980" w:val="left"/>
        </w:tabs>
        <w:rPr>
          <w:sz w:val="20"/>
          <w:szCs w:val="20"/>
          <w:color w:val="auto"/>
        </w:rPr>
      </w:pPr>
      <w:r>
        <w:rPr>
          <w:rFonts w:ascii="Courier New" w:cs="Courier New" w:eastAsia="Courier New" w:hAnsi="Courier New"/>
          <w:sz w:val="18"/>
          <w:szCs w:val="18"/>
          <w:color w:val="auto"/>
        </w:rPr>
        <w:t>Closing Location:</w:t>
        <w:tab/>
        <w:t>Sidley Austin Brown &amp; Wood llp, 875 Third Avenue, New York, New York 10022</w:t>
      </w:r>
    </w:p>
    <w:p>
      <w:pPr>
        <w:sectPr>
          <w:pgSz w:w="11900" w:h="16838" w:orient="portrait"/>
          <w:cols w:equalWidth="0" w:num="1">
            <w:col w:w="10219"/>
          </w:cols>
          <w:pgMar w:left="240" w:top="717" w:right="1440" w:bottom="1440"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[LETTERHEAD OF HOGAN &amp; HARTSON L.L.P.]</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November 26,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firm has acted as counsel to Federal Realty Investment Trust, a Maryland real estate investment trust (the "Trust"), in connection with the offer and sale of up to 5,750,000 8 1/2% Series B Cumulative Redeemable Preferred Shares of Beneficial Interest, $25.00 Liquidation Value Per Share, $.01 Par Value Per Share of the Trust (the "Shares"), issued pursuant to an underwritten public offering of the Trust in the manner and upon the terms set forth in the Registration Statement on Form S-3 filed by the Trust with the Securities and Exchange Commission under the Securities Act of 1933, as amended, and which became effective on September 30, 1998 (the "Registration Statement"), as well as the Prospectus dated September 30, 1998 and the Prospectus Supplement thereto dated November 19, 2001 (collectively, the "Prospectus"). This opinion letter is furnished to you at your request to enable you to fulfill the requirements of Item 601(b)(5) of Regulation S-K, 17 C.F.R. (S) 229.601(b)(5), in connection with the Registration Statement.</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For purposes of this opinion letter, we have examined copies of the following documents:</w:t>
      </w:r>
    </w:p>
    <w:p>
      <w:pPr>
        <w:spacing w:after="0" w:line="203" w:lineRule="exact"/>
        <w:rPr>
          <w:sz w:val="20"/>
          <w:szCs w:val="20"/>
          <w:color w:val="auto"/>
        </w:rPr>
      </w:pPr>
    </w:p>
    <w:p>
      <w:pPr>
        <w:ind w:left="960" w:hanging="425"/>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Registration Statement.</w:t>
      </w:r>
    </w:p>
    <w:p>
      <w:pPr>
        <w:spacing w:after="0" w:line="206" w:lineRule="exact"/>
        <w:rPr>
          <w:rFonts w:ascii="Courier New" w:cs="Courier New" w:eastAsia="Courier New" w:hAnsi="Courier New"/>
          <w:sz w:val="18"/>
          <w:szCs w:val="18"/>
          <w:color w:val="auto"/>
        </w:rPr>
      </w:pPr>
    </w:p>
    <w:p>
      <w:pPr>
        <w:ind w:left="960" w:right="1999" w:hanging="425"/>
        <w:spacing w:after="0" w:line="237" w:lineRule="auto"/>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Trust, as certified by the Maryland State Department of Assessments and Taxation on November __, 2001 and the Secretary of the Trust on November 26, 2001 as being complete, accurate and in effect.</w:t>
      </w:r>
    </w:p>
    <w:p>
      <w:pPr>
        <w:spacing w:after="0" w:line="207" w:lineRule="exact"/>
        <w:rPr>
          <w:rFonts w:ascii="Courier New" w:cs="Courier New" w:eastAsia="Courier New" w:hAnsi="Courier New"/>
          <w:sz w:val="18"/>
          <w:szCs w:val="18"/>
          <w:color w:val="auto"/>
        </w:rPr>
      </w:pPr>
    </w:p>
    <w:p>
      <w:pPr>
        <w:ind w:left="960" w:right="2199" w:hanging="425"/>
        <w:spacing w:after="0" w:line="290" w:lineRule="auto"/>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Bylaws of the Trust, as certified by the Secretary of the Trust on November 26, 2001 as being complete, accurate and in effect.</w:t>
      </w:r>
    </w:p>
    <w:p>
      <w:pPr>
        <w:spacing w:after="0" w:line="169" w:lineRule="exact"/>
        <w:rPr>
          <w:rFonts w:ascii="Courier New" w:cs="Courier New" w:eastAsia="Courier New" w:hAnsi="Courier New"/>
          <w:sz w:val="16"/>
          <w:szCs w:val="16"/>
          <w:color w:val="auto"/>
        </w:rPr>
      </w:pPr>
    </w:p>
    <w:p>
      <w:pPr>
        <w:ind w:left="960" w:right="1879" w:hanging="425"/>
        <w:spacing w:after="0" w:line="236" w:lineRule="auto"/>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resolutions of the Board of Trustees of the Trust adopted by unanimous written consent on November 13, 2001, and Resolutions of the Pricing Committee of the Board adopted on</w:t>
      </w:r>
    </w:p>
    <w:p>
      <w:pPr>
        <w:sectPr>
          <w:pgSz w:w="11900" w:h="16838" w:orient="portrait"/>
          <w:cols w:equalWidth="0" w:num="1">
            <w:col w:w="10219"/>
          </w:cols>
          <w:pgMar w:left="240" w:top="541" w:right="1440" w:bottom="1440" w:gutter="0" w:footer="0" w:header="0"/>
        </w:sectPr>
      </w:pPr>
    </w:p>
    <w:bookmarkStart w:id="42" w:name="page43"/>
    <w:bookmarkEnd w:id="42"/>
    <w:p>
      <w:pPr>
        <w:ind w:left="960" w:right="1879"/>
        <w:spacing w:after="0" w:line="237" w:lineRule="auto"/>
        <w:rPr>
          <w:sz w:val="20"/>
          <w:szCs w:val="20"/>
          <w:color w:val="auto"/>
        </w:rPr>
      </w:pPr>
      <w:r>
        <w:rPr>
          <w:rFonts w:ascii="Courier New" w:cs="Courier New" w:eastAsia="Courier New" w:hAnsi="Courier New"/>
          <w:sz w:val="18"/>
          <w:szCs w:val="18"/>
          <w:color w:val="auto"/>
        </w:rPr>
        <w:t>November 19, 2001, each as certified by the Secretary of the Trust on November 26, 2001 as being complete, accurate and in effect, relating to, among other things, the issuance of the Shares and arrangements in connection therewith.</w:t>
      </w:r>
    </w:p>
    <w:p>
      <w:pPr>
        <w:spacing w:after="0" w:line="207" w:lineRule="exact"/>
        <w:rPr>
          <w:sz w:val="20"/>
          <w:szCs w:val="20"/>
          <w:color w:val="auto"/>
        </w:rPr>
      </w:pPr>
    </w:p>
    <w:p>
      <w:pPr>
        <w:ind w:left="960" w:right="2099" w:hanging="425"/>
        <w:spacing w:after="0" w:line="237"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Underwriting Agreement and related Pricing Agreement, each dated November 19, 2001, by and among the Trust and Morgan Stanley &amp; Co. Incorporated, First Union Securities, Inc., Merrill Lynch, Pierce, Fenner &amp; Smith Incorporated and Salomon Smith Barney Inc., as representatives of the several underwriters named on Schedule I to the Pricing Agreement (collectively, the "Underwriting Agreement").</w:t>
      </w:r>
    </w:p>
    <w:p>
      <w:pPr>
        <w:spacing w:after="0" w:line="211" w:lineRule="exact"/>
        <w:rPr>
          <w:rFonts w:ascii="Courier New" w:cs="Courier New" w:eastAsia="Courier New" w:hAnsi="Courier New"/>
          <w:sz w:val="18"/>
          <w:szCs w:val="18"/>
          <w:color w:val="auto"/>
        </w:rPr>
      </w:pPr>
    </w:p>
    <w:p>
      <w:pPr>
        <w:jc w:val="both"/>
        <w:ind w:left="960" w:right="2419" w:hanging="425"/>
        <w:spacing w:after="0" w:line="279" w:lineRule="auto"/>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memorandum to the file dated November 24, 1999 relating to oral confirmation from the Securities and Exchange Commission that the Registration Statement became effective on September 30, 1998.</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our examination of the aforesaid certificates, documents and agreements,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We have also assumed that the Shares will not be issued in violation of the ownership limit contained in the Declaration of Trust. This opinion is given, and all statements herein are made, in the context of the foregoing.</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opinion letter is based as to matters of law on applicable provisions of Title 8 of the Corporations and Associations Article of the Annotated Code of Maryland, as amended, and applicable provisions of the Maryland General Corporation Law, as amended. We express no opinion herein as to any other laws, statutes, ordinances, rules or regulations. As used herein, the terms "Title 8 of the Corporations and Associations Article of the Annotated Code of Maryland, as amended" and "Maryland General Corporation Law, as amended" include the applicable statutory provisions contained therein and all applicable provisions of the Maryland Constitution and reported judicial decisions interpreting these laws.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subject to and limited by the foregoing, we are of the opinion that the Shares are duly authorized and, when issued and delivered pursuant to the terms of the Underwriting Agreement upon receipt by the Trust of the consideration for the Shares specified in the resolutions of the Pricing Committee described in paragraph 4 above, the Shares will be validly issued, fully paid and nonassessable.</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opinion letter has been prepared for your use in connection with the offering and sale of the Shares and speaks as of the date hereof. We assume no obligation to advise you of any changes in the foregoing subsequent to the delivery of this opinion letter.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hereby consent to the filing of this opinion letter as Exhibit 5.1 to the Registration Statement and to the reference to this firm under the caption "Legal Matters" in the Prospectus Supplement. In giving this consent, we do not thereby admit that we are an "expert" within the meaning of the Securities Act of 1933, as amended.</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HOGAN &amp; HARTSON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43" w:name="page44"/>
    <w:bookmarkEnd w:id="43"/>
    <w:p>
      <w:pPr>
        <w:jc w:val="right"/>
        <w:ind w:right="1779"/>
        <w:spacing w:after="0"/>
        <w:rPr>
          <w:sz w:val="20"/>
          <w:szCs w:val="20"/>
          <w:color w:val="auto"/>
        </w:rPr>
      </w:pPr>
      <w:r>
        <w:rPr>
          <w:rFonts w:ascii="Courier New" w:cs="Courier New" w:eastAsia="Courier New" w:hAnsi="Courier New"/>
          <w:sz w:val="18"/>
          <w:szCs w:val="18"/>
          <w:color w:val="auto"/>
        </w:rPr>
        <w:t>Exhibit 8.1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[LETTERHEAD OF HOGAN &amp; HARTSON L.L.P.]</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November 26,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rPr>
          <w:sz w:val="20"/>
          <w:szCs w:val="20"/>
          <w:color w:val="auto"/>
        </w:rPr>
      </w:pPr>
      <w:r>
        <w:rPr>
          <w:rFonts w:ascii="Courier New" w:cs="Courier New" w:eastAsia="Courier New" w:hAnsi="Courier New"/>
          <w:sz w:val="18"/>
          <w:szCs w:val="18"/>
          <w:color w:val="auto"/>
        </w:rPr>
        <w:t>Rockville, MD 20852</w:t>
      </w:r>
    </w:p>
    <w:p>
      <w:pPr>
        <w:spacing w:after="0" w:line="237" w:lineRule="auto"/>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We have acted as counsel to Federal Realty Investment Trust, a Maryland real estate investment trust (the "Company"), in connection with the sale and issuance of up to 5,750,000 shares of the Company's 8 1/2% Series B Cumulative Redeemable Preferred Shares, par value $0.01 per share (the "Shares") as more fully described in the Company's Registration Statement on Form S-3 (File No.</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333-63619) filed with the Securities and Exchange Commission on September 30, 1998, and the prospectus included therein (the "Prospectus"), which incorporates by reference the Company's Current Report on Form 8-K filed with the Securities and Exchange Commission on November 15, 2001, as amended through the date hereof (the "8-K")), and the Company's prospectus supplement dated November 19, 2001 (the "Prospectus Supplement). In connection therewith, we have been asked to provide you with an opinion regarding certain federal income tax matters related to the Company. Unless otherwise defined herein or the context hereof otherwise requires, each term used herein with initial capitalized letters has the meaning given to such term in the Prospectus.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for Opinions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opinions set forth in this letter are based on relevant current provisions of the Internal Revenue Code of 1986, as amended (the "Code"), Treasury regulations thereunder (including proposed and temporary Treasury regulations), and interpretations of the foregoing as expressed in court decisions, legislative history, and administrative determinations of the Internal Revenue Service (the "IRS") (including its practices and policies in issuing private letter rulings, which are not binding on the IRS, except with respect to a taxpayer that receives such a ruling), all as of the date hereof. These provisions and interpretations are subject to changes (which may apply retroactively) that might result in material modifications of our opinions.</w:t>
      </w:r>
    </w:p>
    <w:p>
      <w:pPr>
        <w:spacing w:after="0" w:line="18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Our opinions do not foreclose the possibility of a contrary determination by the IRS or a court of competent jurisdiction, or of a contrary</w:t>
      </w:r>
    </w:p>
    <w:p>
      <w:pPr>
        <w:sectPr>
          <w:pgSz w:w="11900" w:h="16838" w:orient="portrait"/>
          <w:cols w:equalWidth="0" w:num="1">
            <w:col w:w="10219"/>
          </w:cols>
          <w:pgMar w:left="240" w:top="54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26, 2001</w:t>
      </w:r>
    </w:p>
    <w:p>
      <w:pPr>
        <w:spacing w:after="0"/>
        <w:rPr>
          <w:sz w:val="20"/>
          <w:szCs w:val="20"/>
          <w:color w:val="auto"/>
        </w:rPr>
      </w:pPr>
      <w:r>
        <w:rPr>
          <w:rFonts w:ascii="Courier New" w:cs="Courier New" w:eastAsia="Courier New" w:hAnsi="Courier New"/>
          <w:sz w:val="18"/>
          <w:szCs w:val="18"/>
          <w:color w:val="auto"/>
        </w:rPr>
        <w:t>Page 8 of 13</w:t>
      </w:r>
    </w:p>
    <w:p>
      <w:pPr>
        <w:spacing w:after="0" w:line="200" w:lineRule="exact"/>
        <w:rPr>
          <w:sz w:val="20"/>
          <w:szCs w:val="20"/>
          <w:color w:val="auto"/>
        </w:rPr>
      </w:pP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position by the IRS or the Treasury Department in regulations or rulings issued in the future. In this regard, although we believe that our opinions set forth herein will be sustained if challenged, an opinion of counsel with respect to an issue is not binding on the IRS or the courts, and is not a guarantee that the IRS will not assert a contrary position with respect to such issue or that a court will not sustain such a position asserted by the IRS.</w:t>
      </w:r>
    </w:p>
    <w:p>
      <w:pPr>
        <w:spacing w:after="0" w:line="18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rendering the following opinions, we have examined such statutes, regulations, records, certificates and other documents as we have considered necessary or appropriate as a basis for such opinions, including (but not limited to) the following:</w:t>
      </w:r>
    </w:p>
    <w:p>
      <w:pPr>
        <w:spacing w:after="0" w:line="207" w:lineRule="exact"/>
        <w:rPr>
          <w:sz w:val="20"/>
          <w:szCs w:val="20"/>
          <w:color w:val="auto"/>
        </w:rPr>
      </w:pPr>
    </w:p>
    <w:p>
      <w:pPr>
        <w:ind w:left="960" w:right="2319" w:hanging="425"/>
        <w:spacing w:after="0" w:line="235"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Prospectus, Prospectus Supplement, and 8-K, as amended through the date hereof;</w:t>
      </w:r>
    </w:p>
    <w:p>
      <w:pPr>
        <w:spacing w:after="0" w:line="208" w:lineRule="exact"/>
        <w:rPr>
          <w:rFonts w:ascii="Courier New" w:cs="Courier New" w:eastAsia="Courier New" w:hAnsi="Courier New"/>
          <w:sz w:val="18"/>
          <w:szCs w:val="18"/>
          <w:color w:val="auto"/>
        </w:rPr>
      </w:pPr>
    </w:p>
    <w:p>
      <w:pPr>
        <w:ind w:left="960" w:right="1999" w:hanging="425"/>
        <w:spacing w:after="0" w:line="235"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Company dated May 5, 1999, as amended through the date hereof (the "Declaration of Trust");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Company, as amended to the date hereof;</w:t>
      </w:r>
    </w:p>
    <w:p>
      <w:pPr>
        <w:spacing w:after="0" w:line="206" w:lineRule="exact"/>
        <w:rPr>
          <w:rFonts w:ascii="Courier New" w:cs="Courier New" w:eastAsia="Courier New" w:hAnsi="Courier New"/>
          <w:sz w:val="18"/>
          <w:szCs w:val="18"/>
          <w:color w:val="auto"/>
        </w:rPr>
      </w:pPr>
    </w:p>
    <w:p>
      <w:pPr>
        <w:ind w:left="960" w:right="1879" w:hanging="425"/>
        <w:spacing w:after="0" w:line="237"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bylaws and stock ownership information for Street Retail, Inc., Street Retail West GP, Inc., SRI San Antonio, Inc., SRI Texas, Inc., Federal Realty Partners, Inc., FRLP, Inc., JS&amp;DB, Inc., FRIT Leasing &amp; Development Services, Inc., SRI Holding Co., Inc., San Jose Residential, Inc., Ravenswood Development Services, Inc., FRIT Property Services, Inc.; Federal Realty Management Services, Inc.; Santana Row Services, Inc.; and Santana Row ROF, Inc.;</w:t>
      </w:r>
    </w:p>
    <w:p>
      <w:pPr>
        <w:spacing w:after="0" w:line="212" w:lineRule="exact"/>
        <w:rPr>
          <w:rFonts w:ascii="Courier New" w:cs="Courier New" w:eastAsia="Courier New" w:hAnsi="Courier New"/>
          <w:sz w:val="18"/>
          <w:szCs w:val="18"/>
          <w:color w:val="auto"/>
        </w:rPr>
      </w:pPr>
    </w:p>
    <w:p>
      <w:pPr>
        <w:ind w:left="960" w:right="1779" w:hanging="425"/>
        <w:spacing w:after="0" w:line="268" w:lineRule="auto"/>
        <w:tabs>
          <w:tab w:leader="none" w:pos="9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agreement or limited liability company operating agreement, as applicable, used to organize and operate the partnerships or limited liability companies in which the Company owns an interest (the "Partnership Subsidiaries") as set forth in Schedule A attached</w:t>
      </w:r>
    </w:p>
    <w:p>
      <w:pPr>
        <w:ind w:left="6120"/>
        <w:spacing w:after="0" w:line="234" w:lineRule="auto"/>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hereto; and</w:t>
      </w:r>
    </w:p>
    <w:p>
      <w:pPr>
        <w:spacing w:after="0" w:line="207" w:lineRule="exact"/>
        <w:rPr>
          <w:sz w:val="20"/>
          <w:szCs w:val="20"/>
          <w:color w:val="auto"/>
        </w:rPr>
      </w:pPr>
    </w:p>
    <w:p>
      <w:pPr>
        <w:ind w:left="960" w:right="2519" w:hanging="425"/>
        <w:spacing w:after="0" w:line="236" w:lineRule="auto"/>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instruments and documents related to the organization and operation of the Company as we have deemed necessary or appropriate.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opinions set forth in this letter also are premised on certain written representations of the Company contained in a letter to us on or about the date hereof regarding the assets, operations and activities of the Company (the "Management Representation Letter").</w:t>
      </w:r>
    </w:p>
    <w:p>
      <w:pPr>
        <w:sectPr>
          <w:pgSz w:w="11900" w:h="16838" w:orient="portrait"/>
          <w:cols w:equalWidth="0" w:num="1">
            <w:col w:w="10219"/>
          </w:cols>
          <w:pgMar w:left="240" w:top="7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26, 2001</w:t>
      </w:r>
    </w:p>
    <w:p>
      <w:pPr>
        <w:spacing w:after="0"/>
        <w:rPr>
          <w:sz w:val="20"/>
          <w:szCs w:val="20"/>
          <w:color w:val="auto"/>
        </w:rPr>
      </w:pPr>
      <w:r>
        <w:rPr>
          <w:rFonts w:ascii="Courier New" w:cs="Courier New" w:eastAsia="Courier New" w:hAnsi="Courier New"/>
          <w:sz w:val="18"/>
          <w:szCs w:val="18"/>
          <w:color w:val="auto"/>
        </w:rPr>
        <w:t>Page 9 of 13</w:t>
      </w:r>
    </w:p>
    <w:p>
      <w:pPr>
        <w:spacing w:after="0" w:line="20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purposes of rendering our opinions, we have not made an independent investigation or audit of the facts set forth in the above referenced documents, including the Prospectus, Prospectus Supplement, 8-K and the Management Representation Letter. We consequently have relied upon the representations in the Management Representation Letter that the information presented in such documents or otherwise furnished to us is accurate and assumed that the information presented in such documents or otherwise furnished to us is accurate and complete in all material respects. After reasonable inquiry, however, we are not aware of any material facts or circumstances contrary to, or inconsistent with, the representations we have relied upon as described herein or other assumptions set forth herein. Finally, our opinion is limited to the tax matters specifically covered herein, and we have not addressed, nor have we been asked to address, any other tax matters relevant to the Company.</w:t>
      </w:r>
    </w:p>
    <w:p>
      <w:pPr>
        <w:spacing w:after="0" w:line="3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our opinion, we have assumed, with your consent:</w:t>
      </w:r>
    </w:p>
    <w:p>
      <w:pPr>
        <w:spacing w:after="0" w:line="207" w:lineRule="exact"/>
        <w:rPr>
          <w:sz w:val="20"/>
          <w:szCs w:val="20"/>
          <w:color w:val="auto"/>
        </w:rPr>
      </w:pPr>
    </w:p>
    <w:p>
      <w:pPr>
        <w:ind w:left="960" w:right="1779" w:hanging="425"/>
        <w:spacing w:after="0" w:line="272" w:lineRule="auto"/>
        <w:tabs>
          <w:tab w:leader="none" w:pos="9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all of the representations and statements set forth in the documents (including, without limitation, the Management Representation Letter) we reviewed are true and correct, and all of the obligations imposed by any such documents on the parties thereto, including obligations imposed under the Company's articles of incorporation, have been and will be performed or satisfied in accordance with their terms;</w:t>
      </w:r>
    </w:p>
    <w:p>
      <w:pPr>
        <w:spacing w:after="0" w:line="185" w:lineRule="exact"/>
        <w:rPr>
          <w:rFonts w:ascii="Courier New" w:cs="Courier New" w:eastAsia="Courier New" w:hAnsi="Courier New"/>
          <w:sz w:val="16"/>
          <w:szCs w:val="16"/>
          <w:color w:val="auto"/>
        </w:rPr>
      </w:pPr>
    </w:p>
    <w:p>
      <w:pPr>
        <w:ind w:left="960" w:right="1879" w:hanging="425"/>
        <w:spacing w:after="0" w:line="237" w:lineRule="auto"/>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208"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Company and each of the partnership, limited liability company or corporate subsidiary entities have been and will continue to be operated in the manner described in the relevant partnership agreement, articles (or certificate) of incorporation or other organizational documents and in the Prospectus, Prospectus Supplement, 8-K and Management Representation Letter; and</w:t>
      </w:r>
    </w:p>
    <w:p>
      <w:pPr>
        <w:spacing w:after="0" w:line="209"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we have been provided with all written agreements related to the ownership of the stock of any corporations in which the Company owns an interest, directly or indirectly (the "Corporate</w:t>
      </w:r>
    </w:p>
    <w:p>
      <w:pPr>
        <w:sectPr>
          <w:pgSz w:w="11900" w:h="16838" w:orient="portrait"/>
          <w:cols w:equalWidth="0" w:num="1">
            <w:col w:w="10219"/>
          </w:cols>
          <w:pgMar w:left="240" w:top="7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26, 2001</w:t>
      </w:r>
    </w:p>
    <w:p>
      <w:pPr>
        <w:spacing w:after="0"/>
        <w:rPr>
          <w:sz w:val="20"/>
          <w:szCs w:val="20"/>
          <w:color w:val="auto"/>
        </w:rPr>
      </w:pPr>
      <w:r>
        <w:rPr>
          <w:rFonts w:ascii="Courier New" w:cs="Courier New" w:eastAsia="Courier New" w:hAnsi="Courier New"/>
          <w:sz w:val="18"/>
          <w:szCs w:val="18"/>
          <w:color w:val="auto"/>
        </w:rPr>
        <w:t>Page 10 of 13</w:t>
      </w:r>
    </w:p>
    <w:p>
      <w:pPr>
        <w:spacing w:after="0" w:line="200" w:lineRule="exact"/>
        <w:rPr>
          <w:sz w:val="20"/>
          <w:szCs w:val="20"/>
          <w:color w:val="auto"/>
        </w:rPr>
      </w:pPr>
    </w:p>
    <w:p>
      <w:pPr>
        <w:spacing w:after="0" w:line="20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Affiliates") and no oral agreements or understandings exist or have existed between the Company and other securityholders of any of the Corporate Affiliates or the Corporate Affiliates themselves that are inconsistent with the Company being considered to be the beneficial owner, directly or indirectly, of 10% or less of either (a) the outstanding voting securities or (b) at the end of any calendar quarter beginning on or after January 1, 2001, the total value of the outstanding securities, of any Corporate Affiliate that does not qualify as either a "qualified REIT subsidiary" as defined in Section 856(i) of the Code or, after January 1, 2001, a "taxable REIT subsidiary" as defined in Section 856(l) of the Code.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Based upon, subject to, and limited by the assumptions and qualifications set forth herein, we are of the opinion that:</w:t>
      </w:r>
    </w:p>
    <w:p>
      <w:pPr>
        <w:spacing w:after="0" w:line="208" w:lineRule="exact"/>
        <w:rPr>
          <w:sz w:val="20"/>
          <w:szCs w:val="20"/>
          <w:color w:val="auto"/>
        </w:rPr>
      </w:pPr>
    </w:p>
    <w:p>
      <w:pPr>
        <w:ind w:right="1779" w:firstLine="535"/>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organized and has operated in conformity with the requirements for qualification as a real estate investment trust ("REIT") under the Code for its taxable years ended December 31, 1995, December 31, 1996, December 31, 1997, December 31, 1998, December 31, 1999 and December 31, 2000 and the Company's organization and proposed method of operation (as described in the Prospectus, Prospectus Supplement, 8-K and Management Representation Letter) will enable it to continue to meet the requirements for qualification and taxation as a REIT under the Code; and</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discussions in (x) the Prospectus Supplement under the captions "Federal Income Tax Consequences" and "Risk Factors - To qualify as a REIT, we have to distribute at least 90% of our net taxable income, excluding net capital gains"; (y) the Prospectus under the caption "Federal Income Tax Considerations", except we note that the statement to the effect that the Company is generally required to distribute to shareholders 95% of its taxable income each year is not correct for tax years of the Company beginning after December 31, 2000, for which periods the Company is generally required to distribute to shareholders 90% of its taxable income; and (z) the Company's 8-K under the captions "Federal Income Tax Consequences" and "Risk Factors - WE DEPEND ON EXTERNAL SOURCES OF CAPITAL FOR FUTURE GROWTH, and - FEDERAL INCOME</w:t>
      </w:r>
    </w:p>
    <w:p>
      <w:pPr>
        <w:sectPr>
          <w:pgSz w:w="11900" w:h="16838" w:orient="portrait"/>
          <w:cols w:equalWidth="0" w:num="1">
            <w:col w:w="10219"/>
          </w:cols>
          <w:pgMar w:left="240" w:top="71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26, 2001</w:t>
      </w:r>
    </w:p>
    <w:p>
      <w:pPr>
        <w:spacing w:after="0"/>
        <w:rPr>
          <w:sz w:val="20"/>
          <w:szCs w:val="20"/>
          <w:color w:val="auto"/>
        </w:rPr>
      </w:pPr>
      <w:r>
        <w:rPr>
          <w:rFonts w:ascii="Courier New" w:cs="Courier New" w:eastAsia="Courier New" w:hAnsi="Courier New"/>
          <w:sz w:val="18"/>
          <w:szCs w:val="18"/>
          <w:color w:val="auto"/>
        </w:rPr>
        <w:t>Page 11 of 13</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TAX RISKS RELATING TO OPERATING AS A REAL ESTATE INVESTMENT TRUST", which is incorporated by reference into the Prospectus, when read together, accurately describe, in all material respects, the federal income tax consequences anticipated to be material to a holder of shares with respect to the acquisition, ownership, and disposition of shares.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 opinion of counsel merely represents counsel's best judgment with respect to the probable outcome on the merits and is not binding on the IRS or the courts. There can be no assurance that positions contrary to our opinion will not be taken by the IRS or that a court considering the issues would not hold contrary to such opinion.</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assume no obligation to advise you of any changes in our opinions or of any new developments in the application or interpretation of the federal income tax laws subsequent to the date of this opinion letter. The Company's qualification and taxation as a REIT depend upon the Company's ability to meet on a continuing basis, through actual annual operating and other results, the various requirements under the Code with regard to, among other things, the sources of its gross income, the composition of its assets, the level of its distributions to stockholders, and the diversity of its stock ownership. We will not review the Company's compliance with these requirements on a continuing basis. Accordingly, no assurance can be given that the actual results of the operations of the Company, the Corporate Affiliates and Partnership Subsidiaries, the sources of their income, the nature of their assets, the level of the Company's distributions to its stockholders and the diversity of the Company's stock ownership for any given taxable year will satisfy the requirements under the Code for qualification and taxation as a REIT.</w:t>
      </w:r>
    </w:p>
    <w:p>
      <w:pPr>
        <w:spacing w:after="0" w:line="38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This opinion letter has been prepared for your use in connection with the sale and issuance of the Shares and speaks as of the date hereof. We hereby consent to the filing of this opinion letter as Exhibit 8.1 to the Registration</w:t>
      </w:r>
    </w:p>
    <w:p>
      <w:pPr>
        <w:ind w:left="50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Statement and to the reference to Hogan &amp; Hartson L.L.P. under the caption "Legal Matters" in the Prospectus Supplement. In giving this consent, however, we do not admit thereby that we are an "expert" within the meaning of the Securities Act of 1933, as amended.</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HOGAN &amp; HARTSON L.L.P.</w:t>
      </w:r>
    </w:p>
    <w:p>
      <w:pPr>
        <w:sectPr>
          <w:pgSz w:w="11900" w:h="16838" w:orient="portrait"/>
          <w:cols w:equalWidth="0" w:num="1">
            <w:col w:w="10219"/>
          </w:cols>
          <w:pgMar w:left="240" w:top="7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26, 2001</w:t>
      </w:r>
    </w:p>
    <w:p>
      <w:pPr>
        <w:spacing w:after="0"/>
        <w:rPr>
          <w:sz w:val="20"/>
          <w:szCs w:val="20"/>
          <w:color w:val="auto"/>
        </w:rPr>
      </w:pPr>
      <w:r>
        <w:rPr>
          <w:rFonts w:ascii="Courier New" w:cs="Courier New" w:eastAsia="Courier New" w:hAnsi="Courier New"/>
          <w:sz w:val="18"/>
          <w:szCs w:val="18"/>
          <w:color w:val="auto"/>
        </w:rPr>
        <w:t>Page 12 of 13</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A</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Street Retail West I, L.P.</w:t>
      </w:r>
    </w:p>
    <w:p>
      <w:pPr>
        <w:spacing w:after="0" w:line="238" w:lineRule="auto"/>
        <w:rPr>
          <w:sz w:val="20"/>
          <w:szCs w:val="20"/>
          <w:color w:val="auto"/>
        </w:rPr>
      </w:pPr>
      <w:r>
        <w:rPr>
          <w:rFonts w:ascii="Courier New" w:cs="Courier New" w:eastAsia="Courier New" w:hAnsi="Courier New"/>
          <w:sz w:val="18"/>
          <w:szCs w:val="18"/>
          <w:color w:val="auto"/>
        </w:rPr>
        <w:t>Street Retail West II, L.P.</w:t>
      </w:r>
    </w:p>
    <w:p>
      <w:pPr>
        <w:spacing w:after="0"/>
        <w:rPr>
          <w:sz w:val="20"/>
          <w:szCs w:val="20"/>
          <w:color w:val="auto"/>
        </w:rPr>
      </w:pPr>
      <w:r>
        <w:rPr>
          <w:rFonts w:ascii="Courier New" w:cs="Courier New" w:eastAsia="Courier New" w:hAnsi="Courier New"/>
          <w:sz w:val="18"/>
          <w:szCs w:val="18"/>
          <w:color w:val="auto"/>
        </w:rPr>
        <w:t>Street Retail West 3, L.P.</w:t>
      </w:r>
    </w:p>
    <w:p>
      <w:pPr>
        <w:spacing w:after="0" w:line="237" w:lineRule="auto"/>
        <w:rPr>
          <w:sz w:val="20"/>
          <w:szCs w:val="20"/>
          <w:color w:val="auto"/>
        </w:rPr>
      </w:pPr>
      <w:r>
        <w:rPr>
          <w:rFonts w:ascii="Courier New" w:cs="Courier New" w:eastAsia="Courier New" w:hAnsi="Courier New"/>
          <w:sz w:val="18"/>
          <w:szCs w:val="18"/>
          <w:color w:val="auto"/>
        </w:rPr>
        <w:t>Street Retail West 4, L.P.</w:t>
      </w:r>
    </w:p>
    <w:p>
      <w:pPr>
        <w:spacing w:after="0" w:line="238" w:lineRule="auto"/>
        <w:rPr>
          <w:sz w:val="20"/>
          <w:szCs w:val="20"/>
          <w:color w:val="auto"/>
        </w:rPr>
      </w:pPr>
      <w:r>
        <w:rPr>
          <w:rFonts w:ascii="Courier New" w:cs="Courier New" w:eastAsia="Courier New" w:hAnsi="Courier New"/>
          <w:sz w:val="18"/>
          <w:szCs w:val="18"/>
          <w:color w:val="auto"/>
        </w:rPr>
        <w:t>Street Retail West 6, L.P.</w:t>
      </w:r>
    </w:p>
    <w:p>
      <w:pPr>
        <w:spacing w:after="0"/>
        <w:rPr>
          <w:sz w:val="20"/>
          <w:szCs w:val="20"/>
          <w:color w:val="auto"/>
        </w:rPr>
      </w:pPr>
      <w:r>
        <w:rPr>
          <w:rFonts w:ascii="Courier New" w:cs="Courier New" w:eastAsia="Courier New" w:hAnsi="Courier New"/>
          <w:sz w:val="18"/>
          <w:szCs w:val="18"/>
          <w:color w:val="auto"/>
        </w:rPr>
        <w:t>Street Retail West 7, L.P.</w:t>
      </w:r>
    </w:p>
    <w:p>
      <w:pPr>
        <w:spacing w:after="0" w:line="237" w:lineRule="auto"/>
        <w:rPr>
          <w:sz w:val="20"/>
          <w:szCs w:val="20"/>
          <w:color w:val="auto"/>
        </w:rPr>
      </w:pPr>
      <w:r>
        <w:rPr>
          <w:rFonts w:ascii="Courier New" w:cs="Courier New" w:eastAsia="Courier New" w:hAnsi="Courier New"/>
          <w:sz w:val="18"/>
          <w:szCs w:val="18"/>
          <w:color w:val="auto"/>
        </w:rPr>
        <w:t>Street Retail West 9, L.P.</w:t>
      </w:r>
    </w:p>
    <w:p>
      <w:pPr>
        <w:spacing w:after="0"/>
        <w:rPr>
          <w:sz w:val="20"/>
          <w:szCs w:val="20"/>
          <w:color w:val="auto"/>
        </w:rPr>
      </w:pPr>
      <w:r>
        <w:rPr>
          <w:rFonts w:ascii="Courier New" w:cs="Courier New" w:eastAsia="Courier New" w:hAnsi="Courier New"/>
          <w:sz w:val="18"/>
          <w:szCs w:val="18"/>
          <w:color w:val="auto"/>
        </w:rPr>
        <w:t>Street Retail West 10, L.P.</w:t>
      </w:r>
    </w:p>
    <w:p>
      <w:pPr>
        <w:spacing w:after="0" w:line="237" w:lineRule="auto"/>
        <w:rPr>
          <w:sz w:val="20"/>
          <w:szCs w:val="20"/>
          <w:color w:val="auto"/>
        </w:rPr>
      </w:pPr>
      <w:r>
        <w:rPr>
          <w:rFonts w:ascii="Courier New" w:cs="Courier New" w:eastAsia="Courier New" w:hAnsi="Courier New"/>
          <w:sz w:val="18"/>
          <w:szCs w:val="18"/>
          <w:color w:val="auto"/>
        </w:rPr>
        <w:t>Street Retail Tempe I, LLC</w:t>
      </w:r>
    </w:p>
    <w:p>
      <w:pPr>
        <w:spacing w:after="0"/>
        <w:rPr>
          <w:sz w:val="20"/>
          <w:szCs w:val="20"/>
          <w:color w:val="auto"/>
        </w:rPr>
      </w:pPr>
      <w:r>
        <w:rPr>
          <w:rFonts w:ascii="Courier New" w:cs="Courier New" w:eastAsia="Courier New" w:hAnsi="Courier New"/>
          <w:sz w:val="18"/>
          <w:szCs w:val="18"/>
          <w:color w:val="auto"/>
        </w:rPr>
        <w:t>Street Retail Forest Hills I, LLC</w:t>
      </w:r>
    </w:p>
    <w:p>
      <w:pPr>
        <w:spacing w:after="0" w:line="237" w:lineRule="auto"/>
        <w:rPr>
          <w:sz w:val="20"/>
          <w:szCs w:val="20"/>
          <w:color w:val="auto"/>
        </w:rPr>
      </w:pPr>
      <w:r>
        <w:rPr>
          <w:rFonts w:ascii="Courier New" w:cs="Courier New" w:eastAsia="Courier New" w:hAnsi="Courier New"/>
          <w:sz w:val="18"/>
          <w:szCs w:val="18"/>
          <w:color w:val="auto"/>
        </w:rPr>
        <w:t>Street Retail Forest Hills II, LLC</w:t>
      </w:r>
    </w:p>
    <w:p>
      <w:pPr>
        <w:spacing w:after="0" w:line="238" w:lineRule="auto"/>
        <w:rPr>
          <w:sz w:val="20"/>
          <w:szCs w:val="20"/>
          <w:color w:val="auto"/>
        </w:rPr>
      </w:pPr>
      <w:r>
        <w:rPr>
          <w:rFonts w:ascii="Courier New" w:cs="Courier New" w:eastAsia="Courier New" w:hAnsi="Courier New"/>
          <w:sz w:val="18"/>
          <w:szCs w:val="18"/>
          <w:color w:val="auto"/>
        </w:rPr>
        <w:t>Street Retail San Antonio, LP</w:t>
      </w:r>
    </w:p>
    <w:p>
      <w:pPr>
        <w:spacing w:after="0"/>
        <w:rPr>
          <w:sz w:val="20"/>
          <w:szCs w:val="20"/>
          <w:color w:val="auto"/>
        </w:rPr>
      </w:pPr>
      <w:r>
        <w:rPr>
          <w:rFonts w:ascii="Courier New" w:cs="Courier New" w:eastAsia="Courier New" w:hAnsi="Courier New"/>
          <w:sz w:val="18"/>
          <w:szCs w:val="18"/>
          <w:color w:val="auto"/>
        </w:rPr>
        <w:t>FR Pike 7 Limited Partnership</w:t>
      </w:r>
    </w:p>
    <w:p>
      <w:pPr>
        <w:spacing w:after="0" w:line="237" w:lineRule="auto"/>
        <w:rPr>
          <w:sz w:val="20"/>
          <w:szCs w:val="20"/>
          <w:color w:val="auto"/>
        </w:rPr>
      </w:pPr>
      <w:r>
        <w:rPr>
          <w:rFonts w:ascii="Courier New" w:cs="Courier New" w:eastAsia="Courier New" w:hAnsi="Courier New"/>
          <w:sz w:val="18"/>
          <w:szCs w:val="18"/>
          <w:color w:val="auto"/>
        </w:rPr>
        <w:t>FR Leesburg Plaza, LLC</w:t>
      </w:r>
    </w:p>
    <w:p>
      <w:pPr>
        <w:spacing w:after="0"/>
        <w:rPr>
          <w:sz w:val="20"/>
          <w:szCs w:val="20"/>
          <w:color w:val="auto"/>
        </w:rPr>
      </w:pPr>
      <w:r>
        <w:rPr>
          <w:rFonts w:ascii="Courier New" w:cs="Courier New" w:eastAsia="Courier New" w:hAnsi="Courier New"/>
          <w:sz w:val="18"/>
          <w:szCs w:val="18"/>
          <w:color w:val="auto"/>
        </w:rPr>
        <w:t>FR Leesburg Plaza, LP</w:t>
      </w:r>
    </w:p>
    <w:p>
      <w:pPr>
        <w:spacing w:after="0" w:line="237" w:lineRule="auto"/>
        <w:rPr>
          <w:sz w:val="20"/>
          <w:szCs w:val="20"/>
          <w:color w:val="auto"/>
        </w:rPr>
      </w:pPr>
      <w:r>
        <w:rPr>
          <w:rFonts w:ascii="Courier New" w:cs="Courier New" w:eastAsia="Courier New" w:hAnsi="Courier New"/>
          <w:sz w:val="18"/>
          <w:szCs w:val="18"/>
          <w:color w:val="auto"/>
        </w:rPr>
        <w:t>Federal Realty Partners L.P.</w:t>
      </w:r>
    </w:p>
    <w:p>
      <w:pPr>
        <w:spacing w:after="0"/>
        <w:rPr>
          <w:sz w:val="20"/>
          <w:szCs w:val="20"/>
          <w:color w:val="auto"/>
        </w:rPr>
      </w:pPr>
      <w:r>
        <w:rPr>
          <w:rFonts w:ascii="Courier New" w:cs="Courier New" w:eastAsia="Courier New" w:hAnsi="Courier New"/>
          <w:sz w:val="18"/>
          <w:szCs w:val="18"/>
          <w:color w:val="auto"/>
        </w:rPr>
        <w:t>SRI Old Town, LLC</w:t>
      </w:r>
    </w:p>
    <w:p>
      <w:pPr>
        <w:spacing w:after="0" w:line="237" w:lineRule="auto"/>
        <w:rPr>
          <w:sz w:val="20"/>
          <w:szCs w:val="20"/>
          <w:color w:val="auto"/>
        </w:rPr>
      </w:pPr>
      <w:r>
        <w:rPr>
          <w:rFonts w:ascii="Courier New" w:cs="Courier New" w:eastAsia="Courier New" w:hAnsi="Courier New"/>
          <w:sz w:val="18"/>
          <w:szCs w:val="18"/>
          <w:color w:val="auto"/>
        </w:rPr>
        <w:t>Loehmann's Plaza Limited Partnership</w:t>
      </w:r>
    </w:p>
    <w:p>
      <w:pPr>
        <w:spacing w:after="0" w:line="238" w:lineRule="auto"/>
        <w:rPr>
          <w:sz w:val="20"/>
          <w:szCs w:val="20"/>
          <w:color w:val="auto"/>
        </w:rPr>
      </w:pPr>
      <w:r>
        <w:rPr>
          <w:rFonts w:ascii="Courier New" w:cs="Courier New" w:eastAsia="Courier New" w:hAnsi="Courier New"/>
          <w:sz w:val="18"/>
          <w:szCs w:val="18"/>
          <w:color w:val="auto"/>
        </w:rPr>
        <w:t>FR Associates Limited Partnership</w:t>
      </w:r>
    </w:p>
    <w:p>
      <w:pPr>
        <w:spacing w:after="0"/>
        <w:rPr>
          <w:sz w:val="20"/>
          <w:szCs w:val="20"/>
          <w:color w:val="auto"/>
        </w:rPr>
      </w:pPr>
      <w:r>
        <w:rPr>
          <w:rFonts w:ascii="Courier New" w:cs="Courier New" w:eastAsia="Courier New" w:hAnsi="Courier New"/>
          <w:sz w:val="18"/>
          <w:szCs w:val="18"/>
          <w:color w:val="auto"/>
        </w:rPr>
        <w:t>Andorra Associates</w:t>
      </w:r>
    </w:p>
    <w:p>
      <w:pPr>
        <w:spacing w:after="0" w:line="237" w:lineRule="auto"/>
        <w:rPr>
          <w:sz w:val="20"/>
          <w:szCs w:val="20"/>
          <w:color w:val="auto"/>
        </w:rPr>
      </w:pPr>
      <w:r>
        <w:rPr>
          <w:rFonts w:ascii="Courier New" w:cs="Courier New" w:eastAsia="Courier New" w:hAnsi="Courier New"/>
          <w:sz w:val="18"/>
          <w:szCs w:val="18"/>
          <w:color w:val="auto"/>
        </w:rPr>
        <w:t>Berman Enterprises II Limited Partnership</w:t>
      </w:r>
    </w:p>
    <w:p>
      <w:pPr>
        <w:spacing w:after="0"/>
        <w:rPr>
          <w:sz w:val="20"/>
          <w:szCs w:val="20"/>
          <w:color w:val="auto"/>
        </w:rPr>
      </w:pPr>
      <w:r>
        <w:rPr>
          <w:rFonts w:ascii="Courier New" w:cs="Courier New" w:eastAsia="Courier New" w:hAnsi="Courier New"/>
          <w:sz w:val="18"/>
          <w:szCs w:val="18"/>
          <w:color w:val="auto"/>
        </w:rPr>
        <w:t>Governor Plaza Associates</w:t>
      </w:r>
    </w:p>
    <w:p>
      <w:pPr>
        <w:spacing w:after="0" w:line="237" w:lineRule="auto"/>
        <w:rPr>
          <w:sz w:val="20"/>
          <w:szCs w:val="20"/>
          <w:color w:val="auto"/>
        </w:rPr>
      </w:pPr>
      <w:r>
        <w:rPr>
          <w:rFonts w:ascii="Courier New" w:cs="Courier New" w:eastAsia="Courier New" w:hAnsi="Courier New"/>
          <w:sz w:val="18"/>
          <w:szCs w:val="18"/>
          <w:color w:val="auto"/>
        </w:rPr>
        <w:t>Shopping Center Associates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Virginia Real Estate Investors Limited Partnership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FRIT Escondido Promenade, LLC</w:t>
      </w:r>
    </w:p>
    <w:p>
      <w:pPr>
        <w:spacing w:after="0" w:line="238" w:lineRule="auto"/>
        <w:rPr>
          <w:sz w:val="20"/>
          <w:szCs w:val="20"/>
          <w:color w:val="auto"/>
        </w:rPr>
      </w:pPr>
      <w:r>
        <w:rPr>
          <w:rFonts w:ascii="Courier New" w:cs="Courier New" w:eastAsia="Courier New" w:hAnsi="Courier New"/>
          <w:sz w:val="18"/>
          <w:szCs w:val="18"/>
          <w:color w:val="auto"/>
        </w:rPr>
        <w:t>Congressional Plaza Associates</w:t>
      </w:r>
    </w:p>
    <w:p>
      <w:pPr>
        <w:spacing w:after="0"/>
        <w:rPr>
          <w:sz w:val="20"/>
          <w:szCs w:val="20"/>
          <w:color w:val="auto"/>
        </w:rPr>
      </w:pPr>
      <w:r>
        <w:rPr>
          <w:rFonts w:ascii="Courier New" w:cs="Courier New" w:eastAsia="Courier New" w:hAnsi="Courier New"/>
          <w:sz w:val="18"/>
          <w:szCs w:val="18"/>
          <w:color w:val="auto"/>
        </w:rPr>
        <w:t>FR Federal Plaza, LLC</w:t>
      </w:r>
    </w:p>
    <w:p>
      <w:pPr>
        <w:spacing w:after="0" w:line="237" w:lineRule="auto"/>
        <w:rPr>
          <w:sz w:val="20"/>
          <w:szCs w:val="20"/>
          <w:color w:val="auto"/>
        </w:rPr>
      </w:pPr>
      <w:r>
        <w:rPr>
          <w:rFonts w:ascii="Courier New" w:cs="Courier New" w:eastAsia="Courier New" w:hAnsi="Courier New"/>
          <w:sz w:val="18"/>
          <w:szCs w:val="18"/>
          <w:color w:val="auto"/>
        </w:rPr>
        <w:t>FRIT San Jose Town and Country Village, LLC</w:t>
      </w:r>
    </w:p>
    <w:p>
      <w:pPr>
        <w:spacing w:after="0" w:line="238" w:lineRule="auto"/>
        <w:rPr>
          <w:sz w:val="20"/>
          <w:szCs w:val="20"/>
          <w:color w:val="auto"/>
        </w:rPr>
      </w:pPr>
      <w:r>
        <w:rPr>
          <w:rFonts w:ascii="Courier New" w:cs="Courier New" w:eastAsia="Courier New" w:hAnsi="Courier New"/>
          <w:sz w:val="18"/>
          <w:szCs w:val="18"/>
          <w:color w:val="auto"/>
        </w:rPr>
        <w:t>580 Market, LLC</w:t>
      </w:r>
    </w:p>
    <w:p>
      <w:pPr>
        <w:spacing w:after="0"/>
        <w:rPr>
          <w:sz w:val="20"/>
          <w:szCs w:val="20"/>
          <w:color w:val="auto"/>
        </w:rPr>
      </w:pPr>
      <w:r>
        <w:rPr>
          <w:rFonts w:ascii="Courier New" w:cs="Courier New" w:eastAsia="Courier New" w:hAnsi="Courier New"/>
          <w:sz w:val="18"/>
          <w:szCs w:val="18"/>
          <w:color w:val="auto"/>
        </w:rPr>
        <w:t>La Rive Gauche Sane Jose, LLC</w:t>
      </w:r>
    </w:p>
    <w:p>
      <w:pPr>
        <w:spacing w:after="0" w:line="237" w:lineRule="auto"/>
        <w:rPr>
          <w:sz w:val="20"/>
          <w:szCs w:val="20"/>
          <w:color w:val="auto"/>
        </w:rPr>
      </w:pPr>
      <w:r>
        <w:rPr>
          <w:rFonts w:ascii="Courier New" w:cs="Courier New" w:eastAsia="Courier New" w:hAnsi="Courier New"/>
          <w:sz w:val="18"/>
          <w:szCs w:val="18"/>
          <w:color w:val="auto"/>
        </w:rPr>
        <w:t>Straits Santana Row, LLC</w:t>
      </w:r>
    </w:p>
    <w:p>
      <w:pPr>
        <w:sectPr>
          <w:pgSz w:w="11900" w:h="16838" w:orient="portrait"/>
          <w:cols w:equalWidth="0" w:num="1">
            <w:col w:w="10219"/>
          </w:cols>
          <w:pgMar w:left="240" w:top="717" w:right="1440" w:bottom="1440" w:gutter="0" w:footer="0" w:header="0"/>
        </w:sectPr>
      </w:pPr>
    </w:p>
    <w:bookmarkStart w:id="49" w:name="page50"/>
    <w:bookmarkEnd w:id="49"/>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of our reports dated February 13, 2001 included in Federal Realty Investment Trust's Form 10-K for the year ended December 31, 2000, into the Company's previously filed Registration Statements File No. 333-63619, File No. 33-63687, File No. 33-63955, and File No. 33-15264.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238" w:lineRule="auto"/>
        <w:rPr>
          <w:sz w:val="20"/>
          <w:szCs w:val="20"/>
          <w:color w:val="auto"/>
        </w:rPr>
      </w:pPr>
      <w:r>
        <w:rPr>
          <w:rFonts w:ascii="Courier New" w:cs="Courier New" w:eastAsia="Courier New" w:hAnsi="Courier New"/>
          <w:sz w:val="18"/>
          <w:szCs w:val="18"/>
          <w:color w:val="auto"/>
        </w:rPr>
        <w:t>November 19, 2001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lvl w:ilvl="1">
      <w:lvlJc w:val="left"/>
      <w:lvlText w:val="(%2)"/>
      <w:numFmt w:val="lowerLetter"/>
      <w:start w:val="1"/>
    </w:lvl>
  </w:abstractNum>
  <w:abstractNum w:abstractNumId="4">
    <w:nsid w:val="6763845E"/>
    <w:multiLevelType w:val="hybridMultilevel"/>
    <w:lvl w:ilvl="0">
      <w:lvlJc w:val="left"/>
      <w:lvlText w:val="(%1)"/>
      <w:numFmt w:val="lowerLetter"/>
      <w:start w:val="2"/>
    </w:lvl>
  </w:abstractNum>
  <w:abstractNum w:abstractNumId="5">
    <w:nsid w:val="75A2A8D4"/>
    <w:multiLevelType w:val="hybridMultilevel"/>
    <w:lvl w:ilvl="0">
      <w:lvlJc w:val="left"/>
      <w:lvlText w:val="(%1)"/>
      <w:numFmt w:val="lowerLetter"/>
      <w:start w:val="4"/>
    </w:lvl>
  </w:abstractNum>
  <w:abstractNum w:abstractNumId="6">
    <w:nsid w:val="8EDBDAB"/>
    <w:multiLevelType w:val="hybridMultilevel"/>
    <w:lvl w:ilvl="0">
      <w:lvlJc w:val="left"/>
      <w:lvlText w:val="(%1)"/>
      <w:numFmt w:val="lowerLetter"/>
      <w:start w:val="6"/>
    </w:lvl>
  </w:abstractNum>
  <w:abstractNum w:abstractNumId="7">
    <w:nsid w:val="79838CB2"/>
    <w:multiLevelType w:val="hybridMultilevel"/>
    <w:lvl w:ilvl="0">
      <w:lvlJc w:val="left"/>
      <w:lvlText w:val="(%1)"/>
      <w:numFmt w:val="lowerLetter"/>
      <w:start w:val="10"/>
    </w:lvl>
  </w:abstractNum>
  <w:abstractNum w:abstractNumId="8">
    <w:nsid w:val="4353D0CD"/>
    <w:multiLevelType w:val="hybridMultilevel"/>
    <w:lvl w:ilvl="0">
      <w:lvlJc w:val="left"/>
      <w:lvlText w:val="%1"/>
      <w:numFmt w:val="decimal"/>
      <w:start w:val="1"/>
    </w:lvl>
    <w:lvl w:ilvl="1">
      <w:lvlJc w:val="left"/>
      <w:lvlText w:val="(%2)"/>
      <w:numFmt w:val="lowerLetter"/>
      <w:start w:val="16"/>
    </w:lvl>
  </w:abstractNum>
  <w:abstractNum w:abstractNumId="9">
    <w:nsid w:val="B03E0C6"/>
    <w:multiLevelType w:val="hybridMultilevel"/>
    <w:lvl w:ilvl="0">
      <w:lvlJc w:val="left"/>
      <w:lvlText w:val="%1."/>
      <w:numFmt w:val="decimal"/>
      <w:start w:val="3"/>
    </w:lvl>
    <w:lvl w:ilvl="1">
      <w:lvlJc w:val="left"/>
      <w:lvlText w:val="(%2)"/>
      <w:numFmt w:val="lowerLetter"/>
      <w:start w:val="1"/>
    </w:lvl>
  </w:abstractNum>
  <w:abstractNum w:abstractNumId="10">
    <w:nsid w:val="189A769B"/>
    <w:multiLevelType w:val="hybridMultilevel"/>
    <w:lvl w:ilvl="0">
      <w:lvlJc w:val="left"/>
      <w:lvlText w:val="(%1)"/>
      <w:numFmt w:val="lowerLetter"/>
      <w:start w:val="2"/>
    </w:lvl>
  </w:abstractNum>
  <w:abstractNum w:abstractNumId="11">
    <w:nsid w:val="54E49EB4"/>
    <w:multiLevelType w:val="hybridMultilevel"/>
    <w:lvl w:ilvl="0">
      <w:lvlJc w:val="left"/>
      <w:lvlText w:val="%1"/>
      <w:numFmt w:val="lowerLetter"/>
      <w:start w:val="1"/>
    </w:lvl>
    <w:lvl w:ilvl="1">
      <w:lvlJc w:val="left"/>
      <w:lvlText w:val="(%2)"/>
      <w:numFmt w:val="lowerLetter"/>
      <w:start w:val="4"/>
    </w:lvl>
  </w:abstractNum>
  <w:abstractNum w:abstractNumId="12">
    <w:nsid w:val="71F32454"/>
    <w:multiLevelType w:val="hybridMultilevel"/>
    <w:lvl w:ilvl="0">
      <w:lvlJc w:val="left"/>
      <w:lvlText w:val="(%1)"/>
      <w:numFmt w:val="lowerLetter"/>
      <w:start w:val="9"/>
    </w:lvl>
    <w:lvl w:ilvl="1">
      <w:lvlJc w:val="left"/>
      <w:lvlText w:val="(%2)"/>
      <w:numFmt w:val="lowerLetter"/>
      <w:start w:val="6"/>
    </w:lvl>
  </w:abstractNum>
  <w:abstractNum w:abstractNumId="13">
    <w:nsid w:val="2CA88611"/>
    <w:multiLevelType w:val="hybridMultilevel"/>
    <w:lvl w:ilvl="0">
      <w:lvlJc w:val="left"/>
      <w:lvlText w:val="%1"/>
      <w:numFmt w:val="lowerRoman"/>
      <w:start w:val="1"/>
    </w:lvl>
    <w:lvl w:ilvl="1">
      <w:lvlJc w:val="left"/>
      <w:lvlText w:val="%2."/>
      <w:numFmt w:val="decimal"/>
      <w:start w:val="6"/>
    </w:lvl>
  </w:abstractNum>
  <w:abstractNum w:abstractNumId="14">
    <w:nsid w:val="836C40E"/>
    <w:multiLevelType w:val="hybridMultilevel"/>
    <w:lvl w:ilvl="0">
      <w:lvlJc w:val="left"/>
      <w:lvlText w:val="(%1)"/>
      <w:numFmt w:val="lowerRoman"/>
      <w:start w:val="4"/>
    </w:lvl>
    <w:lvl w:ilvl="1">
      <w:lvlJc w:val="left"/>
      <w:lvlText w:val="%2"/>
      <w:numFmt w:val="decimal"/>
      <w:start w:val="1"/>
    </w:lvl>
  </w:abstractNum>
  <w:abstractNum w:abstractNumId="15">
    <w:nsid w:val="2901D82"/>
    <w:multiLevelType w:val="hybridMultilevel"/>
    <w:lvl w:ilvl="0">
      <w:lvlJc w:val="left"/>
      <w:lvlText w:val="(%1)"/>
      <w:numFmt w:val="lowerRoman"/>
      <w:start w:val="7"/>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6">
    <w:nsid w:val="3A95F874"/>
    <w:multiLevelType w:val="hybridMultilevel"/>
    <w:lvl w:ilvl="0">
      <w:lvlJc w:val="left"/>
      <w:lvlText w:val="%1"/>
      <w:numFmt w:val="lowerRoman"/>
      <w:start w:val="1"/>
    </w:lvl>
    <w:lvl w:ilvl="1">
      <w:lvlJc w:val="left"/>
      <w:lvlText w:val="(%2)"/>
      <w:numFmt w:val="lowerRoman"/>
      <w:start w:val="2"/>
    </w:lvl>
  </w:abstractNum>
  <w:abstractNum w:abstractNumId="17">
    <w:nsid w:val="8138641"/>
    <w:multiLevelType w:val="hybridMultilevel"/>
    <w:lvl w:ilvl="0">
      <w:lvlJc w:val="left"/>
      <w:lvlText w:val="(%1)"/>
      <w:numFmt w:val="lowerRoman"/>
      <w:start w:val="5"/>
    </w:lvl>
    <w:lvl w:ilvl="1">
      <w:lvlJc w:val="left"/>
      <w:lvlText w:val="(%2)"/>
      <w:numFmt w:val="lowerRoman"/>
      <w:start w:val="7"/>
    </w:lvl>
  </w:abstractNum>
  <w:abstractNum w:abstractNumId="18">
    <w:nsid w:val="1E7FF521"/>
    <w:multiLevelType w:val="hybridMultilevel"/>
    <w:lvl w:ilvl="0">
      <w:lvlJc w:val="left"/>
      <w:lvlText w:val="(%1)"/>
      <w:numFmt w:val="lowerLetter"/>
      <w:start w:val="4"/>
    </w:lvl>
  </w:abstractNum>
  <w:abstractNum w:abstractNumId="19">
    <w:nsid w:val="7C3DBD3D"/>
    <w:multiLevelType w:val="hybridMultilevel"/>
    <w:lvl w:ilvl="0">
      <w:lvlJc w:val="left"/>
      <w:lvlText w:val="%1"/>
      <w:numFmt w:val="lowerLetter"/>
      <w:start w:val="1"/>
    </w:lvl>
    <w:lvl w:ilvl="1">
      <w:lvlJc w:val="left"/>
      <w:lvlText w:val="(%2)"/>
      <w:numFmt w:val="lowerLetter"/>
      <w:start w:val="5"/>
    </w:lvl>
  </w:abstractNum>
  <w:abstractNum w:abstractNumId="20">
    <w:nsid w:val="737B8DDC"/>
    <w:multiLevelType w:val="hybridMultilevel"/>
    <w:lvl w:ilvl="0">
      <w:lvlJc w:val="left"/>
      <w:lvlText w:val="(%1)"/>
      <w:numFmt w:val="lowerLetter"/>
      <w:start w:val="35"/>
    </w:lvl>
    <w:lvl w:ilvl="1">
      <w:lvlJc w:val="left"/>
      <w:lvlText w:val="(%2)"/>
      <w:numFmt w:val="lowerLetter"/>
      <w:start w:val="8"/>
    </w:lvl>
  </w:abstractNum>
  <w:abstractNum w:abstractNumId="21">
    <w:nsid w:val="6CEAF087"/>
    <w:multiLevelType w:val="hybridMultilevel"/>
    <w:lvl w:ilvl="0">
      <w:lvlJc w:val="left"/>
      <w:lvlText w:val="%1"/>
      <w:numFmt w:val="decimal"/>
      <w:start w:val="1"/>
    </w:lvl>
    <w:lvl w:ilvl="1">
      <w:lvlJc w:val="left"/>
      <w:lvlText w:val="(%2)"/>
      <w:numFmt w:val="lowerLetter"/>
      <w:start w:val="9"/>
    </w:lvl>
  </w:abstractNum>
  <w:abstractNum w:abstractNumId="22">
    <w:nsid w:val="22221A70"/>
    <w:multiLevelType w:val="hybridMultilevel"/>
    <w:lvl w:ilvl="0">
      <w:lvlJc w:val="left"/>
      <w:lvlText w:val="%1."/>
      <w:numFmt w:val="decimal"/>
      <w:start w:val="8"/>
    </w:lvl>
    <w:lvl w:ilvl="1">
      <w:lvlJc w:val="left"/>
      <w:lvlText w:val="(%2)"/>
      <w:numFmt w:val="lowerLetter"/>
      <w:start w:val="2"/>
    </w:lvl>
  </w:abstractNum>
  <w:abstractNum w:abstractNumId="23">
    <w:nsid w:val="4516DDE9"/>
    <w:multiLevelType w:val="hybridMultilevel"/>
    <w:lvl w:ilvl="0">
      <w:lvlJc w:val="left"/>
      <w:lvlText w:val="%1"/>
      <w:numFmt w:val="lowerLetter"/>
      <w:start w:val="1"/>
    </w:lvl>
    <w:lvl w:ilvl="1">
      <w:lvlJc w:val="left"/>
      <w:lvlText w:val="(%2)"/>
      <w:numFmt w:val="lowerLetter"/>
      <w:start w:val="3"/>
    </w:lvl>
  </w:abstractNum>
  <w:abstractNum w:abstractNumId="24">
    <w:nsid w:val="3006C83E"/>
    <w:multiLevelType w:val="hybridMultilevel"/>
    <w:lvl w:ilvl="0">
      <w:lvlJc w:val="left"/>
      <w:lvlText w:val="(%1)"/>
      <w:numFmt w:val="lowerLetter"/>
      <w:start w:val="1"/>
    </w:lvl>
    <w:lvl w:ilvl="1">
      <w:lvlJc w:val="left"/>
      <w:lvlText w:val="%2"/>
      <w:numFmt w:val="lowerLetter"/>
      <w:start w:val="1"/>
    </w:lvl>
  </w:abstractNum>
  <w:abstractNum w:abstractNumId="25">
    <w:nsid w:val="614FD4A1"/>
    <w:multiLevelType w:val="hybridMultilevel"/>
    <w:lvl w:ilvl="0">
      <w:lvlJc w:val="left"/>
      <w:lvlText w:val="(%1)"/>
      <w:numFmt w:val="lowerLetter"/>
      <w:start w:val="5"/>
    </w:lvl>
  </w:abstractNum>
  <w:abstractNum w:abstractNumId="26">
    <w:nsid w:val="419AC241"/>
    <w:multiLevelType w:val="hybridMultilevel"/>
    <w:lvl w:ilvl="0">
      <w:lvlJc w:val="left"/>
      <w:lvlText w:val="%1."/>
      <w:numFmt w:val="decimal"/>
      <w:start w:val="9"/>
    </w:lvl>
    <w:lvl w:ilvl="1">
      <w:lvlJc w:val="left"/>
      <w:lvlText w:val="(%2)"/>
      <w:numFmt w:val="lowerLetter"/>
      <w:start w:val="2"/>
    </w:lvl>
  </w:abstractNum>
  <w:abstractNum w:abstractNumId="27">
    <w:nsid w:val="5577F8E1"/>
    <w:multiLevelType w:val="hybridMultilevel"/>
    <w:lvl w:ilvl="0">
      <w:lvlJc w:val="left"/>
      <w:lvlText w:val="%1."/>
      <w:numFmt w:val="decimal"/>
      <w:start w:val="10"/>
    </w:lvl>
  </w:abstractNum>
  <w:abstractNum w:abstractNumId="28">
    <w:nsid w:val="440BADFC"/>
    <w:multiLevelType w:val="hybridMultilevel"/>
    <w:lvl w:ilvl="0">
      <w:lvlJc w:val="left"/>
      <w:lvlText w:val="%1."/>
      <w:numFmt w:val="decimal"/>
      <w:start w:val="13"/>
    </w:lvl>
  </w:abstractNum>
  <w:abstractNum w:abstractNumId="29">
    <w:nsid w:val="5072367"/>
    <w:multiLevelType w:val="hybridMultilevel"/>
    <w:lvl w:ilvl="0">
      <w:lvlJc w:val="left"/>
      <w:lvlText w:val="%1."/>
      <w:numFmt w:val="decimal"/>
      <w:start w:val="15"/>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5"/>
    </w:lvl>
  </w:abstractNum>
  <w:abstractNum w:abstractNumId="32">
    <w:nsid w:val="7724C67E"/>
    <w:multiLevelType w:val="hybridMultilevel"/>
    <w:lvl w:ilvl="0">
      <w:lvlJc w:val="left"/>
      <w:lvlText w:val="%1"/>
      <w:numFmt w:val="lowerLetter"/>
      <w:start w:val="1"/>
    </w:lvl>
    <w:lvl w:ilvl="1">
      <w:lvlJc w:val="left"/>
      <w:lvlText w:val="(%2)"/>
      <w:numFmt w:val="lowerLetter"/>
      <w:start w:val="1"/>
    </w:lvl>
  </w:abstractNum>
  <w:abstractNum w:abstractNumId="33">
    <w:nsid w:val="5C482A97"/>
    <w:multiLevelType w:val="hybridMultilevel"/>
    <w:lvl w:ilvl="0">
      <w:lvlJc w:val="left"/>
      <w:lvlText w:val="(%1)"/>
      <w:numFmt w:val="lowerLetter"/>
      <w:start w:val="35"/>
    </w:lvl>
    <w:lvl w:ilvl="1">
      <w:lvlJc w:val="left"/>
      <w:lvlText w:val="(%2)"/>
      <w:numFmt w:val="lowerLetter"/>
      <w:start w:val="2"/>
    </w:lvl>
  </w:abstractNum>
  <w:abstractNum w:abstractNumId="34">
    <w:nsid w:val="2463B9EA"/>
    <w:multiLevelType w:val="hybridMultilevel"/>
    <w:lvl w:ilvl="0">
      <w:lvlJc w:val="left"/>
      <w:lvlText w:val="(%1)"/>
      <w:numFmt w:val="lowerLetter"/>
      <w:start w:val="4"/>
    </w:lvl>
  </w:abstractNum>
  <w:abstractNum w:abstractNumId="35">
    <w:nsid w:val="5E884ADC"/>
    <w:multiLevelType w:val="hybridMultilevel"/>
    <w:lvl w:ilvl="0">
      <w:lvlJc w:val="left"/>
      <w:lvlText w:val="%1."/>
      <w:numFmt w:val="decimal"/>
      <w:start w:val="7"/>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5"/>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6"/>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2019-12-13T00:51:56Z</dcterms:created>
  <dcterms:modified xsi:type="dcterms:W3CDTF">2019-12-13T00:51:56Z</dcterms:modified>
</cp:coreProperties>
</file>