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BERKES JEFFREY S</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02/10/2021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FEDERAL REALTY INVESTMENT TRUST</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FRT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000" w:type="dxa"/>
            <w:vAlign w:val="bottom"/>
            <w:gridSpan w:val="2"/>
          </w:tcPr>
          <w:p>
            <w:pPr>
              <w:ind w:left="40"/>
              <w:spacing w:after="0"/>
              <w:rPr>
                <w:sz w:val="20"/>
                <w:szCs w:val="20"/>
                <w:color w:val="auto"/>
              </w:rPr>
            </w:pPr>
            <w:r>
              <w:rPr>
                <w:rFonts w:ascii="Arial" w:cs="Arial" w:eastAsia="Arial" w:hAnsi="Arial"/>
                <w:sz w:val="13"/>
                <w:szCs w:val="13"/>
                <w:color w:val="0000FF"/>
                <w:w w:val="99"/>
              </w:rPr>
              <w:t>909 ROSE AVENUE - SUITE 200</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00" w:type="dxa"/>
            <w:vAlign w:val="bottom"/>
          </w:tcPr>
          <w:p>
            <w:pPr>
              <w:ind w:left="40"/>
              <w:spacing w:after="0"/>
              <w:rPr>
                <w:sz w:val="20"/>
                <w:szCs w:val="20"/>
                <w:color w:val="auto"/>
              </w:rPr>
            </w:pPr>
            <w:r>
              <w:rPr>
                <w:rFonts w:ascii="Arial" w:cs="Arial" w:eastAsia="Arial" w:hAnsi="Arial"/>
                <w:sz w:val="13"/>
                <w:szCs w:val="13"/>
                <w:color w:val="0000FF"/>
              </w:rPr>
              <w:t>NORTH</w:t>
            </w:r>
          </w:p>
        </w:tc>
        <w:tc>
          <w:tcPr>
            <w:tcW w:w="1100" w:type="dxa"/>
            <w:vAlign w:val="bottom"/>
            <w:vMerge w:val="restart"/>
          </w:tcPr>
          <w:p>
            <w:pPr>
              <w:ind w:left="180"/>
              <w:spacing w:after="0"/>
              <w:rPr>
                <w:sz w:val="20"/>
                <w:szCs w:val="20"/>
                <w:color w:val="auto"/>
              </w:rPr>
            </w:pPr>
            <w:r>
              <w:rPr>
                <w:rFonts w:ascii="Arial" w:cs="Arial" w:eastAsia="Arial" w:hAnsi="Arial"/>
                <w:sz w:val="13"/>
                <w:szCs w:val="13"/>
                <w:color w:val="0000FF"/>
              </w:rPr>
              <w:t>MD</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0000FF"/>
              </w:rPr>
              <w:t>20852</w:t>
            </w:r>
          </w:p>
        </w:tc>
        <w:tc>
          <w:tcPr>
            <w:tcW w:w="0" w:type="dxa"/>
            <w:vAlign w:val="bottom"/>
          </w:tcPr>
          <w:p>
            <w:pPr>
              <w:spacing w:after="0"/>
              <w:rPr>
                <w:sz w:val="1"/>
                <w:szCs w:val="1"/>
                <w:color w:val="auto"/>
              </w:rPr>
            </w:pPr>
          </w:p>
        </w:tc>
      </w:tr>
      <w:tr>
        <w:trPr>
          <w:trHeight w:val="84"/>
        </w:trPr>
        <w:tc>
          <w:tcPr>
            <w:tcW w:w="900" w:type="dxa"/>
            <w:vAlign w:val="bottom"/>
            <w:vMerge w:val="restart"/>
          </w:tcPr>
          <w:p>
            <w:pPr>
              <w:ind w:left="40"/>
              <w:spacing w:after="0"/>
              <w:rPr>
                <w:sz w:val="20"/>
                <w:szCs w:val="20"/>
                <w:color w:val="auto"/>
              </w:rPr>
            </w:pPr>
            <w:r>
              <w:rPr>
                <w:rFonts w:ascii="Arial" w:cs="Arial" w:eastAsia="Arial" w:hAnsi="Arial"/>
                <w:sz w:val="13"/>
                <w:szCs w:val="13"/>
                <w:color w:val="0000FF"/>
              </w:rPr>
              <w:t>BETHESDA</w:t>
            </w:r>
          </w:p>
        </w:tc>
        <w:tc>
          <w:tcPr>
            <w:tcW w:w="11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1085"/>
        <w:spacing w:after="0"/>
        <w:rPr>
          <w:sz w:val="20"/>
          <w:szCs w:val="20"/>
          <w:color w:val="auto"/>
        </w:rPr>
      </w:pPr>
      <w:r>
        <w:rPr>
          <w:rFonts w:ascii="Arial" w:cs="Arial" w:eastAsia="Arial" w:hAnsi="Arial"/>
          <w:sz w:val="13"/>
          <w:szCs w:val="13"/>
          <w:color w:val="0000FF"/>
        </w:rPr>
        <w:t>President and COO</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5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Arial" w:cs="Arial" w:eastAsia="Arial" w:hAnsi="Arial"/>
                <w:sz w:val="13"/>
                <w:szCs w:val="13"/>
                <w:color w:val="0000FF"/>
              </w:rPr>
              <w:t>Common Shares of Beneficial Interest</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jc w:val="right"/>
              <w:ind w:right="966"/>
              <w:spacing w:after="0"/>
              <w:rPr>
                <w:sz w:val="20"/>
                <w:szCs w:val="20"/>
                <w:color w:val="auto"/>
              </w:rPr>
            </w:pPr>
            <w:r>
              <w:rPr>
                <w:rFonts w:ascii="Arial" w:cs="Arial" w:eastAsia="Arial" w:hAnsi="Arial"/>
                <w:sz w:val="13"/>
                <w:szCs w:val="13"/>
                <w:color w:val="0000FF"/>
              </w:rPr>
              <w:t>40,540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880" w:type="dxa"/>
            <w:vAlign w:val="bottom"/>
            <w:gridSpan w:val="5"/>
          </w:tcPr>
          <w:p>
            <w:pPr>
              <w:ind w:left="8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-782955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Jeffrey S. Berkes</w:t>
            </w:r>
          </w:p>
        </w:tc>
        <w:tc>
          <w:tcPr>
            <w:tcW w:w="600" w:type="dxa"/>
            <w:vAlign w:val="bottom"/>
          </w:tcPr>
          <w:p>
            <w:pPr>
              <w:spacing w:after="0"/>
              <w:rPr>
                <w:sz w:val="20"/>
                <w:szCs w:val="20"/>
                <w:color w:val="auto"/>
              </w:rPr>
            </w:pPr>
            <w:r>
              <w:rPr>
                <w:rFonts w:ascii="Arial" w:cs="Arial" w:eastAsia="Arial" w:hAnsi="Arial"/>
                <w:sz w:val="13"/>
                <w:szCs w:val="13"/>
                <w:color w:val="0000FF"/>
                <w:w w:val="89"/>
              </w:rPr>
              <w:t>02/12/2021</w:t>
            </w:r>
          </w:p>
        </w:tc>
      </w:tr>
      <w:tr>
        <w:trPr>
          <w:trHeight w:val="20"/>
        </w:trPr>
        <w:tc>
          <w:tcPr>
            <w:tcW w:w="6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bl>
    <w:p>
      <w:pPr>
        <w:spacing w:after="0" w:line="20"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Dawn M. Becker as his true and lawful attorney-in-fact to</w:t>
      </w:r>
    </w:p>
    <w:p>
      <w:pPr>
        <w:spacing w:after="0" w:line="163" w:lineRule="exact"/>
        <w:rPr>
          <w:sz w:val="20"/>
          <w:szCs w:val="20"/>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Forms 3, 4 and 5 in accordance with Section 16(a) of the Securities Exchange Act of 193</w:t>
      </w:r>
    </w:p>
    <w:p>
      <w:pPr>
        <w:spacing w:after="0" w:line="152" w:lineRule="exact"/>
        <w:rPr>
          <w:rFonts w:ascii="Courier New" w:cs="Courier New" w:eastAsia="Courier New" w:hAnsi="Courier New"/>
          <w:sz w:val="13"/>
          <w:szCs w:val="13"/>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the execution o</w:t>
      </w:r>
    </w:p>
    <w:p>
      <w:pPr>
        <w:spacing w:after="0" w:line="153" w:lineRule="exact"/>
        <w:rPr>
          <w:rFonts w:ascii="Courier New" w:cs="Courier New" w:eastAsia="Courier New" w:hAnsi="Courier New"/>
          <w:sz w:val="13"/>
          <w:szCs w:val="13"/>
          <w:color w:val="auto"/>
        </w:rPr>
      </w:pPr>
    </w:p>
    <w:p>
      <w:pPr>
        <w:jc w:val="both"/>
        <w:ind w:left="320" w:hanging="8"/>
        <w:spacing w:after="0" w:line="488" w:lineRule="auto"/>
        <w:tabs>
          <w:tab w:leader="none" w:pos="78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all and every act and thing whatsoe The undersigned hereby revokes each and every prior power of attorney granted with respect to the actions listed above.</w:t>
      </w:r>
    </w:p>
    <w:p>
      <w:pPr>
        <w:spacing w:after="0" w:line="1" w:lineRule="exact"/>
        <w:rPr>
          <w:rFonts w:ascii="Courier New" w:cs="Courier New" w:eastAsia="Courier New" w:hAnsi="Courier New"/>
          <w:sz w:val="13"/>
          <w:szCs w:val="13"/>
          <w:color w:val="auto"/>
        </w:rPr>
      </w:pPr>
    </w:p>
    <w:p>
      <w:pPr>
        <w:ind w:left="3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10th day of February, 2021.</w:t>
      </w:r>
    </w:p>
    <w:p>
      <w:pPr>
        <w:spacing w:after="0" w:line="303" w:lineRule="exact"/>
        <w:rPr>
          <w:sz w:val="20"/>
          <w:szCs w:val="20"/>
          <w:color w:val="auto"/>
        </w:rPr>
      </w:pPr>
    </w:p>
    <w:p>
      <w:pPr>
        <w:ind w:left="1240"/>
        <w:spacing w:after="0"/>
        <w:tabs>
          <w:tab w:leader="none" w:pos="5680" w:val="left"/>
        </w:tabs>
        <w:rPr>
          <w:sz w:val="20"/>
          <w:szCs w:val="20"/>
          <w:color w:val="auto"/>
        </w:rPr>
      </w:pPr>
      <w:r>
        <w:rPr>
          <w:rFonts w:ascii="Courier New" w:cs="Courier New" w:eastAsia="Courier New" w:hAnsi="Courier New"/>
          <w:sz w:val="13"/>
          <w:szCs w:val="13"/>
          <w:color w:val="auto"/>
        </w:rPr>
        <w:t>/s/ Jeffrey S. Berkes</w:t>
      </w:r>
      <w:r>
        <w:rPr>
          <w:sz w:val="20"/>
          <w:szCs w:val="20"/>
          <w:color w:val="auto"/>
        </w:rPr>
        <w:tab/>
      </w:r>
      <w:r>
        <w:rPr>
          <w:rFonts w:ascii="Courier New" w:cs="Courier New" w:eastAsia="Courier New" w:hAnsi="Courier New"/>
          <w:sz w:val="12"/>
          <w:szCs w:val="12"/>
          <w:color w:val="auto"/>
        </w:rPr>
        <w:t>Signature</w:t>
      </w: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Jeffrey S. Berkes</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8515"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2021-02-12T15:33:55Z</dcterms:created>
  <dcterms:modified xsi:type="dcterms:W3CDTF">2021-02-12T15:33:55Z</dcterms:modified>
</cp:coreProperties>
</file>