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20, 2006</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43"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L. Horton, Jr.,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64" w:lineRule="exact"/>
        <w:rPr>
          <w:sz w:val="24"/>
          <w:szCs w:val="24"/>
          <w:color w:val="auto"/>
        </w:rPr>
      </w:pPr>
    </w:p>
    <w:p>
      <w:pPr>
        <w:ind w:right="660" w:firstLine="571"/>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31" w:lineRule="exact"/>
        <w:rPr>
          <w:sz w:val="24"/>
          <w:szCs w:val="24"/>
          <w:color w:val="auto"/>
        </w:rPr>
      </w:pPr>
    </w:p>
    <w:p>
      <w:pPr>
        <w:ind w:right="480" w:firstLine="571"/>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200" w:firstLine="571"/>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1" w:lineRule="exact"/>
        <w:rPr>
          <w:sz w:val="24"/>
          <w:szCs w:val="24"/>
          <w:color w:val="auto"/>
        </w:rPr>
      </w:pPr>
    </w:p>
    <w:p>
      <w:pPr>
        <w:ind w:right="180" w:firstLine="571"/>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400" w:firstLine="571"/>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160" w:firstLine="571"/>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320" w:firstLine="571"/>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wp:posOffset>
            </wp:positionH>
            <wp:positionV relativeFrom="paragraph">
              <wp:posOffset>124460</wp:posOffset>
            </wp:positionV>
            <wp:extent cx="717359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3595"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ind w:left="1052"/>
              <w:spacing w:after="0"/>
              <w:rPr>
                <w:sz w:val="20"/>
                <w:szCs w:val="20"/>
                <w:color w:val="auto"/>
              </w:rPr>
            </w:pPr>
            <w:r>
              <w:rPr>
                <w:rFonts w:ascii="Arial" w:cs="Arial" w:eastAsia="Arial" w:hAnsi="Arial"/>
                <w:sz w:val="14"/>
                <w:szCs w:val="14"/>
                <w:b w:val="1"/>
                <w:bCs w:val="1"/>
                <w:color w:val="auto"/>
                <w:w w:val="83"/>
              </w:rPr>
              <w:t>Proposed</w:t>
            </w:r>
          </w:p>
        </w:tc>
        <w:tc>
          <w:tcPr>
            <w:tcW w:w="1860" w:type="dxa"/>
            <w:vAlign w:val="bottom"/>
            <w:tcBorders>
              <w:right w:val="single" w:sz="8" w:color="auto"/>
            </w:tcBorders>
          </w:tcPr>
          <w:p>
            <w:pPr>
              <w:jc w:val="center"/>
              <w:ind w:left="1052"/>
              <w:spacing w:after="0"/>
              <w:rPr>
                <w:sz w:val="20"/>
                <w:szCs w:val="20"/>
                <w:color w:val="auto"/>
              </w:rPr>
            </w:pPr>
            <w:r>
              <w:rPr>
                <w:rFonts w:ascii="Arial" w:cs="Arial" w:eastAsia="Arial" w:hAnsi="Arial"/>
                <w:sz w:val="14"/>
                <w:szCs w:val="14"/>
                <w:b w:val="1"/>
                <w:bCs w:val="1"/>
                <w:color w:val="auto"/>
                <w:w w:val="83"/>
              </w:rPr>
              <w:t>Proposed</w:t>
            </w: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center"/>
              <w:ind w:left="1032"/>
              <w:spacing w:after="0" w:line="149" w:lineRule="exact"/>
              <w:rPr>
                <w:sz w:val="20"/>
                <w:szCs w:val="20"/>
                <w:color w:val="auto"/>
              </w:rPr>
            </w:pPr>
            <w:r>
              <w:rPr>
                <w:rFonts w:ascii="Arial" w:cs="Arial" w:eastAsia="Arial" w:hAnsi="Arial"/>
                <w:sz w:val="14"/>
                <w:szCs w:val="14"/>
                <w:b w:val="1"/>
                <w:bCs w:val="1"/>
                <w:color w:val="auto"/>
                <w:w w:val="92"/>
              </w:rPr>
              <w:t>Maximum</w:t>
            </w:r>
          </w:p>
        </w:tc>
        <w:tc>
          <w:tcPr>
            <w:tcW w:w="1860" w:type="dxa"/>
            <w:vAlign w:val="bottom"/>
            <w:tcBorders>
              <w:right w:val="single" w:sz="8" w:color="auto"/>
            </w:tcBorders>
          </w:tcPr>
          <w:p>
            <w:pPr>
              <w:jc w:val="center"/>
              <w:ind w:left="1032"/>
              <w:spacing w:after="0" w:line="149" w:lineRule="exact"/>
              <w:rPr>
                <w:sz w:val="20"/>
                <w:szCs w:val="20"/>
                <w:color w:val="auto"/>
              </w:rPr>
            </w:pPr>
            <w:r>
              <w:rPr>
                <w:rFonts w:ascii="Arial" w:cs="Arial" w:eastAsia="Arial" w:hAnsi="Arial"/>
                <w:sz w:val="14"/>
                <w:szCs w:val="14"/>
                <w:b w:val="1"/>
                <w:bCs w:val="1"/>
                <w:color w:val="auto"/>
                <w:w w:val="92"/>
              </w:rPr>
              <w:t>Maximum</w:t>
            </w: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jc w:val="center"/>
              <w:ind w:left="1112"/>
              <w:spacing w:after="0" w:line="149" w:lineRule="exact"/>
              <w:rPr>
                <w:sz w:val="20"/>
                <w:szCs w:val="20"/>
                <w:color w:val="auto"/>
              </w:rPr>
            </w:pPr>
            <w:r>
              <w:rPr>
                <w:rFonts w:ascii="Arial" w:cs="Arial" w:eastAsia="Arial" w:hAnsi="Arial"/>
                <w:sz w:val="14"/>
                <w:szCs w:val="14"/>
                <w:b w:val="1"/>
                <w:bCs w:val="1"/>
                <w:color w:val="auto"/>
                <w:w w:val="88"/>
              </w:rPr>
              <w:t>Amount to</w:t>
            </w:r>
          </w:p>
        </w:tc>
        <w:tc>
          <w:tcPr>
            <w:tcW w:w="186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Offering</w:t>
            </w:r>
          </w:p>
        </w:tc>
        <w:tc>
          <w:tcPr>
            <w:tcW w:w="186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3"/>
              </w:rPr>
              <w:t>Aggregate</w:t>
            </w: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3420" w:type="dxa"/>
            <w:vAlign w:val="bottom"/>
            <w:tcBorders>
              <w:right w:val="single" w:sz="8" w:color="auto"/>
            </w:tcBorders>
          </w:tcPr>
          <w:p>
            <w:pPr>
              <w:ind w:left="1080"/>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1960" w:type="dxa"/>
            <w:vAlign w:val="bottom"/>
            <w:tcBorders>
              <w:right w:val="single" w:sz="8" w:color="auto"/>
            </w:tcBorders>
          </w:tcPr>
          <w:p>
            <w:pPr>
              <w:jc w:val="center"/>
              <w:ind w:left="1112"/>
              <w:spacing w:after="0" w:line="149" w:lineRule="exact"/>
              <w:rPr>
                <w:sz w:val="20"/>
                <w:szCs w:val="20"/>
                <w:color w:val="auto"/>
              </w:rPr>
            </w:pPr>
            <w:r>
              <w:rPr>
                <w:rFonts w:ascii="Arial" w:cs="Arial" w:eastAsia="Arial" w:hAnsi="Arial"/>
                <w:sz w:val="14"/>
                <w:szCs w:val="14"/>
                <w:b w:val="1"/>
                <w:bCs w:val="1"/>
                <w:color w:val="auto"/>
                <w:w w:val="85"/>
              </w:rPr>
              <w:t>be</w:t>
            </w:r>
          </w:p>
        </w:tc>
        <w:tc>
          <w:tcPr>
            <w:tcW w:w="186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7"/>
              </w:rPr>
              <w:t>Price</w:t>
            </w:r>
          </w:p>
        </w:tc>
        <w:tc>
          <w:tcPr>
            <w:tcW w:w="186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Offering</w:t>
            </w:r>
          </w:p>
        </w:tc>
        <w:tc>
          <w:tcPr>
            <w:tcW w:w="2200" w:type="dxa"/>
            <w:vAlign w:val="bottom"/>
            <w:gridSpan w:val="2"/>
          </w:tcPr>
          <w:p>
            <w:pPr>
              <w:jc w:val="center"/>
              <w:ind w:left="107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120" w:type="dxa"/>
            <w:vAlign w:val="bottom"/>
            <w:tcBorders>
              <w:bottom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4"/>
                <w:szCs w:val="14"/>
                <w:b w:val="1"/>
                <w:bCs w:val="1"/>
                <w:color w:val="auto"/>
              </w:rPr>
              <w:t>Securities to be Registered(2)</w:t>
            </w:r>
          </w:p>
        </w:tc>
        <w:tc>
          <w:tcPr>
            <w:tcW w:w="1960" w:type="dxa"/>
            <w:vAlign w:val="bottom"/>
            <w:tcBorders>
              <w:bottom w:val="single" w:sz="8" w:color="auto"/>
              <w:right w:val="single" w:sz="8" w:color="auto"/>
            </w:tcBorders>
          </w:tcPr>
          <w:p>
            <w:pPr>
              <w:jc w:val="center"/>
              <w:ind w:left="1112"/>
              <w:spacing w:after="0"/>
              <w:rPr>
                <w:sz w:val="20"/>
                <w:szCs w:val="20"/>
                <w:color w:val="auto"/>
              </w:rPr>
            </w:pPr>
            <w:r>
              <w:rPr>
                <w:rFonts w:ascii="Arial" w:cs="Arial" w:eastAsia="Arial" w:hAnsi="Arial"/>
                <w:sz w:val="14"/>
                <w:szCs w:val="14"/>
                <w:b w:val="1"/>
                <w:bCs w:val="1"/>
                <w:color w:val="auto"/>
                <w:w w:val="85"/>
              </w:rPr>
              <w:t>Registered</w:t>
            </w:r>
          </w:p>
        </w:tc>
        <w:tc>
          <w:tcPr>
            <w:tcW w:w="1860" w:type="dxa"/>
            <w:vAlign w:val="bottom"/>
            <w:tcBorders>
              <w:bottom w:val="single" w:sz="8" w:color="auto"/>
              <w:right w:val="single" w:sz="8" w:color="auto"/>
            </w:tcBorders>
          </w:tcPr>
          <w:p>
            <w:pPr>
              <w:jc w:val="center"/>
              <w:ind w:left="1032"/>
              <w:spacing w:after="0"/>
              <w:rPr>
                <w:sz w:val="20"/>
                <w:szCs w:val="20"/>
                <w:color w:val="auto"/>
              </w:rPr>
            </w:pPr>
            <w:r>
              <w:rPr>
                <w:rFonts w:ascii="Arial" w:cs="Arial" w:eastAsia="Arial" w:hAnsi="Arial"/>
                <w:sz w:val="14"/>
                <w:szCs w:val="14"/>
                <w:b w:val="1"/>
                <w:bCs w:val="1"/>
                <w:color w:val="auto"/>
                <w:w w:val="89"/>
              </w:rPr>
              <w:t>Per Unit</w:t>
            </w:r>
          </w:p>
        </w:tc>
        <w:tc>
          <w:tcPr>
            <w:tcW w:w="1860" w:type="dxa"/>
            <w:vAlign w:val="bottom"/>
            <w:tcBorders>
              <w:bottom w:val="single" w:sz="8" w:color="auto"/>
              <w:right w:val="single" w:sz="8" w:color="auto"/>
            </w:tcBorders>
          </w:tcPr>
          <w:p>
            <w:pPr>
              <w:jc w:val="center"/>
              <w:ind w:left="1052"/>
              <w:spacing w:after="0"/>
              <w:rPr>
                <w:sz w:val="20"/>
                <w:szCs w:val="20"/>
                <w:color w:val="auto"/>
              </w:rPr>
            </w:pPr>
            <w:r>
              <w:rPr>
                <w:rFonts w:ascii="Arial" w:cs="Arial" w:eastAsia="Arial" w:hAnsi="Arial"/>
                <w:sz w:val="14"/>
                <w:szCs w:val="14"/>
                <w:b w:val="1"/>
                <w:bCs w:val="1"/>
                <w:color w:val="auto"/>
                <w:w w:val="87"/>
              </w:rPr>
              <w:t>Price</w:t>
            </w:r>
          </w:p>
        </w:tc>
        <w:tc>
          <w:tcPr>
            <w:tcW w:w="220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4"/>
                <w:szCs w:val="14"/>
                <w:b w:val="1"/>
                <w:bCs w:val="1"/>
                <w:color w:val="auto"/>
                <w:w w:val="85"/>
              </w:rPr>
              <w:t>Registration Fee</w:t>
            </w:r>
          </w:p>
        </w:tc>
      </w:tr>
      <w:tr>
        <w:trPr>
          <w:trHeight w:val="142"/>
        </w:trPr>
        <w:tc>
          <w:tcPr>
            <w:tcW w:w="12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9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12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Preferred Shares, $0.01 par value</w:t>
            </w:r>
          </w:p>
        </w:tc>
        <w:tc>
          <w:tcPr>
            <w:tcW w:w="19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12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Depositary Shares (3)</w:t>
            </w:r>
          </w:p>
        </w:tc>
        <w:tc>
          <w:tcPr>
            <w:tcW w:w="19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8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8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2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w:t>
            </w:r>
          </w:p>
        </w:tc>
      </w:tr>
      <w:tr>
        <w:trPr>
          <w:trHeight w:val="142"/>
        </w:trPr>
        <w:tc>
          <w:tcPr>
            <w:tcW w:w="12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$0.01 par value (4)</w:t>
            </w:r>
          </w:p>
        </w:tc>
        <w:tc>
          <w:tcPr>
            <w:tcW w:w="19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3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19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2"/>
        </w:trPr>
        <w:tc>
          <w:tcPr>
            <w:tcW w:w="120" w:type="dxa"/>
            <w:vAlign w:val="bottom"/>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4"/>
          <w:szCs w:val="24"/>
          <w:color w:val="auto"/>
        </w:rPr>
      </w:pPr>
    </w:p>
    <w:p>
      <w:pPr>
        <w:ind w:left="580" w:right="40" w:hanging="572"/>
        <w:spacing w:after="0" w:line="263"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the registrant is deferring payment of all of the registration fee, except for $9,200 that has already been paid with respect to the $100,000,000 aggregate initial offering price of securities that were previously registered pursuant to Registration Statement No. 333-100819 filed by Federal Realty Investment Trust on October 29, 2002 and that were not sold thereunder.</w:t>
      </w:r>
    </w:p>
    <w:p>
      <w:pPr>
        <w:spacing w:after="0" w:line="1"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Offered securities registered hereunder may be sold separately, together or as units with other offered securities registered hereunder.</w:t>
      </w:r>
    </w:p>
    <w:p>
      <w:pPr>
        <w:ind w:left="580" w:hanging="572"/>
        <w:spacing w:after="0" w:line="221"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depositary share will be issued under a deposit agreement and will be evidenced by a depositary receipt.</w:t>
      </w: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associated rights to purchase common shares of beneficial interest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102870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337" w:lineRule="exact"/>
        <w:rPr>
          <w:sz w:val="24"/>
          <w:szCs w:val="24"/>
          <w:color w:val="auto"/>
        </w:rPr>
      </w:pPr>
    </w:p>
    <w:p>
      <w:pPr>
        <w:ind w:right="540" w:firstLine="571"/>
        <w:spacing w:after="0" w:line="275" w:lineRule="auto"/>
        <w:rPr>
          <w:sz w:val="20"/>
          <w:szCs w:val="20"/>
          <w:color w:val="auto"/>
        </w:rPr>
      </w:pPr>
      <w:r>
        <w:rPr>
          <w:rFonts w:ascii="Arial" w:cs="Arial" w:eastAsia="Arial" w:hAnsi="Arial"/>
          <w:sz w:val="18"/>
          <w:szCs w:val="18"/>
          <w:b w:val="1"/>
          <w:bCs w:val="1"/>
          <w:color w:val="auto"/>
        </w:rPr>
        <w:t>Pursuant to Rule 429 of the General Rules and Regulations under the Securities Act of 1933, the prospectus included herein also relates to Registration Statement No. 333-100819.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77" w:lineRule="exact"/>
        <w:rPr>
          <w:sz w:val="20"/>
          <w:szCs w:val="20"/>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58" w:lineRule="exact"/>
        <w:rPr>
          <w:sz w:val="20"/>
          <w:szCs w:val="20"/>
          <w:color w:val="auto"/>
        </w:rPr>
      </w:pPr>
    </w:p>
    <w:p>
      <w:pPr>
        <w:jc w:val="both"/>
        <w:ind w:right="160" w:firstLine="571"/>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3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149225</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March 31, 2006, we owned or had a majority interest in 104 community and neighborhood shopping centers and mixed-use properties comprising approximately 17.6 million square feet, located primarily in densely populated and affluent communities throughout the Northeast and Mid-Atlantic United States, as well as in California, and one apartment complex in Maryland.</w:t>
      </w:r>
    </w:p>
    <w:p>
      <w:pPr>
        <w:spacing w:after="0" w:line="99"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37" w:lineRule="exact"/>
        <w:rPr>
          <w:sz w:val="20"/>
          <w:szCs w:val="20"/>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For the Three Months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6500" w:type="dxa"/>
            <w:vAlign w:val="bottom"/>
          </w:tcPr>
          <w:p>
            <w:pPr>
              <w:spacing w:after="0"/>
              <w:rPr>
                <w:sz w:val="15"/>
                <w:szCs w:val="15"/>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Ended March 31,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7"/>
              </w:rPr>
              <w:t>For the Years Ended December 31,</w:t>
            </w:r>
          </w:p>
        </w:tc>
        <w:tc>
          <w:tcPr>
            <w:tcW w:w="420" w:type="dxa"/>
            <w:vAlign w:val="bottom"/>
          </w:tcPr>
          <w:p>
            <w:pPr>
              <w:spacing w:after="0"/>
              <w:rPr>
                <w:sz w:val="15"/>
                <w:szCs w:val="15"/>
                <w:color w:val="auto"/>
              </w:rPr>
            </w:pPr>
          </w:p>
        </w:tc>
      </w:tr>
      <w:tr>
        <w:trPr>
          <w:trHeight w:val="95"/>
        </w:trPr>
        <w:tc>
          <w:tcPr>
            <w:tcW w:w="6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63"/>
        </w:trPr>
        <w:tc>
          <w:tcPr>
            <w:tcW w:w="6500" w:type="dxa"/>
            <w:vAlign w:val="bottom"/>
          </w:tcPr>
          <w:p>
            <w:pPr>
              <w:spacing w:after="0"/>
              <w:rPr>
                <w:sz w:val="22"/>
                <w:szCs w:val="22"/>
                <w:color w:val="auto"/>
              </w:rPr>
            </w:pPr>
          </w:p>
        </w:tc>
        <w:tc>
          <w:tcPr>
            <w:tcW w:w="580" w:type="dxa"/>
            <w:vAlign w:val="bottom"/>
          </w:tcPr>
          <w:p>
            <w:pPr>
              <w:jc w:val="right"/>
              <w:ind w:right="8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42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r>
      <w:tr>
        <w:trPr>
          <w:trHeight w:val="95"/>
        </w:trPr>
        <w:tc>
          <w:tcPr>
            <w:tcW w:w="6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14"/>
        </w:trPr>
        <w:tc>
          <w:tcPr>
            <w:tcW w:w="65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29"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right="320" w:firstLine="571"/>
        <w:spacing w:after="0" w:line="323" w:lineRule="auto"/>
        <w:rPr>
          <w:sz w:val="20"/>
          <w:szCs w:val="20"/>
          <w:color w:val="auto"/>
        </w:rPr>
      </w:pPr>
      <w:r>
        <w:rPr>
          <w:rFonts w:ascii="Arial" w:cs="Arial" w:eastAsia="Arial" w:hAnsi="Arial"/>
          <w:sz w:val="15"/>
          <w:szCs w:val="15"/>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85"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w:t>
      </w:r>
    </w:p>
    <w:p>
      <w:pPr>
        <w:spacing w:after="0" w:line="77" w:lineRule="exact"/>
        <w:rPr>
          <w:sz w:val="20"/>
          <w:szCs w:val="20"/>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03" w:lineRule="exact"/>
        <w:rPr>
          <w:rFonts w:ascii="Arial" w:cs="Arial" w:eastAsia="Arial" w:hAnsi="Arial"/>
          <w:sz w:val="18"/>
          <w:szCs w:val="18"/>
          <w:color w:val="auto"/>
        </w:rPr>
      </w:pPr>
    </w:p>
    <w:p>
      <w:pPr>
        <w:ind w:left="800" w:right="520" w:hanging="225"/>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83" w:lineRule="exact"/>
        <w:rPr>
          <w:sz w:val="20"/>
          <w:szCs w:val="20"/>
          <w:color w:val="auto"/>
        </w:rPr>
      </w:pPr>
    </w:p>
    <w:p>
      <w:pPr>
        <w:jc w:val="both"/>
        <w:ind w:right="20" w:firstLine="571"/>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9"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8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6" w:lineRule="exact"/>
        <w:rPr>
          <w:sz w:val="20"/>
          <w:szCs w:val="20"/>
          <w:color w:val="auto"/>
        </w:rPr>
      </w:pPr>
    </w:p>
    <w:p>
      <w:pPr>
        <w:ind w:left="580"/>
        <w:spacing w:after="0"/>
        <w:tabs>
          <w:tab w:leader="none" w:pos="780" w:val="left"/>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Title.</w:t>
      </w:r>
      <w:r>
        <w:rPr>
          <w:sz w:val="20"/>
          <w:szCs w:val="20"/>
          <w:color w:val="auto"/>
        </w:rPr>
        <w:tab/>
      </w:r>
      <w:r>
        <w:rPr>
          <w:rFonts w:ascii="Arial" w:cs="Arial" w:eastAsia="Arial" w:hAnsi="Arial"/>
          <w:sz w:val="16"/>
          <w:szCs w:val="16"/>
          <w:color w:val="auto"/>
        </w:rPr>
        <w:t>The title of the debt securities offered.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03"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37" w:lineRule="exact"/>
        <w:rPr>
          <w:rFonts w:ascii="Arial" w:cs="Arial" w:eastAsia="Arial" w:hAnsi="Arial"/>
          <w:sz w:val="18"/>
          <w:szCs w:val="18"/>
          <w:color w:val="auto"/>
        </w:rPr>
      </w:pPr>
    </w:p>
    <w:p>
      <w:pPr>
        <w:ind w:left="800" w:right="50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03" w:lineRule="exact"/>
        <w:rPr>
          <w:rFonts w:ascii="Arial" w:cs="Arial" w:eastAsia="Arial" w:hAnsi="Arial"/>
          <w:sz w:val="18"/>
          <w:szCs w:val="18"/>
          <w:color w:val="auto"/>
        </w:rPr>
      </w:pPr>
    </w:p>
    <w:p>
      <w:pPr>
        <w:ind w:left="800" w:right="18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37"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37" w:lineRule="exact"/>
        <w:rPr>
          <w:rFonts w:ascii="Arial" w:cs="Arial" w:eastAsia="Arial" w:hAnsi="Arial"/>
          <w:sz w:val="18"/>
          <w:szCs w:val="18"/>
          <w:color w:val="auto"/>
        </w:rPr>
      </w:pPr>
    </w:p>
    <w:p>
      <w:pPr>
        <w:ind w:left="800" w:right="60" w:hanging="225"/>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5" w:lineRule="exact"/>
        <w:rPr>
          <w:rFonts w:ascii="Arial" w:cs="Arial" w:eastAsia="Arial" w:hAnsi="Arial"/>
          <w:sz w:val="18"/>
          <w:szCs w:val="18"/>
          <w:color w:val="auto"/>
        </w:rPr>
      </w:pPr>
    </w:p>
    <w:p>
      <w:pPr>
        <w:ind w:left="800" w:right="80" w:hanging="225"/>
        <w:spacing w:after="0" w:line="298"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8" w:lineRule="exact"/>
        <w:rPr>
          <w:rFonts w:ascii="Arial" w:cs="Arial" w:eastAsia="Arial" w:hAnsi="Arial"/>
          <w:sz w:val="16"/>
          <w:szCs w:val="16"/>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03" w:lineRule="exact"/>
        <w:rPr>
          <w:rFonts w:ascii="Arial" w:cs="Arial" w:eastAsia="Arial" w:hAnsi="Arial"/>
          <w:sz w:val="18"/>
          <w:szCs w:val="18"/>
          <w:color w:val="auto"/>
        </w:rPr>
      </w:pPr>
    </w:p>
    <w:p>
      <w:pPr>
        <w:ind w:left="800" w:right="120" w:hanging="225"/>
        <w:spacing w:after="0" w:line="25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Arial" w:cs="Arial" w:eastAsia="Arial" w:hAnsi="Arial"/>
          <w:sz w:val="18"/>
          <w:szCs w:val="18"/>
          <w:color w:val="auto"/>
        </w:rPr>
      </w:pPr>
    </w:p>
    <w:p>
      <w:pPr>
        <w:ind w:left="800" w:right="1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26"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37"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0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03" w:lineRule="exact"/>
        <w:rPr>
          <w:rFonts w:ascii="Arial" w:cs="Arial" w:eastAsia="Arial" w:hAnsi="Arial"/>
          <w:sz w:val="18"/>
          <w:szCs w:val="18"/>
          <w:color w:val="auto"/>
        </w:rPr>
      </w:pPr>
    </w:p>
    <w:p>
      <w:pPr>
        <w:ind w:left="800" w:right="80" w:hanging="225"/>
        <w:spacing w:after="0" w:line="25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45" w:lineRule="exact"/>
        <w:rPr>
          <w:rFonts w:ascii="Arial" w:cs="Arial" w:eastAsia="Arial" w:hAnsi="Arial"/>
          <w:sz w:val="18"/>
          <w:szCs w:val="18"/>
          <w:color w:val="auto"/>
        </w:rPr>
      </w:pPr>
    </w:p>
    <w:p>
      <w:pPr>
        <w:ind w:left="800" w:right="60" w:hanging="225"/>
        <w:spacing w:after="0" w:line="325"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1" w:lineRule="exact"/>
        <w:rPr>
          <w:rFonts w:ascii="Arial" w:cs="Arial" w:eastAsia="Arial" w:hAnsi="Arial"/>
          <w:sz w:val="16"/>
          <w:szCs w:val="16"/>
          <w:color w:val="auto"/>
        </w:rPr>
      </w:pPr>
    </w:p>
    <w:p>
      <w:pPr>
        <w:ind w:left="800" w:right="540" w:hanging="225"/>
        <w:spacing w:after="0" w:line="325"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the subordinated indenture, the relative degree to which the offered debt securities shall be senior to or junior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whether currently outstanding or to be offered in the future, and to other debt, in right of payment.</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other securities or property.</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03" w:lineRule="exact"/>
        <w:rPr>
          <w:rFonts w:ascii="Arial" w:cs="Arial" w:eastAsia="Arial" w:hAnsi="Arial"/>
          <w:sz w:val="18"/>
          <w:szCs w:val="18"/>
          <w:color w:val="auto"/>
        </w:rPr>
      </w:pPr>
    </w:p>
    <w:p>
      <w:pPr>
        <w:ind w:left="800" w:right="220" w:hanging="225"/>
        <w:spacing w:after="0" w:line="33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83" w:lineRule="exact"/>
        <w:rPr>
          <w:sz w:val="20"/>
          <w:szCs w:val="20"/>
          <w:color w:val="auto"/>
        </w:rPr>
      </w:pPr>
    </w:p>
    <w:p>
      <w:pPr>
        <w:ind w:left="580"/>
        <w:spacing w:after="0"/>
        <w:tabs>
          <w:tab w:leader="none" w:pos="274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77" w:lineRule="exact"/>
        <w:rPr>
          <w:sz w:val="20"/>
          <w:szCs w:val="20"/>
          <w:color w:val="auto"/>
        </w:rPr>
      </w:pPr>
    </w:p>
    <w:p>
      <w:pPr>
        <w:ind w:left="800" w:right="20" w:hanging="225"/>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hanging="225"/>
        <w:spacing w:after="0" w:line="30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93"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100"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85" w:lineRule="exact"/>
        <w:rPr>
          <w:sz w:val="20"/>
          <w:szCs w:val="20"/>
          <w:color w:val="auto"/>
        </w:rPr>
      </w:pPr>
    </w:p>
    <w:p>
      <w:pPr>
        <w:ind w:left="580"/>
        <w:spacing w:after="0"/>
        <w:tabs>
          <w:tab w:leader="none" w:pos="396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77" w:lineRule="exact"/>
        <w:rPr>
          <w:sz w:val="20"/>
          <w:szCs w:val="20"/>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jc w:val="both"/>
        <w:ind w:right="100" w:firstLine="571"/>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49" w:lineRule="exact"/>
        <w:rPr>
          <w:sz w:val="20"/>
          <w:szCs w:val="20"/>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85"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18"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77"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8"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800" w:right="80" w:hanging="225"/>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7"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37"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103" w:lineRule="exact"/>
        <w:rPr>
          <w:rFonts w:ascii="Arial" w:cs="Arial" w:eastAsia="Arial" w:hAnsi="Arial"/>
          <w:sz w:val="18"/>
          <w:szCs w:val="18"/>
          <w:color w:val="auto"/>
        </w:rPr>
      </w:pPr>
    </w:p>
    <w:p>
      <w:pPr>
        <w:ind w:left="1260" w:right="180" w:hanging="455"/>
        <w:spacing w:after="0" w:line="259"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37" w:lineRule="exact"/>
        <w:rPr>
          <w:rFonts w:ascii="Arial" w:cs="Arial" w:eastAsia="Arial" w:hAnsi="Arial"/>
          <w:sz w:val="18"/>
          <w:szCs w:val="18"/>
          <w:color w:val="auto"/>
        </w:rPr>
      </w:pPr>
    </w:p>
    <w:p>
      <w:pPr>
        <w:ind w:left="800" w:right="180" w:hanging="225"/>
        <w:spacing w:after="0" w:line="25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9" w:lineRule="exact"/>
        <w:rPr>
          <w:sz w:val="20"/>
          <w:szCs w:val="20"/>
          <w:color w:val="auto"/>
        </w:rPr>
      </w:pPr>
    </w:p>
    <w:p>
      <w:pPr>
        <w:ind w:right="200" w:firstLine="571"/>
        <w:spacing w:after="0" w:line="325"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 w:lineRule="exact"/>
        <w:rPr>
          <w:sz w:val="20"/>
          <w:szCs w:val="20"/>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03" w:lineRule="exact"/>
        <w:rPr>
          <w:rFonts w:ascii="Arial" w:cs="Arial" w:eastAsia="Arial" w:hAnsi="Arial"/>
          <w:sz w:val="18"/>
          <w:szCs w:val="18"/>
          <w:color w:val="auto"/>
        </w:rPr>
      </w:pPr>
    </w:p>
    <w:p>
      <w:pPr>
        <w:ind w:left="800" w:right="240" w:hanging="225"/>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 w:lineRule="exact"/>
        <w:rPr>
          <w:rFonts w:ascii="Arial" w:cs="Arial" w:eastAsia="Arial" w:hAnsi="Arial"/>
          <w:sz w:val="16"/>
          <w:szCs w:val="16"/>
          <w:color w:val="auto"/>
        </w:rPr>
      </w:pPr>
    </w:p>
    <w:p>
      <w:pPr>
        <w:ind w:left="800" w:right="6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37" w:lineRule="exact"/>
        <w:rPr>
          <w:rFonts w:ascii="Arial" w:cs="Arial" w:eastAsia="Arial" w:hAnsi="Arial"/>
          <w:sz w:val="18"/>
          <w:szCs w:val="18"/>
          <w:color w:val="auto"/>
        </w:rPr>
      </w:pPr>
    </w:p>
    <w:p>
      <w:pPr>
        <w:ind w:left="1260" w:right="80" w:hanging="455"/>
        <w:spacing w:after="0" w:line="306"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58"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37" w:lineRule="exact"/>
        <w:rPr>
          <w:sz w:val="20"/>
          <w:szCs w:val="20"/>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8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00" w:lineRule="exact"/>
        <w:rPr>
          <w:sz w:val="20"/>
          <w:szCs w:val="20"/>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8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37" w:lineRule="exact"/>
        <w:rPr>
          <w:sz w:val="20"/>
          <w:szCs w:val="20"/>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85" w:lineRule="exact"/>
        <w:rPr>
          <w:sz w:val="20"/>
          <w:szCs w:val="20"/>
          <w:color w:val="auto"/>
        </w:rPr>
      </w:pPr>
    </w:p>
    <w:p>
      <w:pPr>
        <w:jc w:val="both"/>
        <w:ind w:right="4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46"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26"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83" w:lineRule="exact"/>
        <w:rPr>
          <w:sz w:val="20"/>
          <w:szCs w:val="20"/>
          <w:color w:val="auto"/>
        </w:rPr>
      </w:pPr>
    </w:p>
    <w:p>
      <w:pPr>
        <w:ind w:right="7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37" w:lineRule="exact"/>
        <w:rPr>
          <w:sz w:val="20"/>
          <w:szCs w:val="20"/>
          <w:color w:val="auto"/>
        </w:rPr>
      </w:pPr>
    </w:p>
    <w:p>
      <w:pPr>
        <w:ind w:left="580" w:right="320" w:firstLine="541"/>
        <w:spacing w:after="0" w:line="268" w:lineRule="auto"/>
        <w:tabs>
          <w:tab w:leader="none" w:pos="14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37" w:lineRule="exact"/>
        <w:rPr>
          <w:rFonts w:ascii="Arial" w:cs="Arial" w:eastAsia="Arial" w:hAnsi="Arial"/>
          <w:sz w:val="18"/>
          <w:szCs w:val="18"/>
          <w:color w:val="auto"/>
        </w:rPr>
      </w:pPr>
    </w:p>
    <w:p>
      <w:pPr>
        <w:ind w:left="580" w:firstLine="541"/>
        <w:spacing w:after="0" w:line="268" w:lineRule="auto"/>
        <w:tabs>
          <w:tab w:leader="none" w:pos="14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7" w:lineRule="exact"/>
        <w:rPr>
          <w:rFonts w:ascii="Arial" w:cs="Arial" w:eastAsia="Arial" w:hAnsi="Arial"/>
          <w:sz w:val="18"/>
          <w:szCs w:val="18"/>
          <w:color w:val="auto"/>
        </w:rPr>
      </w:pPr>
    </w:p>
    <w:p>
      <w:pPr>
        <w:ind w:left="1420" w:hanging="29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76" w:lineRule="exact"/>
        <w:rPr>
          <w:rFonts w:ascii="Arial" w:cs="Arial" w:eastAsia="Arial" w:hAnsi="Arial"/>
          <w:sz w:val="18"/>
          <w:szCs w:val="18"/>
          <w:color w:val="auto"/>
        </w:rPr>
      </w:pPr>
    </w:p>
    <w:p>
      <w:pPr>
        <w:ind w:left="580" w:right="140" w:firstLine="541"/>
        <w:spacing w:after="0" w:line="259" w:lineRule="auto"/>
        <w:tabs>
          <w:tab w:leader="none" w:pos="14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45" w:lineRule="exact"/>
        <w:rPr>
          <w:rFonts w:ascii="Arial" w:cs="Arial" w:eastAsia="Arial" w:hAnsi="Arial"/>
          <w:sz w:val="18"/>
          <w:szCs w:val="18"/>
          <w:color w:val="auto"/>
        </w:rPr>
      </w:pPr>
    </w:p>
    <w:p>
      <w:pPr>
        <w:ind w:left="2040" w:hanging="377"/>
        <w:spacing w:after="0"/>
        <w:tabs>
          <w:tab w:leader="none" w:pos="2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99" w:lineRule="exact"/>
        <w:rPr>
          <w:rFonts w:ascii="Arial" w:cs="Arial" w:eastAsia="Arial" w:hAnsi="Arial"/>
          <w:sz w:val="16"/>
          <w:szCs w:val="16"/>
          <w:color w:val="auto"/>
        </w:rPr>
      </w:pPr>
    </w:p>
    <w:p>
      <w:pPr>
        <w:ind w:left="580" w:right="60" w:firstLine="541"/>
        <w:spacing w:after="0" w:line="289" w:lineRule="auto"/>
        <w:tabs>
          <w:tab w:leader="none" w:pos="14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23" w:lineRule="exact"/>
        <w:rPr>
          <w:rFonts w:ascii="Arial" w:cs="Arial" w:eastAsia="Arial" w:hAnsi="Arial"/>
          <w:sz w:val="16"/>
          <w:szCs w:val="16"/>
          <w:color w:val="auto"/>
        </w:rPr>
      </w:pPr>
    </w:p>
    <w:p>
      <w:pPr>
        <w:ind w:left="1420" w:hanging="29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99" w:lineRule="exact"/>
        <w:rPr>
          <w:rFonts w:ascii="Arial" w:cs="Arial" w:eastAsia="Arial" w:hAnsi="Arial"/>
          <w:sz w:val="16"/>
          <w:szCs w:val="16"/>
          <w:color w:val="auto"/>
        </w:rPr>
      </w:pPr>
    </w:p>
    <w:p>
      <w:pPr>
        <w:ind w:left="2040" w:hanging="377"/>
        <w:spacing w:after="0"/>
        <w:tabs>
          <w:tab w:leader="none" w:pos="2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77" w:lineRule="exact"/>
        <w:rPr>
          <w:sz w:val="20"/>
          <w:szCs w:val="20"/>
          <w:color w:val="auto"/>
        </w:rPr>
      </w:pPr>
    </w:p>
    <w:p>
      <w:pPr>
        <w:ind w:left="1420" w:hanging="29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76" w:lineRule="exact"/>
        <w:rPr>
          <w:rFonts w:ascii="Arial" w:cs="Arial" w:eastAsia="Arial" w:hAnsi="Arial"/>
          <w:sz w:val="18"/>
          <w:szCs w:val="18"/>
          <w:color w:val="auto"/>
        </w:rPr>
      </w:pPr>
    </w:p>
    <w:p>
      <w:pPr>
        <w:ind w:left="1140" w:right="300" w:firstLine="523"/>
        <w:spacing w:after="0" w:line="268" w:lineRule="auto"/>
        <w:tabs>
          <w:tab w:leader="none" w:pos="20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37" w:lineRule="exact"/>
        <w:rPr>
          <w:rFonts w:ascii="Arial" w:cs="Arial" w:eastAsia="Arial" w:hAnsi="Arial"/>
          <w:sz w:val="18"/>
          <w:szCs w:val="18"/>
          <w:color w:val="auto"/>
        </w:rPr>
      </w:pPr>
    </w:p>
    <w:p>
      <w:pPr>
        <w:ind w:left="1140" w:right="280" w:firstLine="523"/>
        <w:spacing w:after="0" w:line="347" w:lineRule="auto"/>
        <w:tabs>
          <w:tab w:leader="none" w:pos="2034" w:val="left"/>
        </w:tabs>
        <w:numPr>
          <w:ilvl w:val="1"/>
          <w:numId w:val="24"/>
        </w:numPr>
        <w:rPr>
          <w:rFonts w:ascii="Arial" w:cs="Arial" w:eastAsia="Arial" w:hAnsi="Arial"/>
          <w:sz w:val="15"/>
          <w:szCs w:val="15"/>
          <w:color w:val="auto"/>
        </w:rPr>
      </w:pPr>
      <w:r>
        <w:rPr>
          <w:rFonts w:ascii="Arial" w:cs="Arial" w:eastAsia="Arial" w:hAnsi="Arial"/>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ind w:left="2040" w:hanging="377"/>
        <w:spacing w:after="0"/>
        <w:tabs>
          <w:tab w:leader="none" w:pos="20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w:t>
      </w:r>
    </w:p>
    <w:p>
      <w:pPr>
        <w:spacing w:after="0" w:line="3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property;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40" w:hanging="377"/>
        <w:spacing w:after="0"/>
        <w:tabs>
          <w:tab w:leader="none" w:pos="2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76" w:lineRule="exact"/>
        <w:rPr>
          <w:rFonts w:ascii="Arial" w:cs="Arial" w:eastAsia="Arial" w:hAnsi="Arial"/>
          <w:sz w:val="18"/>
          <w:szCs w:val="18"/>
          <w:color w:val="auto"/>
        </w:rPr>
      </w:pPr>
    </w:p>
    <w:p>
      <w:pPr>
        <w:ind w:left="1420" w:hanging="29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37"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8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02"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6" w:lineRule="exact"/>
        <w:rPr>
          <w:sz w:val="20"/>
          <w:szCs w:val="20"/>
          <w:color w:val="auto"/>
        </w:rPr>
      </w:pPr>
    </w:p>
    <w:p>
      <w:pPr>
        <w:ind w:left="800" w:hanging="22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103"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103"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 xml:space="preserve">Limitation on Suits. </w:t>
      </w:r>
      <w:r>
        <w:rPr>
          <w:rFonts w:ascii="Arial" w:cs="Arial" w:eastAsia="Arial" w:hAnsi="Arial"/>
          <w:sz w:val="16"/>
          <w:szCs w:val="16"/>
          <w:color w:val="auto"/>
        </w:rPr>
        <w:t>Each indenture provides that no holders of debt securities of any series may institute any proceedings, judicial or otherwise,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27"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83"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46" w:lineRule="exact"/>
        <w:rPr>
          <w:sz w:val="20"/>
          <w:szCs w:val="20"/>
          <w:color w:val="auto"/>
        </w:rPr>
      </w:pPr>
    </w:p>
    <w:p>
      <w:pPr>
        <w:ind w:left="800" w:right="340" w:hanging="225"/>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7" w:lineRule="exact"/>
        <w:rPr>
          <w:rFonts w:ascii="Arial" w:cs="Arial" w:eastAsia="Arial" w:hAnsi="Arial"/>
          <w:sz w:val="18"/>
          <w:szCs w:val="18"/>
          <w:color w:val="auto"/>
        </w:rPr>
      </w:pPr>
    </w:p>
    <w:p>
      <w:pPr>
        <w:ind w:left="800" w:hanging="225"/>
        <w:spacing w:after="0" w:line="325"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8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w:t>
      </w:r>
    </w:p>
    <w:p>
      <w:pPr>
        <w:spacing w:after="0" w:line="50"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series:</w:t>
      </w:r>
    </w:p>
    <w:p>
      <w:pPr>
        <w:spacing w:after="0" w:line="70" w:lineRule="exact"/>
        <w:rPr>
          <w:rFonts w:ascii="Arial" w:cs="Arial" w:eastAsia="Arial" w:hAnsi="Arial"/>
          <w:sz w:val="18"/>
          <w:szCs w:val="18"/>
          <w:color w:val="auto"/>
        </w:rPr>
      </w:pPr>
    </w:p>
    <w:p>
      <w:pPr>
        <w:ind w:left="800" w:right="140" w:hanging="225"/>
        <w:spacing w:after="0" w:line="254" w:lineRule="auto"/>
        <w:tabs>
          <w:tab w:leader="none" w:pos="8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46" w:lineRule="exact"/>
        <w:rPr>
          <w:sz w:val="20"/>
          <w:szCs w:val="20"/>
          <w:color w:val="auto"/>
        </w:rPr>
      </w:pPr>
    </w:p>
    <w:p>
      <w:pPr>
        <w:ind w:left="800" w:right="40" w:hanging="225"/>
        <w:spacing w:after="0" w:line="25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7" w:lineRule="exact"/>
        <w:rPr>
          <w:rFonts w:ascii="Arial" w:cs="Arial" w:eastAsia="Arial" w:hAnsi="Arial"/>
          <w:sz w:val="18"/>
          <w:szCs w:val="18"/>
          <w:color w:val="auto"/>
        </w:rPr>
      </w:pPr>
    </w:p>
    <w:p>
      <w:pPr>
        <w:ind w:left="800" w:right="360" w:hanging="225"/>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7" w:lineRule="exact"/>
        <w:rPr>
          <w:rFonts w:ascii="Arial" w:cs="Arial" w:eastAsia="Arial" w:hAnsi="Arial"/>
          <w:sz w:val="18"/>
          <w:szCs w:val="18"/>
          <w:color w:val="auto"/>
        </w:rPr>
      </w:pPr>
    </w:p>
    <w:p>
      <w:pPr>
        <w:ind w:left="800" w:right="340" w:hanging="225"/>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7" w:lineRule="exact"/>
        <w:rPr>
          <w:rFonts w:ascii="Arial" w:cs="Arial" w:eastAsia="Arial" w:hAnsi="Arial"/>
          <w:sz w:val="18"/>
          <w:szCs w:val="18"/>
          <w:color w:val="auto"/>
        </w:rPr>
      </w:pPr>
    </w:p>
    <w:p>
      <w:pPr>
        <w:ind w:left="800" w:right="60" w:hanging="225"/>
        <w:spacing w:after="0" w:line="306"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83" w:lineRule="exact"/>
        <w:rPr>
          <w:sz w:val="20"/>
          <w:szCs w:val="20"/>
          <w:color w:val="auto"/>
        </w:rPr>
      </w:pPr>
    </w:p>
    <w:p>
      <w:pPr>
        <w:jc w:val="both"/>
        <w:ind w:right="340" w:firstLine="571"/>
        <w:spacing w:after="0" w:line="331" w:lineRule="auto"/>
        <w:rPr>
          <w:sz w:val="20"/>
          <w:szCs w:val="20"/>
          <w:color w:val="auto"/>
        </w:rPr>
      </w:pPr>
      <w:r>
        <w:rPr>
          <w:rFonts w:ascii="Arial" w:cs="Arial" w:eastAsia="Arial" w:hAnsi="Arial"/>
          <w:sz w:val="15"/>
          <w:szCs w:val="15"/>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 w:lineRule="exact"/>
        <w:rPr>
          <w:sz w:val="20"/>
          <w:szCs w:val="20"/>
          <w:color w:val="auto"/>
        </w:rPr>
      </w:pPr>
    </w:p>
    <w:p>
      <w:pPr>
        <w:ind w:left="800" w:hanging="225"/>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103" w:lineRule="exact"/>
        <w:rPr>
          <w:rFonts w:ascii="Arial" w:cs="Arial" w:eastAsia="Arial" w:hAnsi="Arial"/>
          <w:sz w:val="18"/>
          <w:szCs w:val="18"/>
          <w:color w:val="auto"/>
        </w:rPr>
      </w:pPr>
    </w:p>
    <w:p>
      <w:pPr>
        <w:ind w:left="800" w:right="40" w:hanging="225"/>
        <w:spacing w:after="0" w:line="26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37" w:lineRule="exact"/>
        <w:rPr>
          <w:rFonts w:ascii="Arial" w:cs="Arial" w:eastAsia="Arial" w:hAnsi="Arial"/>
          <w:sz w:val="18"/>
          <w:szCs w:val="18"/>
          <w:color w:val="auto"/>
        </w:rPr>
      </w:pPr>
    </w:p>
    <w:p>
      <w:pPr>
        <w:ind w:left="800" w:right="320" w:hanging="225"/>
        <w:spacing w:after="0" w:line="33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225"/>
        <w:spacing w:after="0" w:line="25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0"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7" w:lineRule="exact"/>
        <w:rPr>
          <w:sz w:val="20"/>
          <w:szCs w:val="20"/>
          <w:color w:val="auto"/>
        </w:rPr>
      </w:pPr>
    </w:p>
    <w:p>
      <w:pPr>
        <w:ind w:left="800" w:right="500" w:hanging="225"/>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03" w:lineRule="exact"/>
        <w:rPr>
          <w:rFonts w:ascii="Arial" w:cs="Arial" w:eastAsia="Arial" w:hAnsi="Arial"/>
          <w:sz w:val="18"/>
          <w:szCs w:val="18"/>
          <w:color w:val="auto"/>
        </w:rPr>
      </w:pPr>
    </w:p>
    <w:p>
      <w:pPr>
        <w:ind w:left="800" w:right="20" w:hanging="225"/>
        <w:spacing w:after="0" w:line="331" w:lineRule="auto"/>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2" w:lineRule="exact"/>
        <w:rPr>
          <w:rFonts w:ascii="Arial" w:cs="Arial" w:eastAsia="Arial" w:hAnsi="Arial"/>
          <w:sz w:val="15"/>
          <w:szCs w:val="15"/>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7" w:lineRule="exact"/>
        <w:rPr>
          <w:rFonts w:ascii="Arial" w:cs="Arial" w:eastAsia="Arial" w:hAnsi="Arial"/>
          <w:sz w:val="18"/>
          <w:szCs w:val="18"/>
          <w:color w:val="auto"/>
        </w:rPr>
      </w:pPr>
    </w:p>
    <w:p>
      <w:pPr>
        <w:ind w:left="800" w:right="400" w:hanging="225"/>
        <w:spacing w:after="0" w:line="25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27"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8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treated as original issue discount securities in the prospectus supplement relating to such securities. “Original issue discount security” generally means any debt security that:</w:t>
      </w:r>
    </w:p>
    <w:p>
      <w:pPr>
        <w:spacing w:after="0" w:line="37" w:lineRule="exact"/>
        <w:rPr>
          <w:sz w:val="20"/>
          <w:szCs w:val="20"/>
          <w:color w:val="auto"/>
        </w:rPr>
      </w:pPr>
    </w:p>
    <w:p>
      <w:pPr>
        <w:ind w:left="800" w:hanging="225"/>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03"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we will send notices to holders of debt securities by mail to the holder’s address as it appears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register.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jc w:val="center"/>
        <w:ind w:left="400" w:right="420"/>
        <w:spacing w:after="0" w:line="440" w:lineRule="auto"/>
        <w:rPr>
          <w:sz w:val="20"/>
          <w:szCs w:val="20"/>
          <w:color w:val="auto"/>
        </w:rPr>
      </w:pPr>
      <w:r>
        <w:rPr>
          <w:rFonts w:ascii="Arial" w:cs="Arial" w:eastAsia="Arial" w:hAnsi="Arial"/>
          <w:sz w:val="18"/>
          <w:szCs w:val="18"/>
          <w:color w:val="auto"/>
        </w:rPr>
        <w:t>Unless we say otherwise in a prospectus supplement, each indenture and the debt securities will be governed by the laws of the State of New York. 17</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64"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83" w:lineRule="exact"/>
        <w:rPr>
          <w:sz w:val="20"/>
          <w:szCs w:val="20"/>
          <w:color w:val="auto"/>
        </w:rPr>
      </w:pPr>
    </w:p>
    <w:p>
      <w:pPr>
        <w:jc w:val="both"/>
        <w:ind w:right="320" w:firstLine="571"/>
        <w:spacing w:after="0" w:line="339" w:lineRule="auto"/>
        <w:rPr>
          <w:sz w:val="20"/>
          <w:szCs w:val="20"/>
          <w:color w:val="auto"/>
        </w:rPr>
      </w:pPr>
      <w:r>
        <w:rPr>
          <w:rFonts w:ascii="Arial" w:cs="Arial" w:eastAsia="Arial" w:hAnsi="Arial"/>
          <w:sz w:val="15"/>
          <w:szCs w:val="15"/>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Series B Cumulative Redeemable Preferred Shares, which we refer to as the Series B preferred shares.</w:t>
      </w:r>
    </w:p>
    <w:p>
      <w:pPr>
        <w:spacing w:after="0" w:line="1"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1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06"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18"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37" w:lineRule="exact"/>
        <w:rPr>
          <w:sz w:val="20"/>
          <w:szCs w:val="20"/>
          <w:color w:val="auto"/>
        </w:rPr>
      </w:pPr>
    </w:p>
    <w:p>
      <w:pPr>
        <w:ind w:left="800" w:hanging="225"/>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27"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09"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77" w:lineRule="exact"/>
        <w:rPr>
          <w:sz w:val="20"/>
          <w:szCs w:val="20"/>
          <w:color w:val="auto"/>
        </w:rPr>
      </w:pPr>
    </w:p>
    <w:p>
      <w:pPr>
        <w:ind w:left="800" w:hanging="225"/>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46" w:lineRule="exact"/>
        <w:rPr>
          <w:sz w:val="20"/>
          <w:szCs w:val="20"/>
          <w:color w:val="auto"/>
        </w:rPr>
      </w:pPr>
    </w:p>
    <w:p>
      <w:pPr>
        <w:ind w:left="800" w:right="8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37" w:lineRule="exact"/>
        <w:rPr>
          <w:rFonts w:ascii="Arial" w:cs="Arial" w:eastAsia="Arial" w:hAnsi="Arial"/>
          <w:sz w:val="18"/>
          <w:szCs w:val="18"/>
          <w:color w:val="auto"/>
        </w:rPr>
      </w:pPr>
    </w:p>
    <w:p>
      <w:pPr>
        <w:ind w:left="800" w:hanging="225"/>
        <w:spacing w:after="0" w:line="25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8" w:lineRule="exact"/>
        <w:rPr>
          <w:rFonts w:ascii="Arial" w:cs="Arial" w:eastAsia="Arial" w:hAnsi="Arial"/>
          <w:sz w:val="18"/>
          <w:szCs w:val="18"/>
          <w:color w:val="auto"/>
        </w:rPr>
      </w:pPr>
    </w:p>
    <w:p>
      <w:pPr>
        <w:ind w:left="800" w:right="160" w:hanging="225"/>
        <w:spacing w:after="0" w:line="306"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2" w:lineRule="exact"/>
        <w:rPr>
          <w:rFonts w:ascii="Arial" w:cs="Arial" w:eastAsia="Arial" w:hAnsi="Arial"/>
          <w:sz w:val="16"/>
          <w:szCs w:val="16"/>
          <w:color w:val="auto"/>
        </w:rPr>
      </w:pPr>
    </w:p>
    <w:p>
      <w:pPr>
        <w:ind w:left="800" w:right="50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2" w:lineRule="exact"/>
        <w:rPr>
          <w:sz w:val="20"/>
          <w:szCs w:val="20"/>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8"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58" w:lineRule="exact"/>
        <w:rPr>
          <w:sz w:val="20"/>
          <w:szCs w:val="20"/>
          <w:color w:val="auto"/>
        </w:rPr>
      </w:pPr>
    </w:p>
    <w:p>
      <w:pPr>
        <w:ind w:left="580"/>
        <w:spacing w:after="0"/>
        <w:tabs>
          <w:tab w:leader="none" w:pos="290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0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77" w:lineRule="exact"/>
        <w:rPr>
          <w:sz w:val="20"/>
          <w:szCs w:val="20"/>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7"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103"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37" w:lineRule="exact"/>
        <w:rPr>
          <w:sz w:val="20"/>
          <w:szCs w:val="20"/>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58" w:lineRule="exact"/>
        <w:rPr>
          <w:sz w:val="20"/>
          <w:szCs w:val="20"/>
          <w:color w:val="auto"/>
        </w:rPr>
      </w:pPr>
    </w:p>
    <w:p>
      <w:pPr>
        <w:jc w:val="both"/>
        <w:ind w:right="320"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27"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except as may be required by applicable law or any applicable rules and regulations of the New York Stock Exchange.</w:t>
      </w:r>
    </w:p>
    <w:p>
      <w:pPr>
        <w:spacing w:after="0" w:line="72" w:lineRule="exact"/>
        <w:rPr>
          <w:sz w:val="20"/>
          <w:szCs w:val="20"/>
          <w:color w:val="auto"/>
        </w:rPr>
      </w:pPr>
    </w:p>
    <w:p>
      <w:pPr>
        <w:jc w:val="both"/>
        <w:ind w:right="340" w:firstLine="571"/>
        <w:spacing w:after="0" w:line="303" w:lineRule="auto"/>
        <w:rPr>
          <w:sz w:val="20"/>
          <w:szCs w:val="20"/>
          <w:color w:val="auto"/>
        </w:rPr>
      </w:pPr>
      <w:r>
        <w:rPr>
          <w:rFonts w:ascii="Arial" w:cs="Arial" w:eastAsia="Arial" w:hAnsi="Arial"/>
          <w:sz w:val="15"/>
          <w:szCs w:val="15"/>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 shares are in arrears.</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31"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37" w:lineRule="exact"/>
        <w:rPr>
          <w:sz w:val="20"/>
          <w:szCs w:val="20"/>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85"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B preferred shares is American Stock Transfer &amp; Trust Company,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 We will identify the transfer agent and registrar for any additional series of preferred shares issued through this prospectus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8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ind w:right="680" w:firstLine="571"/>
        <w:spacing w:after="0" w:line="332" w:lineRule="auto"/>
        <w:rPr>
          <w:sz w:val="20"/>
          <w:szCs w:val="20"/>
          <w:color w:val="auto"/>
        </w:rPr>
      </w:pPr>
      <w:r>
        <w:rPr>
          <w:rFonts w:ascii="Arial" w:cs="Arial" w:eastAsia="Arial" w:hAnsi="Arial"/>
          <w:sz w:val="16"/>
          <w:szCs w:val="16"/>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7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3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Conversion of Preferred Shares. </w:t>
      </w:r>
      <w:r>
        <w:rPr>
          <w:rFonts w:ascii="Arial" w:cs="Arial" w:eastAsia="Arial" w:hAnsi="Arial"/>
          <w:sz w:val="18"/>
          <w:szCs w:val="18"/>
          <w:color w:val="auto"/>
        </w:rPr>
        <w:t>Our depositary shares, as such, are not convertible into common shares or any of our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84" w:lineRule="exact"/>
        <w:rPr>
          <w:sz w:val="20"/>
          <w:szCs w:val="20"/>
          <w:color w:val="auto"/>
        </w:rPr>
      </w:pPr>
    </w:p>
    <w:p>
      <w:pPr>
        <w:ind w:right="180" w:firstLine="571"/>
        <w:spacing w:after="0" w:line="331"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03" w:lineRule="exact"/>
        <w:rPr>
          <w:rFonts w:ascii="Arial" w:cs="Arial" w:eastAsia="Arial" w:hAnsi="Arial"/>
          <w:sz w:val="18"/>
          <w:szCs w:val="18"/>
          <w:color w:val="auto"/>
        </w:rPr>
      </w:pPr>
    </w:p>
    <w:p>
      <w:pPr>
        <w:ind w:left="800" w:right="220" w:hanging="225"/>
        <w:spacing w:after="0" w:line="325"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 w:lineRule="exact"/>
        <w:rPr>
          <w:rFonts w:ascii="Arial" w:cs="Arial" w:eastAsia="Arial" w:hAnsi="Arial"/>
          <w:sz w:val="16"/>
          <w:szCs w:val="16"/>
          <w:color w:val="auto"/>
        </w:rPr>
      </w:pPr>
    </w:p>
    <w:p>
      <w:pPr>
        <w:ind w:left="800" w:right="20" w:hanging="225"/>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18"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99" w:lineRule="exact"/>
        <w:rPr>
          <w:sz w:val="20"/>
          <w:szCs w:val="20"/>
          <w:color w:val="auto"/>
        </w:rPr>
      </w:pPr>
    </w:p>
    <w:p>
      <w:pPr>
        <w:ind w:right="5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99"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83" w:lineRule="exact"/>
        <w:rPr>
          <w:sz w:val="20"/>
          <w:szCs w:val="20"/>
          <w:color w:val="auto"/>
        </w:rPr>
      </w:pPr>
    </w:p>
    <w:p>
      <w:pPr>
        <w:ind w:right="340" w:firstLine="571"/>
        <w:spacing w:after="0" w:line="325"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1" w:lineRule="exact"/>
        <w:rPr>
          <w:sz w:val="20"/>
          <w:szCs w:val="20"/>
          <w:color w:val="auto"/>
        </w:rPr>
      </w:pPr>
    </w:p>
    <w:p>
      <w:pPr>
        <w:ind w:left="800" w:right="160" w:hanging="225"/>
        <w:spacing w:after="0" w:line="370" w:lineRule="auto"/>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individuals include certain tax-exempt entities except that qualified domestic pension funds are not generally treated as individuals.</w:t>
      </w:r>
    </w:p>
    <w:p>
      <w:pPr>
        <w:spacing w:after="0" w:line="90" w:lineRule="exact"/>
        <w:rPr>
          <w:sz w:val="20"/>
          <w:szCs w:val="20"/>
          <w:color w:val="auto"/>
        </w:rPr>
      </w:pPr>
    </w:p>
    <w:p>
      <w:pPr>
        <w:ind w:left="800" w:right="100" w:hanging="225"/>
        <w:spacing w:after="0" w:line="268"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03"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8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9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2" w:lineRule="exact"/>
        <w:rPr>
          <w:sz w:val="20"/>
          <w:szCs w:val="20"/>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38" w:lineRule="exact"/>
        <w:rPr>
          <w:rFonts w:ascii="Arial" w:cs="Arial" w:eastAsia="Arial" w:hAnsi="Arial"/>
          <w:sz w:val="15"/>
          <w:szCs w:val="15"/>
          <w:color w:val="auto"/>
        </w:rPr>
      </w:pPr>
    </w:p>
    <w:p>
      <w:pPr>
        <w:ind w:left="1260" w:hanging="455"/>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9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8"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0"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77" w:lineRule="exact"/>
        <w:rPr>
          <w:sz w:val="20"/>
          <w:szCs w:val="20"/>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83"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18"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91"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9" w:lineRule="exact"/>
        <w:rPr>
          <w:sz w:val="20"/>
          <w:szCs w:val="20"/>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103" w:lineRule="exact"/>
        <w:rPr>
          <w:rFonts w:ascii="Arial" w:cs="Arial" w:eastAsia="Arial" w:hAnsi="Arial"/>
          <w:sz w:val="18"/>
          <w:szCs w:val="18"/>
          <w:color w:val="auto"/>
        </w:rPr>
      </w:pPr>
    </w:p>
    <w:p>
      <w:pPr>
        <w:ind w:left="800" w:right="2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18"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27"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7" w:lineRule="exact"/>
        <w:rPr>
          <w:sz w:val="20"/>
          <w:szCs w:val="20"/>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800" w:hanging="225"/>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85"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8"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9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77" w:lineRule="exact"/>
        <w:rPr>
          <w:sz w:val="20"/>
          <w:szCs w:val="20"/>
          <w:color w:val="auto"/>
        </w:rPr>
      </w:pPr>
    </w:p>
    <w:p>
      <w:pPr>
        <w:ind w:left="800" w:right="460" w:hanging="225"/>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the rights will expire on the earliest of</w:t>
      </w:r>
    </w:p>
    <w:p>
      <w:pPr>
        <w:spacing w:after="0" w:line="77" w:lineRule="exact"/>
        <w:rPr>
          <w:sz w:val="20"/>
          <w:szCs w:val="20"/>
          <w:color w:val="auto"/>
        </w:rPr>
      </w:pPr>
    </w:p>
    <w:p>
      <w:pPr>
        <w:ind w:left="800" w:hanging="225"/>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103" w:lineRule="exact"/>
        <w:rPr>
          <w:rFonts w:ascii="Arial" w:cs="Arial" w:eastAsia="Arial" w:hAnsi="Arial"/>
          <w:sz w:val="18"/>
          <w:szCs w:val="18"/>
          <w:color w:val="auto"/>
        </w:rPr>
      </w:pPr>
    </w:p>
    <w:p>
      <w:pPr>
        <w:ind w:left="800" w:right="540" w:hanging="225"/>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9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02"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18"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2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37" w:lineRule="exact"/>
        <w:rPr>
          <w:sz w:val="20"/>
          <w:szCs w:val="20"/>
          <w:color w:val="auto"/>
        </w:rPr>
      </w:pPr>
    </w:p>
    <w:p>
      <w:pPr>
        <w:ind w:left="800" w:right="180" w:hanging="225"/>
        <w:spacing w:after="0" w:line="26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0"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b w:val="1"/>
          <w:bCs w:val="1"/>
          <w:i w:val="1"/>
          <w:iCs w:val="1"/>
          <w:color w:val="auto"/>
        </w:rPr>
        <w:t>Meetings of Shareholders</w:t>
      </w:r>
      <w:r>
        <w:rPr>
          <w:rFonts w:ascii="Arial" w:cs="Arial" w:eastAsia="Arial" w:hAnsi="Arial"/>
          <w:sz w:val="18"/>
          <w:szCs w:val="18"/>
          <w:color w:val="auto"/>
        </w:rPr>
        <w:t>. Our bylaws provide for an annual meeting of shareholders, to be held in May after delivery of the annual report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color w:val="auto"/>
        </w:rPr>
        <w:t>. 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1" w:lineRule="exact"/>
        <w:rPr>
          <w:sz w:val="20"/>
          <w:szCs w:val="20"/>
          <w:color w:val="auto"/>
        </w:rPr>
      </w:pPr>
    </w:p>
    <w:p>
      <w:pPr>
        <w:ind w:right="40" w:firstLine="571"/>
        <w:spacing w:after="0" w:line="256"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30" w:lineRule="exact"/>
        <w:rPr>
          <w:sz w:val="20"/>
          <w:szCs w:val="20"/>
          <w:color w:val="auto"/>
        </w:rPr>
      </w:pPr>
    </w:p>
    <w:p>
      <w:pPr>
        <w:ind w:right="180" w:firstLine="571"/>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6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07"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jc w:val="both"/>
        <w:ind w:right="360" w:firstLine="571"/>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46" w:lineRule="exact"/>
        <w:rPr>
          <w:sz w:val="20"/>
          <w:szCs w:val="20"/>
          <w:color w:val="auto"/>
        </w:rPr>
      </w:pPr>
    </w:p>
    <w:p>
      <w:pPr>
        <w:ind w:left="800" w:right="20" w:hanging="225"/>
        <w:spacing w:after="0" w:line="268"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26" w:lineRule="exact"/>
        <w:rPr>
          <w:rFonts w:ascii="Arial" w:cs="Arial" w:eastAsia="Arial" w:hAnsi="Arial"/>
          <w:sz w:val="16"/>
          <w:szCs w:val="16"/>
          <w:color w:val="auto"/>
        </w:rPr>
      </w:pPr>
    </w:p>
    <w:p>
      <w:pPr>
        <w:ind w:left="800" w:right="60" w:hanging="225"/>
        <w:spacing w:after="0" w:line="325"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40" w:hanging="225"/>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8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49" w:lineRule="exact"/>
        <w:rPr>
          <w:rFonts w:ascii="Arial" w:cs="Arial" w:eastAsia="Arial" w:hAnsi="Arial"/>
          <w:sz w:val="16"/>
          <w:szCs w:val="16"/>
          <w:color w:val="auto"/>
        </w:rPr>
      </w:pPr>
    </w:p>
    <w:p>
      <w:pPr>
        <w:ind w:left="800" w:right="20" w:hanging="225"/>
        <w:spacing w:after="0" w:line="256"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48" w:lineRule="exact"/>
        <w:rPr>
          <w:rFonts w:ascii="Arial" w:cs="Arial" w:eastAsia="Arial" w:hAnsi="Arial"/>
          <w:sz w:val="18"/>
          <w:szCs w:val="18"/>
          <w:color w:val="auto"/>
        </w:rPr>
      </w:pPr>
    </w:p>
    <w:p>
      <w:pPr>
        <w:jc w:val="both"/>
        <w:ind w:left="800" w:right="60" w:hanging="225"/>
        <w:spacing w:after="0" w:line="259"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45" w:lineRule="exact"/>
        <w:rPr>
          <w:rFonts w:ascii="Arial" w:cs="Arial" w:eastAsia="Arial" w:hAnsi="Arial"/>
          <w:sz w:val="18"/>
          <w:szCs w:val="18"/>
          <w:color w:val="auto"/>
        </w:rPr>
      </w:pPr>
    </w:p>
    <w:p>
      <w:pPr>
        <w:ind w:left="800" w:right="20" w:hanging="225"/>
        <w:spacing w:after="0" w:line="259"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ind w:left="800" w:right="40" w:hanging="225"/>
        <w:spacing w:after="0" w:line="294"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7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hanging="572"/>
        <w:spacing w:after="0" w:line="26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7" w:lineRule="exact"/>
        <w:rPr>
          <w:rFonts w:ascii="Arial" w:cs="Arial" w:eastAsia="Arial" w:hAnsi="Arial"/>
          <w:sz w:val="18"/>
          <w:szCs w:val="18"/>
          <w:color w:val="auto"/>
        </w:rPr>
      </w:pPr>
    </w:p>
    <w:p>
      <w:pPr>
        <w:ind w:left="580" w:right="500" w:hanging="572"/>
        <w:spacing w:after="0" w:line="26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37"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0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77" w:lineRule="exact"/>
        <w:rPr>
          <w:sz w:val="20"/>
          <w:szCs w:val="20"/>
          <w:color w:val="auto"/>
        </w:rPr>
      </w:pPr>
    </w:p>
    <w:p>
      <w:pPr>
        <w:ind w:left="800" w:right="40" w:hanging="225"/>
        <w:spacing w:after="0" w:line="255"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right="200" w:hanging="225"/>
        <w:spacing w:after="0" w:line="306"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60" w:hanging="225"/>
        <w:spacing w:after="0" w:line="306" w:lineRule="auto"/>
        <w:tabs>
          <w:tab w:leader="none" w:pos="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12" w:lineRule="exact"/>
        <w:rPr>
          <w:rFonts w:ascii="Arial" w:cs="Arial" w:eastAsia="Arial" w:hAnsi="Arial"/>
          <w:sz w:val="16"/>
          <w:szCs w:val="16"/>
          <w:color w:val="auto"/>
        </w:rPr>
      </w:pPr>
    </w:p>
    <w:p>
      <w:pPr>
        <w:ind w:left="800" w:hanging="225"/>
        <w:spacing w:after="0" w:line="287" w:lineRule="auto"/>
        <w:tabs>
          <w:tab w:leader="none" w:pos="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20" w:hanging="225"/>
        <w:spacing w:after="0" w:line="254"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80" w:hanging="225"/>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rent attributable to any personal property leased in connection with a lease of property is no more than 15% of the total rent received under the lease. In general, we have not leased a significant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59" w:lineRule="exact"/>
        <w:rPr>
          <w:sz w:val="20"/>
          <w:szCs w:val="20"/>
          <w:color w:val="auto"/>
        </w:rPr>
      </w:pPr>
    </w:p>
    <w:p>
      <w:pPr>
        <w:ind w:left="800" w:hanging="225"/>
        <w:spacing w:after="0" w:line="290"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6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40" w:hanging="225"/>
        <w:spacing w:after="0" w:line="259"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20" w:hanging="225"/>
        <w:spacing w:after="0" w:line="259"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800" w:right="300" w:hanging="225"/>
        <w:spacing w:after="0" w:line="325" w:lineRule="auto"/>
        <w:tabs>
          <w:tab w:leader="none" w:pos="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for which the REIT makes a proper election to treat the property as foreclosure property.</w:t>
      </w:r>
    </w:p>
    <w:p>
      <w:pPr>
        <w:spacing w:after="0" w:line="185"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46" w:lineRule="exact"/>
        <w:rPr>
          <w:sz w:val="20"/>
          <w:szCs w:val="20"/>
          <w:color w:val="auto"/>
        </w:rPr>
      </w:pPr>
    </w:p>
    <w:p>
      <w:pPr>
        <w:ind w:left="800" w:right="28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200" w:hanging="225"/>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37" w:lineRule="exact"/>
        <w:rPr>
          <w:rFonts w:ascii="Arial" w:cs="Arial" w:eastAsia="Arial" w:hAnsi="Arial"/>
          <w:sz w:val="18"/>
          <w:szCs w:val="18"/>
          <w:color w:val="auto"/>
        </w:rPr>
      </w:pPr>
    </w:p>
    <w:p>
      <w:pPr>
        <w:ind w:left="800" w:right="220" w:hanging="225"/>
        <w:spacing w:after="0" w:line="370" w:lineRule="auto"/>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77" w:lineRule="exact"/>
        <w:rPr>
          <w:sz w:val="20"/>
          <w:szCs w:val="20"/>
          <w:color w:val="auto"/>
        </w:rPr>
      </w:pPr>
    </w:p>
    <w:p>
      <w:pPr>
        <w:ind w:left="800" w:right="460" w:hanging="225"/>
        <w:spacing w:after="0" w:line="268"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1260" w:right="480" w:hanging="455"/>
        <w:spacing w:after="0" w:line="268"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ind w:left="1260" w:right="80" w:hanging="455"/>
        <w:spacing w:after="0" w:line="259"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1260" w:right="140" w:hanging="455"/>
        <w:spacing w:after="0" w:line="268"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right="20" w:hanging="225"/>
        <w:spacing w:after="0" w:line="288" w:lineRule="auto"/>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right="60" w:firstLine="571"/>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3"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7"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9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72"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00" w:lineRule="exact"/>
        <w:rPr>
          <w:sz w:val="20"/>
          <w:szCs w:val="20"/>
          <w:color w:val="auto"/>
        </w:rPr>
      </w:pPr>
    </w:p>
    <w:p>
      <w:pPr>
        <w:ind w:left="800" w:hanging="225"/>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800" w:right="140" w:hanging="225"/>
        <w:spacing w:after="0" w:line="29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9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4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3" w:lineRule="exact"/>
        <w:rPr>
          <w:sz w:val="20"/>
          <w:szCs w:val="20"/>
          <w:color w:val="auto"/>
        </w:rPr>
      </w:pPr>
    </w:p>
    <w:p>
      <w:pPr>
        <w:ind w:right="120" w:firstLine="571"/>
        <w:spacing w:after="0" w:line="306"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99" w:lineRule="exact"/>
        <w:rPr>
          <w:sz w:val="20"/>
          <w:szCs w:val="20"/>
          <w:color w:val="auto"/>
        </w:rPr>
      </w:pPr>
    </w:p>
    <w:p>
      <w:pPr>
        <w:ind w:right="200" w:firstLine="571"/>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84" w:lineRule="exact"/>
        <w:rPr>
          <w:sz w:val="20"/>
          <w:szCs w:val="20"/>
          <w:color w:val="auto"/>
        </w:rPr>
      </w:pPr>
    </w:p>
    <w:p>
      <w:pPr>
        <w:ind w:right="380" w:firstLine="571"/>
        <w:spacing w:after="0" w:line="298" w:lineRule="auto"/>
        <w:rPr>
          <w:sz w:val="20"/>
          <w:szCs w:val="20"/>
          <w:color w:val="auto"/>
        </w:rPr>
      </w:pPr>
      <w:r>
        <w:rPr>
          <w:rFonts w:ascii="Arial" w:cs="Arial" w:eastAsia="Arial" w:hAnsi="Arial"/>
          <w:sz w:val="16"/>
          <w:szCs w:val="16"/>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99"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0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0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14"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0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such as, for example, the holder’s ceasing to actually or constructively own any shares. There can be no assurance that the Proposed Treasury Regulations will be adopted, or that they will be adopted in their current form.</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05" w:lineRule="exact"/>
        <w:rPr>
          <w:sz w:val="20"/>
          <w:szCs w:val="20"/>
          <w:color w:val="auto"/>
        </w:rPr>
      </w:pPr>
    </w:p>
    <w:p>
      <w:pPr>
        <w:ind w:right="160" w:firstLine="571"/>
        <w:spacing w:after="0" w:line="370" w:lineRule="auto"/>
        <w:rPr>
          <w:sz w:val="20"/>
          <w:szCs w:val="20"/>
          <w:color w:val="auto"/>
        </w:rPr>
      </w:pPr>
      <w:r>
        <w:rPr>
          <w:rFonts w:ascii="Arial" w:cs="Arial" w:eastAsia="Arial" w:hAnsi="Arial"/>
          <w:sz w:val="15"/>
          <w:szCs w:val="15"/>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4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07"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21" w:lineRule="exact"/>
        <w:rPr>
          <w:sz w:val="20"/>
          <w:szCs w:val="20"/>
          <w:color w:val="auto"/>
        </w:rPr>
      </w:pPr>
    </w:p>
    <w:p>
      <w:pPr>
        <w:ind w:left="800" w:hanging="225"/>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03"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03"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18"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will report to our shareholders and to the IRS the amount of dividends we pay during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year, and the amount of tax we withhold, if any. Under the backup withholding rules, a shareholder may be subject to backup withholding (currently at the rate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225"/>
        <w:spacing w:after="0" w:line="332"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1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99"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 of the distribution designated as a capital gain dividend. A non-U.S. shareholder may receive a credit against its FIRPTA tax liability for the amount we withhold.</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05"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48" w:lineRule="exact"/>
        <w:rPr>
          <w:sz w:val="20"/>
          <w:szCs w:val="20"/>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03" w:lineRule="exact"/>
        <w:rPr>
          <w:rFonts w:ascii="Arial" w:cs="Arial" w:eastAsia="Arial" w:hAnsi="Arial"/>
          <w:sz w:val="18"/>
          <w:szCs w:val="18"/>
          <w:color w:val="auto"/>
        </w:rPr>
      </w:pPr>
    </w:p>
    <w:p>
      <w:pPr>
        <w:ind w:left="800" w:right="62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color w:val="auto"/>
        </w:rPr>
        <w:t>. 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77" w:lineRule="exact"/>
        <w:rPr>
          <w:sz w:val="20"/>
          <w:szCs w:val="20"/>
          <w:color w:val="auto"/>
        </w:rPr>
      </w:pPr>
    </w:p>
    <w:p>
      <w:pPr>
        <w:ind w:left="800" w:right="400" w:hanging="225"/>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93"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72"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0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27"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1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60" w:firstLine="571"/>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w:t>
      </w:r>
    </w:p>
    <w:p>
      <w:pPr>
        <w:spacing w:after="0" w:line="127"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105" w:lineRule="exact"/>
        <w:rPr>
          <w:sz w:val="20"/>
          <w:szCs w:val="20"/>
          <w:color w:val="auto"/>
        </w:rPr>
      </w:pPr>
    </w:p>
    <w:p>
      <w:pPr>
        <w:ind w:left="800" w:hanging="225"/>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103" w:lineRule="exact"/>
        <w:rPr>
          <w:rFonts w:ascii="Arial" w:cs="Arial" w:eastAsia="Arial" w:hAnsi="Arial"/>
          <w:sz w:val="18"/>
          <w:szCs w:val="18"/>
          <w:color w:val="auto"/>
        </w:rPr>
      </w:pPr>
    </w:p>
    <w:p>
      <w:pPr>
        <w:ind w:left="800" w:right="120" w:hanging="225"/>
        <w:spacing w:after="0" w:line="259"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27"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direct your request to:</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83"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60" w:type="dxa"/>
            <w:vAlign w:val="bottom"/>
            <w:gridSpan w:val="2"/>
          </w:tcPr>
          <w:p>
            <w:pPr>
              <w:spacing w:after="0"/>
              <w:rPr>
                <w:sz w:val="20"/>
                <w:szCs w:val="20"/>
                <w:color w:val="auto"/>
              </w:rPr>
            </w:pPr>
            <w:r>
              <w:rPr>
                <w:rFonts w:ascii="Arial" w:cs="Arial" w:eastAsia="Arial" w:hAnsi="Arial"/>
                <w:sz w:val="18"/>
                <w:szCs w:val="18"/>
                <w:color w:val="auto"/>
              </w:rPr>
              <w:t>SEC Registration Fee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760" w:type="dxa"/>
            <w:vAlign w:val="bottom"/>
            <w:gridSpan w:val="2"/>
          </w:tcPr>
          <w:p>
            <w:pPr>
              <w:spacing w:after="0"/>
              <w:rPr>
                <w:sz w:val="20"/>
                <w:szCs w:val="20"/>
                <w:color w:val="auto"/>
              </w:rPr>
            </w:pPr>
            <w:r>
              <w:rPr>
                <w:rFonts w:ascii="Arial" w:cs="Arial" w:eastAsia="Arial" w:hAnsi="Arial"/>
                <w:sz w:val="18"/>
                <w:szCs w:val="18"/>
                <w:color w:val="auto"/>
              </w:rPr>
              <w:t>Printing and Mailing Costs</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7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7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760" w:type="dxa"/>
            <w:vAlign w:val="bottom"/>
            <w:gridSpan w:val="2"/>
          </w:tcPr>
          <w:p>
            <w:pPr>
              <w:spacing w:after="0"/>
              <w:rPr>
                <w:sz w:val="20"/>
                <w:szCs w:val="20"/>
                <w:color w:val="auto"/>
              </w:rPr>
            </w:pPr>
            <w:r>
              <w:rPr>
                <w:rFonts w:ascii="Arial" w:cs="Arial" w:eastAsia="Arial" w:hAnsi="Arial"/>
                <w:sz w:val="18"/>
                <w:szCs w:val="18"/>
                <w:color w:val="auto"/>
              </w:rPr>
              <w:t>Trustee Fees and Expenses</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076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10"/>
        </w:trPr>
        <w:tc>
          <w:tcPr>
            <w:tcW w:w="1180" w:type="dxa"/>
            <w:vAlign w:val="bottom"/>
          </w:tcPr>
          <w:p>
            <w:pPr>
              <w:spacing w:after="0"/>
              <w:rPr>
                <w:sz w:val="9"/>
                <w:szCs w:val="9"/>
                <w:color w:val="auto"/>
              </w:rPr>
            </w:pPr>
          </w:p>
        </w:tc>
        <w:tc>
          <w:tcPr>
            <w:tcW w:w="9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10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34"/>
        </w:trPr>
        <w:tc>
          <w:tcPr>
            <w:tcW w:w="118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580" w:right="20" w:hanging="572"/>
        <w:spacing w:after="0" w:line="284" w:lineRule="auto"/>
        <w:tabs>
          <w:tab w:leader="none" w:pos="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accordance with Rule 456(b) and 457(r), we are deferring payment of the registration fee for the securities offered by this prospectus, except for $9,200 that has already been paid with respect to $100,000,000 aggregate initial offering price of securities that were previously registered by us pursuant to Registration Statement No. 333-100819 filed on October 29, 2002, and were not sold thereunder.</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of such fees and expenses are presently unknown.</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83"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32"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09"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11" w:lineRule="exact"/>
        <w:rPr>
          <w:sz w:val="20"/>
          <w:szCs w:val="20"/>
          <w:color w:val="auto"/>
        </w:rPr>
      </w:pPr>
    </w:p>
    <w:p>
      <w:pPr>
        <w:ind w:right="620" w:firstLine="571"/>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153"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428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68580</wp:posOffset>
            </wp:positionV>
            <wp:extent cx="643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6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1.1</w:t>
            </w:r>
          </w:p>
        </w:tc>
        <w:tc>
          <w:tcPr>
            <w:tcW w:w="10000" w:type="dxa"/>
            <w:vAlign w:val="bottom"/>
          </w:tcPr>
          <w:p>
            <w:pPr>
              <w:ind w:left="420"/>
              <w:spacing w:after="0"/>
              <w:rPr>
                <w:sz w:val="20"/>
                <w:szCs w:val="20"/>
                <w:color w:val="auto"/>
              </w:rPr>
            </w:pPr>
            <w:r>
              <w:rPr>
                <w:rFonts w:ascii="Arial" w:cs="Arial" w:eastAsia="Arial" w:hAnsi="Arial"/>
                <w:sz w:val="18"/>
                <w:szCs w:val="18"/>
                <w:color w:val="auto"/>
              </w:rPr>
              <w:t>Form of Underwriting Agreement for Debt Securities*</w:t>
            </w:r>
          </w:p>
        </w:tc>
      </w:tr>
      <w:tr>
        <w:trPr>
          <w:trHeight w:val="284"/>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1.2</w:t>
            </w:r>
          </w:p>
        </w:tc>
        <w:tc>
          <w:tcPr>
            <w:tcW w:w="10000" w:type="dxa"/>
            <w:vAlign w:val="bottom"/>
          </w:tcPr>
          <w:p>
            <w:pPr>
              <w:ind w:left="420"/>
              <w:spacing w:after="0"/>
              <w:rPr>
                <w:sz w:val="20"/>
                <w:szCs w:val="20"/>
                <w:color w:val="auto"/>
              </w:rPr>
            </w:pPr>
            <w:r>
              <w:rPr>
                <w:rFonts w:ascii="Arial" w:cs="Arial" w:eastAsia="Arial" w:hAnsi="Arial"/>
                <w:sz w:val="18"/>
                <w:szCs w:val="18"/>
                <w:color w:val="auto"/>
              </w:rPr>
              <w:t>Form of Underwriting Agreement for Equity Securities*</w:t>
            </w:r>
          </w:p>
        </w:tc>
      </w:tr>
      <w:tr>
        <w:trPr>
          <w:trHeight w:val="284"/>
        </w:trPr>
        <w:tc>
          <w:tcPr>
            <w:tcW w:w="660" w:type="dxa"/>
            <w:vAlign w:val="bottom"/>
          </w:tcPr>
          <w:p>
            <w:pPr>
              <w:jc w:val="right"/>
              <w:ind w:right="352"/>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420"/>
              <w:spacing w:after="0"/>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w:t>
            </w:r>
          </w:p>
        </w:tc>
      </w:tr>
    </w:tbl>
    <w:p>
      <w:pPr>
        <w:ind w:left="1760" w:right="140"/>
        <w:spacing w:after="0" w:line="302" w:lineRule="auto"/>
        <w:rPr>
          <w:sz w:val="20"/>
          <w:szCs w:val="20"/>
          <w:color w:val="auto"/>
        </w:rPr>
      </w:pPr>
      <w:r>
        <w:rPr>
          <w:rFonts w:ascii="Arial" w:cs="Arial" w:eastAsia="Arial" w:hAnsi="Arial"/>
          <w:sz w:val="16"/>
          <w:szCs w:val="16"/>
          <w:color w:val="auto"/>
        </w:rPr>
        <w:t>Trust of Federal Realty Investment Trust dated May 6, 2004, as corrected by the Certificate of Correction of Articles of Amendment of Declaration of Trust of Federal Realty Investment Trust dated June 17, 2004 (previously filed as Exhibit 3.1 to the Trust’s Quarterly Report on Form 10-Q for the quarter ended June 30, 2005 (File No. 1-07533) and incorporated herein by reference)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072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720" w:type="dxa"/>
            <w:vAlign w:val="bottom"/>
            <w:gridSpan w:val="3"/>
          </w:tcPr>
          <w:p>
            <w:pPr>
              <w:ind w:left="760"/>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 and</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60" w:type="dxa"/>
            <w:vAlign w:val="bottom"/>
            <w:gridSpan w:val="2"/>
          </w:tcPr>
          <w:p>
            <w:pPr>
              <w:ind w:left="220"/>
              <w:spacing w:after="0"/>
              <w:rPr>
                <w:sz w:val="20"/>
                <w:szCs w:val="20"/>
                <w:color w:val="auto"/>
              </w:rPr>
            </w:pPr>
            <w:r>
              <w:rPr>
                <w:rFonts w:ascii="Arial" w:cs="Arial" w:eastAsia="Arial" w:hAnsi="Arial"/>
                <w:sz w:val="18"/>
                <w:szCs w:val="18"/>
                <w:color w:val="auto"/>
                <w:w w:val="89"/>
              </w:rPr>
              <w:t>February 17, 2006 (previously filed as Exhibit 3.2 to the Trust’s Annual Report on Form 10-K for the year ended December 31, 2005 (File</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60" w:type="dxa"/>
            <w:vAlign w:val="bottom"/>
            <w:gridSpan w:val="2"/>
          </w:tcPr>
          <w:p>
            <w:pPr>
              <w:ind w:left="220"/>
              <w:spacing w:after="0"/>
              <w:rPr>
                <w:sz w:val="20"/>
                <w:szCs w:val="20"/>
                <w:color w:val="auto"/>
              </w:rPr>
            </w:pPr>
            <w:r>
              <w:rPr>
                <w:rFonts w:ascii="Arial" w:cs="Arial" w:eastAsia="Arial" w:hAnsi="Arial"/>
                <w:sz w:val="18"/>
                <w:szCs w:val="18"/>
                <w:color w:val="auto"/>
              </w:rPr>
              <w:t>No. 1-07533) and incorporated herein by reference)</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0720" w:type="dxa"/>
            <w:vAlign w:val="bottom"/>
            <w:gridSpan w:val="3"/>
          </w:tcPr>
          <w:p>
            <w:pPr>
              <w:ind w:left="760"/>
              <w:spacing w:after="0"/>
              <w:rPr>
                <w:sz w:val="20"/>
                <w:szCs w:val="20"/>
                <w:color w:val="auto"/>
              </w:rPr>
            </w:pPr>
            <w:r>
              <w:rPr>
                <w:rFonts w:ascii="Arial" w:cs="Arial" w:eastAsia="Arial" w:hAnsi="Arial"/>
                <w:sz w:val="18"/>
                <w:szCs w:val="18"/>
                <w:color w:val="auto"/>
                <w:w w:val="89"/>
              </w:rPr>
              <w:t>Specimen Common Share certificate (filed as Exhibit 4(i) to the Trust’s Annual Report on Form 10-K for the year ended December 31, 1999,</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60" w:type="dxa"/>
            <w:vAlign w:val="bottom"/>
            <w:gridSpan w:val="2"/>
          </w:tcPr>
          <w:p>
            <w:pPr>
              <w:ind w:left="220"/>
              <w:spacing w:after="0"/>
              <w:rPr>
                <w:sz w:val="20"/>
                <w:szCs w:val="20"/>
                <w:color w:val="auto"/>
              </w:rPr>
            </w:pPr>
            <w:r>
              <w:rPr>
                <w:rFonts w:ascii="Arial" w:cs="Arial" w:eastAsia="Arial" w:hAnsi="Arial"/>
                <w:sz w:val="18"/>
                <w:szCs w:val="18"/>
                <w:color w:val="auto"/>
              </w:rPr>
              <w:t>and incorporated herein by reference)</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720" w:type="dxa"/>
            <w:vAlign w:val="bottom"/>
            <w:gridSpan w:val="3"/>
          </w:tcPr>
          <w:p>
            <w:pPr>
              <w:ind w:left="760"/>
              <w:spacing w:after="0"/>
              <w:rPr>
                <w:sz w:val="20"/>
                <w:szCs w:val="20"/>
                <w:color w:val="auto"/>
              </w:rPr>
            </w:pPr>
            <w:r>
              <w:rPr>
                <w:rFonts w:ascii="Arial" w:cs="Arial" w:eastAsia="Arial" w:hAnsi="Arial"/>
                <w:sz w:val="18"/>
                <w:szCs w:val="18"/>
                <w:color w:val="auto"/>
                <w:w w:val="88"/>
              </w:rPr>
              <w:t>Amended and Restated Rights Agreement, dated March 11, 1999, between the Trust and American Stock Transfer &amp; Trust Company (filed as</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60" w:type="dxa"/>
            <w:vAlign w:val="bottom"/>
            <w:gridSpan w:val="2"/>
          </w:tcPr>
          <w:p>
            <w:pPr>
              <w:ind w:left="220"/>
              <w:spacing w:after="0"/>
              <w:rPr>
                <w:sz w:val="20"/>
                <w:szCs w:val="20"/>
                <w:color w:val="auto"/>
              </w:rPr>
            </w:pPr>
            <w:r>
              <w:rPr>
                <w:rFonts w:ascii="Arial" w:cs="Arial" w:eastAsia="Arial" w:hAnsi="Arial"/>
                <w:sz w:val="18"/>
                <w:szCs w:val="18"/>
                <w:color w:val="auto"/>
                <w:w w:val="96"/>
              </w:rPr>
              <w:t>Exhibit 1 to the Trust’s Registration Statement No. 1-07533 on Form 8-A/A filed on March 11, 1999, and incorporated herein by</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6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r>
      <w:tr>
        <w:trPr>
          <w:trHeight w:val="222"/>
        </w:trPr>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720" w:type="dxa"/>
            <w:vAlign w:val="bottom"/>
            <w:gridSpan w:val="3"/>
          </w:tcPr>
          <w:p>
            <w:pPr>
              <w:ind w:left="760"/>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bl>
    <w:p>
      <w:pPr>
        <w:ind w:left="1640" w:right="140" w:firstLine="2"/>
        <w:spacing w:after="0" w:line="250" w:lineRule="auto"/>
        <w:tabs>
          <w:tab w:leader="none" w:pos="18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Trust Company (filed as Exhibit 4.5 to the Trust’s Annual Report on Form 10-K for the year ended December 31, 2003 filed on March 15, 2004, and incorporated herein by reference)</w:t>
      </w:r>
    </w:p>
    <w:tbl>
      <w:tblPr>
        <w:tblLayout w:type="fixed"/>
        <w:tblInd w:w="340" w:type="dxa"/>
        <w:tblCellMar>
          <w:top w:w="0" w:type="dxa"/>
          <w:left w:w="0" w:type="dxa"/>
          <w:bottom w:w="0" w:type="dxa"/>
          <w:right w:w="0" w:type="dxa"/>
        </w:tblCellMar>
      </w:tblPr>
      <w:tr>
        <w:trPr>
          <w:trHeight w:val="211"/>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380" w:type="dxa"/>
            <w:vAlign w:val="bottom"/>
          </w:tcPr>
          <w:p>
            <w:pPr>
              <w:ind w:left="380"/>
              <w:spacing w:after="0" w:line="210" w:lineRule="exact"/>
              <w:rPr>
                <w:sz w:val="20"/>
                <w:szCs w:val="20"/>
                <w:color w:val="auto"/>
              </w:rPr>
            </w:pPr>
            <w:r>
              <w:rPr>
                <w:rFonts w:ascii="Arial" w:cs="Arial" w:eastAsia="Arial" w:hAnsi="Arial"/>
                <w:sz w:val="18"/>
                <w:szCs w:val="18"/>
                <w:color w:val="auto"/>
                <w:w w:val="88"/>
              </w:rPr>
              <w:t xml:space="preserve">Articles Supplementary relating to the 8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/2% Series B Cumulative Redeemable Preferred Shares (previously filed as Exhibit 4.1 to the Trust’s</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1"/>
              </w:rPr>
              <w:t>Registration Statement on Form 8-A filed on November 26, 2001 (File No. 1-07533) (the “2001 Form 8-A”) and incorporated herein by</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reference)</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380" w:type="dxa"/>
            <w:vAlign w:val="bottom"/>
          </w:tcPr>
          <w:p>
            <w:pPr>
              <w:ind w:left="380"/>
              <w:spacing w:after="0" w:line="217" w:lineRule="exact"/>
              <w:rPr>
                <w:sz w:val="20"/>
                <w:szCs w:val="20"/>
                <w:color w:val="auto"/>
              </w:rPr>
            </w:pPr>
            <w:r>
              <w:rPr>
                <w:rFonts w:ascii="Arial" w:cs="Arial" w:eastAsia="Arial" w:hAnsi="Arial"/>
                <w:sz w:val="18"/>
                <w:szCs w:val="18"/>
                <w:color w:val="auto"/>
                <w:w w:val="92"/>
              </w:rPr>
              <w:t xml:space="preserve">Specimen 8 </w:t>
            </w:r>
            <w:r>
              <w:rPr>
                <w:rFonts w:ascii="Arial" w:cs="Arial" w:eastAsia="Arial" w:hAnsi="Arial"/>
                <w:sz w:val="22"/>
                <w:szCs w:val="22"/>
                <w:color w:val="auto"/>
                <w:w w:val="92"/>
                <w:vertAlign w:val="superscript"/>
              </w:rPr>
              <w:t>1</w:t>
            </w:r>
            <w:r>
              <w:rPr>
                <w:rFonts w:ascii="Arial" w:cs="Arial" w:eastAsia="Arial" w:hAnsi="Arial"/>
                <w:sz w:val="18"/>
                <w:szCs w:val="18"/>
                <w:color w:val="auto"/>
                <w:w w:val="92"/>
              </w:rPr>
              <w:t>/2% Series B Cumulative Redeemable Preferred Share certificate (previously filed as Exhibit 4.2 to the 2001 Form 8-A and</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380" w:type="dxa"/>
            <w:vAlign w:val="bottom"/>
          </w:tcPr>
          <w:p>
            <w:pPr>
              <w:ind w:left="380"/>
              <w:spacing w:after="0"/>
              <w:rPr>
                <w:sz w:val="20"/>
                <w:szCs w:val="20"/>
                <w:color w:val="auto"/>
              </w:rPr>
            </w:pPr>
            <w:r>
              <w:rPr>
                <w:rFonts w:ascii="Arial" w:cs="Arial" w:eastAsia="Arial" w:hAnsi="Arial"/>
                <w:sz w:val="18"/>
                <w:szCs w:val="18"/>
                <w:color w:val="auto"/>
                <w:w w:val="89"/>
              </w:rPr>
              <w:t>Indenture dated December 13, 1993 related to the Trust’s 7.48% Debentures due August 15, 2026; 6 5/8% Notes due 2005; 6.82% Medium</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3"/>
              </w:rPr>
              <w:t>Term Notes due August 1, 2027; and 6.99% Medium Term Notes due March 10, 2006 (previously filed as Exhibit 4(a) to the Trust’s</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88"/>
              </w:rPr>
              <w:t>Registration Statement on Form S-3 (File No. 33-51029), and amended on Form S-3 (File No. 33-63687), filed on December 13, 1993 and</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380" w:type="dxa"/>
            <w:vAlign w:val="bottom"/>
          </w:tcPr>
          <w:p>
            <w:pPr>
              <w:ind w:left="380"/>
              <w:spacing w:after="0" w:line="217" w:lineRule="exact"/>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3"/>
              </w:rPr>
              <w:t>2007 and the Trust’s 4.50% Notes due 2011 (previously filed as Exhibit 4(a) to the Trust’s Registration Statement on Form S-3 (File</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4.8</w:t>
            </w: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4.9</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Warrant Agreement*</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4.10</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Certificate for Preferred Stock*</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4.11</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Deposit Agreement and Depositary Receipt*</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10380" w:type="dxa"/>
            <w:vAlign w:val="bottom"/>
          </w:tcPr>
          <w:p>
            <w:pPr>
              <w:ind w:left="380"/>
              <w:spacing w:after="0"/>
              <w:rPr>
                <w:sz w:val="20"/>
                <w:szCs w:val="20"/>
                <w:color w:val="auto"/>
              </w:rPr>
            </w:pPr>
            <w:r>
              <w:rPr>
                <w:rFonts w:ascii="Arial" w:cs="Arial" w:eastAsia="Arial" w:hAnsi="Arial"/>
                <w:sz w:val="18"/>
                <w:szCs w:val="18"/>
                <w:color w:val="auto"/>
              </w:rPr>
              <w:t>Opinion of Pillsbury Winthrop Shaw Pittman LLP regarding the validity of the securities being registered (filed herewith)</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8.1</w:t>
            </w:r>
          </w:p>
        </w:tc>
        <w:tc>
          <w:tcPr>
            <w:tcW w:w="10380" w:type="dxa"/>
            <w:vAlign w:val="bottom"/>
          </w:tcPr>
          <w:p>
            <w:pPr>
              <w:ind w:left="380"/>
              <w:spacing w:after="0"/>
              <w:rPr>
                <w:sz w:val="20"/>
                <w:szCs w:val="20"/>
                <w:color w:val="auto"/>
              </w:rPr>
            </w:pPr>
            <w:r>
              <w:rPr>
                <w:rFonts w:ascii="Arial" w:cs="Arial" w:eastAsia="Arial" w:hAnsi="Arial"/>
                <w:sz w:val="18"/>
                <w:szCs w:val="18"/>
                <w:color w:val="auto"/>
              </w:rPr>
              <w:t>Opinion of Pillsbury Winthrop Shaw Pittman LLP regarding certain tax matters (filed herewith)</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12.1</w:t>
            </w:r>
          </w:p>
        </w:tc>
        <w:tc>
          <w:tcPr>
            <w:tcW w:w="10380" w:type="dxa"/>
            <w:vAlign w:val="bottom"/>
          </w:tcPr>
          <w:p>
            <w:pPr>
              <w:ind w:left="380"/>
              <w:spacing w:after="0"/>
              <w:rPr>
                <w:sz w:val="20"/>
                <w:szCs w:val="20"/>
                <w:color w:val="auto"/>
              </w:rPr>
            </w:pPr>
            <w:r>
              <w:rPr>
                <w:rFonts w:ascii="Arial" w:cs="Arial" w:eastAsia="Arial" w:hAnsi="Arial"/>
                <w:sz w:val="18"/>
                <w:szCs w:val="18"/>
                <w:color w:val="auto"/>
              </w:rPr>
              <w:t>Statement of Computation of Earnings to Combined Fixed Charges and Preferred Stock Dividends (filed herewith)</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23.1</w:t>
            </w:r>
          </w:p>
        </w:tc>
        <w:tc>
          <w:tcPr>
            <w:tcW w:w="10380" w:type="dxa"/>
            <w:vAlign w:val="bottom"/>
          </w:tcPr>
          <w:p>
            <w:pPr>
              <w:ind w:left="380"/>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23.2</w:t>
            </w:r>
          </w:p>
        </w:tc>
        <w:tc>
          <w:tcPr>
            <w:tcW w:w="10380" w:type="dxa"/>
            <w:vAlign w:val="bottom"/>
          </w:tcPr>
          <w:p>
            <w:pPr>
              <w:ind w:left="38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23.3</w:t>
            </w:r>
          </w:p>
        </w:tc>
        <w:tc>
          <w:tcPr>
            <w:tcW w:w="10380" w:type="dxa"/>
            <w:vAlign w:val="bottom"/>
          </w:tcPr>
          <w:p>
            <w:pPr>
              <w:ind w:left="380"/>
              <w:spacing w:after="0"/>
              <w:rPr>
                <w:sz w:val="20"/>
                <w:szCs w:val="20"/>
                <w:color w:val="auto"/>
              </w:rPr>
            </w:pPr>
            <w:r>
              <w:rPr>
                <w:rFonts w:ascii="Arial" w:cs="Arial" w:eastAsia="Arial" w:hAnsi="Arial"/>
                <w:sz w:val="18"/>
                <w:szCs w:val="18"/>
                <w:color w:val="auto"/>
              </w:rPr>
              <w:t>Consent of Pillsbury Winthrop Shaw Pittman LLP (included in Exhibit 8.1)</w:t>
            </w:r>
          </w:p>
        </w:tc>
      </w:tr>
      <w:tr>
        <w:trPr>
          <w:trHeight w:val="216"/>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24.1</w:t>
            </w:r>
          </w:p>
        </w:tc>
        <w:tc>
          <w:tcPr>
            <w:tcW w:w="10380" w:type="dxa"/>
            <w:vAlign w:val="bottom"/>
          </w:tcPr>
          <w:p>
            <w:pPr>
              <w:ind w:left="380"/>
              <w:spacing w:after="0"/>
              <w:rPr>
                <w:sz w:val="20"/>
                <w:szCs w:val="20"/>
                <w:color w:val="auto"/>
              </w:rPr>
            </w:pPr>
            <w:r>
              <w:rPr>
                <w:rFonts w:ascii="Arial" w:cs="Arial" w:eastAsia="Arial" w:hAnsi="Arial"/>
                <w:sz w:val="18"/>
                <w:szCs w:val="18"/>
                <w:color w:val="auto"/>
              </w:rPr>
              <w:t>Power of Attorney (included on signature page)</w:t>
            </w:r>
          </w:p>
        </w:tc>
      </w:tr>
      <w:tr>
        <w:trPr>
          <w:trHeight w:val="222"/>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25.1</w:t>
            </w:r>
          </w:p>
        </w:tc>
        <w:tc>
          <w:tcPr>
            <w:tcW w:w="10380" w:type="dxa"/>
            <w:vAlign w:val="bottom"/>
          </w:tcPr>
          <w:p>
            <w:pPr>
              <w:ind w:left="380"/>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580" w:right="3040" w:hanging="5572"/>
        <w:spacing w:after="0" w:line="440" w:lineRule="auto"/>
        <w:tabs>
          <w:tab w:leader="none" w:pos="5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II-3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760" w:hanging="181"/>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340" w:hanging="219"/>
        <w:spacing w:after="0"/>
        <w:tabs>
          <w:tab w:leader="none" w:pos="13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580" w:right="200" w:firstLine="541"/>
        <w:spacing w:after="0" w:line="314" w:lineRule="auto"/>
        <w:tabs>
          <w:tab w:leader="none" w:pos="1380" w:val="left"/>
        </w:tabs>
        <w:numPr>
          <w:ilvl w:val="1"/>
          <w:numId w:val="8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 w:lineRule="exact"/>
        <w:rPr>
          <w:rFonts w:ascii="Arial" w:cs="Arial" w:eastAsia="Arial" w:hAnsi="Arial"/>
          <w:sz w:val="15"/>
          <w:szCs w:val="15"/>
          <w:color w:val="auto"/>
        </w:rPr>
      </w:pPr>
    </w:p>
    <w:p>
      <w:pPr>
        <w:ind w:left="580" w:right="440" w:firstLine="541"/>
        <w:spacing w:after="0" w:line="268" w:lineRule="auto"/>
        <w:tabs>
          <w:tab w:leader="none" w:pos="14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 (i), (1) (ii) and (1)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0" w:lineRule="exact"/>
        <w:rPr>
          <w:sz w:val="20"/>
          <w:szCs w:val="20"/>
          <w:color w:val="auto"/>
        </w:rPr>
      </w:pPr>
    </w:p>
    <w:p>
      <w:pPr>
        <w:jc w:val="both"/>
        <w:ind w:right="140" w:firstLine="579"/>
        <w:spacing w:after="0" w:line="259" w:lineRule="auto"/>
        <w:tabs>
          <w:tab w:leader="none" w:pos="7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6" w:lineRule="exact"/>
        <w:rPr>
          <w:rFonts w:ascii="Arial" w:cs="Arial" w:eastAsia="Arial" w:hAnsi="Arial"/>
          <w:sz w:val="18"/>
          <w:szCs w:val="18"/>
          <w:color w:val="auto"/>
        </w:rPr>
      </w:pPr>
    </w:p>
    <w:p>
      <w:pPr>
        <w:ind w:right="120" w:firstLine="579"/>
        <w:spacing w:after="0" w:line="268" w:lineRule="auto"/>
        <w:tabs>
          <w:tab w:leader="none" w:pos="7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760" w:hanging="181"/>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76" w:lineRule="exact"/>
        <w:rPr>
          <w:rFonts w:ascii="Arial" w:cs="Arial" w:eastAsia="Arial" w:hAnsi="Arial"/>
          <w:sz w:val="18"/>
          <w:szCs w:val="18"/>
          <w:color w:val="auto"/>
        </w:rPr>
      </w:pPr>
    </w:p>
    <w:p>
      <w:pPr>
        <w:ind w:left="580" w:right="200" w:firstLine="541"/>
        <w:spacing w:after="0" w:line="268" w:lineRule="auto"/>
        <w:tabs>
          <w:tab w:leader="none" w:pos="141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7" w:lineRule="exact"/>
        <w:rPr>
          <w:rFonts w:ascii="Arial" w:cs="Arial" w:eastAsia="Arial" w:hAnsi="Arial"/>
          <w:sz w:val="18"/>
          <w:szCs w:val="18"/>
          <w:color w:val="auto"/>
        </w:rPr>
      </w:pPr>
    </w:p>
    <w:p>
      <w:pPr>
        <w:ind w:left="580" w:right="40" w:firstLine="541"/>
        <w:spacing w:after="0" w:line="310" w:lineRule="auto"/>
        <w:tabs>
          <w:tab w:leader="none" w:pos="14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60"/>
        <w:spacing w:after="0" w:line="259" w:lineRule="auto"/>
        <w:rPr>
          <w:sz w:val="20"/>
          <w:szCs w:val="20"/>
          <w:color w:val="auto"/>
        </w:rPr>
      </w:pPr>
      <w:r>
        <w:rPr>
          <w:rFonts w:ascii="Arial" w:cs="Arial" w:eastAsia="Arial" w:hAnsi="Arial"/>
          <w:sz w:val="18"/>
          <w:szCs w:val="18"/>
          <w:color w:val="auto"/>
        </w:rPr>
        <w:t>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sz w:val="20"/>
          <w:szCs w:val="20"/>
          <w:color w:val="auto"/>
        </w:rPr>
      </w:pPr>
    </w:p>
    <w:p>
      <w:pPr>
        <w:ind w:right="300" w:firstLine="579"/>
        <w:spacing w:after="0" w:line="323" w:lineRule="auto"/>
        <w:tabs>
          <w:tab w:leader="none" w:pos="74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 w:lineRule="exact"/>
        <w:rPr>
          <w:rFonts w:ascii="Arial" w:cs="Arial" w:eastAsia="Arial" w:hAnsi="Arial"/>
          <w:sz w:val="15"/>
          <w:szCs w:val="15"/>
          <w:color w:val="auto"/>
        </w:rPr>
      </w:pPr>
    </w:p>
    <w:p>
      <w:pPr>
        <w:ind w:left="1320" w:hanging="199"/>
        <w:spacing w:after="0"/>
        <w:tabs>
          <w:tab w:leader="none" w:pos="13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99" w:lineRule="exact"/>
        <w:rPr>
          <w:rFonts w:ascii="Arial" w:cs="Arial" w:eastAsia="Arial" w:hAnsi="Arial"/>
          <w:sz w:val="16"/>
          <w:szCs w:val="16"/>
          <w:color w:val="auto"/>
        </w:rPr>
      </w:pPr>
    </w:p>
    <w:p>
      <w:pPr>
        <w:ind w:left="580" w:right="600" w:firstLine="541"/>
        <w:spacing w:after="0" w:line="268" w:lineRule="auto"/>
        <w:tabs>
          <w:tab w:leader="none" w:pos="137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7" w:lineRule="exact"/>
        <w:rPr>
          <w:rFonts w:ascii="Arial" w:cs="Arial" w:eastAsia="Arial" w:hAnsi="Arial"/>
          <w:sz w:val="18"/>
          <w:szCs w:val="18"/>
          <w:color w:val="auto"/>
        </w:rPr>
      </w:pPr>
    </w:p>
    <w:p>
      <w:pPr>
        <w:ind w:left="580" w:firstLine="541"/>
        <w:spacing w:after="0" w:line="268" w:lineRule="auto"/>
        <w:tabs>
          <w:tab w:leader="none" w:pos="142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 w:lineRule="exact"/>
        <w:rPr>
          <w:rFonts w:ascii="Arial" w:cs="Arial" w:eastAsia="Arial" w:hAnsi="Arial"/>
          <w:sz w:val="18"/>
          <w:szCs w:val="18"/>
          <w:color w:val="auto"/>
        </w:rPr>
      </w:pPr>
    </w:p>
    <w:p>
      <w:pPr>
        <w:ind w:left="1400" w:hanging="279"/>
        <w:spacing w:after="0"/>
        <w:tabs>
          <w:tab w:leader="none" w:pos="14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7" w:lineRule="exact"/>
        <w:rPr>
          <w:rFonts w:ascii="Arial" w:cs="Arial" w:eastAsia="Arial" w:hAnsi="Arial"/>
          <w:sz w:val="18"/>
          <w:szCs w:val="18"/>
          <w:color w:val="auto"/>
        </w:rPr>
      </w:pPr>
    </w:p>
    <w:p>
      <w:pPr>
        <w:ind w:right="100" w:firstLine="579"/>
        <w:spacing w:after="0" w:line="298" w:lineRule="auto"/>
        <w:tabs>
          <w:tab w:leader="none" w:pos="746"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9" w:lineRule="exact"/>
        <w:rPr>
          <w:rFonts w:ascii="Arial" w:cs="Arial" w:eastAsia="Arial" w:hAnsi="Arial"/>
          <w:sz w:val="16"/>
          <w:szCs w:val="16"/>
          <w:color w:val="auto"/>
        </w:rPr>
      </w:pPr>
    </w:p>
    <w:p>
      <w:pPr>
        <w:ind w:firstLine="579"/>
        <w:spacing w:after="0" w:line="268" w:lineRule="auto"/>
        <w:tabs>
          <w:tab w:leader="none" w:pos="7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 (b)(2) of the Trust Indenture Act.</w:t>
      </w:r>
    </w:p>
    <w:p>
      <w:pPr>
        <w:spacing w:after="0" w:line="118" w:lineRule="exact"/>
        <w:rPr>
          <w:sz w:val="20"/>
          <w:szCs w:val="20"/>
          <w:color w:val="auto"/>
        </w:rPr>
      </w:pPr>
    </w:p>
    <w:p>
      <w:pPr>
        <w:ind w:right="20" w:firstLine="571"/>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June 20, 2006.</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Donald C. Wood</w:t>
            </w:r>
          </w:p>
        </w:tc>
        <w:tc>
          <w:tcPr>
            <w:tcW w:w="0" w:type="dxa"/>
            <w:vAlign w:val="bottom"/>
          </w:tcPr>
          <w:p>
            <w:pPr>
              <w:spacing w:after="0"/>
              <w:rPr>
                <w:sz w:val="1"/>
                <w:szCs w:val="1"/>
                <w:color w:val="auto"/>
              </w:rPr>
            </w:pPr>
          </w:p>
        </w:tc>
      </w:tr>
      <w:tr>
        <w:trPr>
          <w:trHeight w:val="158"/>
        </w:trPr>
        <w:tc>
          <w:tcPr>
            <w:tcW w:w="500" w:type="dxa"/>
            <w:vAlign w:val="bottom"/>
          </w:tcPr>
          <w:p>
            <w:pPr>
              <w:spacing w:after="0" w:line="157" w:lineRule="exact"/>
              <w:rPr>
                <w:sz w:val="20"/>
                <w:szCs w:val="20"/>
                <w:color w:val="auto"/>
              </w:rPr>
            </w:pPr>
            <w:r>
              <w:rPr>
                <w:rFonts w:ascii="Arial" w:cs="Arial" w:eastAsia="Arial" w:hAnsi="Arial"/>
                <w:sz w:val="14"/>
                <w:szCs w:val="14"/>
                <w:color w:val="auto"/>
              </w:rPr>
              <w:t>Name:</w:t>
            </w:r>
          </w:p>
        </w:tc>
        <w:tc>
          <w:tcPr>
            <w:tcW w:w="4060" w:type="dxa"/>
            <w:vAlign w:val="bottom"/>
          </w:tcPr>
          <w:p>
            <w:pPr>
              <w:ind w:left="240"/>
              <w:spacing w:after="0" w:line="157" w:lineRule="exact"/>
              <w:rPr>
                <w:sz w:val="20"/>
                <w:szCs w:val="20"/>
                <w:color w:val="auto"/>
              </w:rPr>
            </w:pPr>
            <w:r>
              <w:rPr>
                <w:rFonts w:ascii="Arial" w:cs="Arial" w:eastAsia="Arial" w:hAnsi="Arial"/>
                <w:sz w:val="18"/>
                <w:szCs w:val="18"/>
                <w:color w:val="auto"/>
              </w:rPr>
              <w:t>Donald C. Wood</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4060" w:type="dxa"/>
            <w:vAlign w:val="bottom"/>
            <w:vMerge w:val="restart"/>
          </w:tcPr>
          <w:p>
            <w:pPr>
              <w:ind w:left="240"/>
              <w:spacing w:after="0"/>
              <w:rPr>
                <w:sz w:val="20"/>
                <w:szCs w:val="20"/>
                <w:color w:val="auto"/>
              </w:rPr>
            </w:pPr>
            <w:r>
              <w:rPr>
                <w:rFonts w:ascii="Arial" w:cs="Arial" w:eastAsia="Arial" w:hAnsi="Arial"/>
                <w:sz w:val="18"/>
                <w:szCs w:val="18"/>
                <w:color w:val="auto"/>
              </w:rPr>
              <w:t>President, Chief Executive Officer and Trustee</w:t>
            </w:r>
          </w:p>
        </w:tc>
        <w:tc>
          <w:tcPr>
            <w:tcW w:w="0" w:type="dxa"/>
            <w:vAlign w:val="bottom"/>
          </w:tcPr>
          <w:p>
            <w:pPr>
              <w:spacing w:after="0"/>
              <w:rPr>
                <w:sz w:val="1"/>
                <w:szCs w:val="1"/>
                <w:color w:val="auto"/>
              </w:rPr>
            </w:pPr>
          </w:p>
        </w:tc>
      </w:tr>
      <w:tr>
        <w:trPr>
          <w:trHeight w:val="89"/>
        </w:trPr>
        <w:tc>
          <w:tcPr>
            <w:tcW w:w="5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Larry E. Finger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05"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ind w:left="2000"/>
        <w:spacing w:after="0"/>
        <w:tabs>
          <w:tab w:leader="none" w:pos="670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68580</wp:posOffset>
            </wp:positionV>
            <wp:extent cx="720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68580</wp:posOffset>
            </wp:positionV>
            <wp:extent cx="4124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0441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0441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Jon E. Bortz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441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 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0441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Kristin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044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President, Chief Executive</w:t>
      </w:r>
      <w:r>
        <w:rPr>
          <w:sz w:val="20"/>
          <w:szCs w:val="20"/>
          <w:color w:val="auto"/>
        </w:rPr>
        <w:tab/>
      </w:r>
      <w:r>
        <w:rPr>
          <w:rFonts w:ascii="Arial" w:cs="Arial" w:eastAsia="Arial" w:hAnsi="Arial"/>
          <w:sz w:val="15"/>
          <w:szCs w:val="15"/>
          <w:color w:val="auto"/>
        </w:rPr>
        <w:t>June 20,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Trustee (principal executive officer)</w:t>
      </w:r>
    </w:p>
    <w:p>
      <w:pPr>
        <w:spacing w:after="0" w:line="200" w:lineRule="exact"/>
        <w:rPr>
          <w:sz w:val="20"/>
          <w:szCs w:val="20"/>
          <w:color w:val="auto"/>
        </w:rPr>
      </w:pPr>
    </w:p>
    <w:p>
      <w:pPr>
        <w:spacing w:after="0" w:line="262"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Executive Vice President and Chief Financial Officer</w:t>
      </w:r>
      <w:r>
        <w:rPr>
          <w:sz w:val="20"/>
          <w:szCs w:val="20"/>
          <w:color w:val="auto"/>
        </w:rPr>
        <w:tab/>
      </w:r>
      <w:r>
        <w:rPr>
          <w:rFonts w:ascii="Arial" w:cs="Arial" w:eastAsia="Arial" w:hAnsi="Arial"/>
          <w:sz w:val="15"/>
          <w:szCs w:val="15"/>
          <w:color w:val="auto"/>
        </w:rPr>
        <w:t>June 20,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Treasurer (principal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tabs>
          <w:tab w:leader="none" w:pos="4800" w:val="left"/>
        </w:tabs>
        <w:rPr>
          <w:sz w:val="20"/>
          <w:szCs w:val="20"/>
          <w:color w:val="auto"/>
        </w:rPr>
      </w:pPr>
      <w:r>
        <w:rPr>
          <w:rFonts w:ascii="Arial" w:cs="Arial" w:eastAsia="Arial" w:hAnsi="Arial"/>
          <w:sz w:val="15"/>
          <w:szCs w:val="15"/>
          <w:color w:val="auto"/>
        </w:rPr>
        <w:t>Trustee</w:t>
      </w:r>
      <w:r>
        <w:rPr>
          <w:sz w:val="20"/>
          <w:szCs w:val="20"/>
          <w:color w:val="auto"/>
        </w:rPr>
        <w:tab/>
      </w:r>
      <w:r>
        <w:rPr>
          <w:rFonts w:ascii="Arial" w:cs="Arial" w:eastAsia="Arial" w:hAnsi="Arial"/>
          <w:sz w:val="15"/>
          <w:szCs w:val="15"/>
          <w:color w:val="auto"/>
        </w:rPr>
        <w:t>June 20, 2006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4800" w:val="left"/>
        </w:tabs>
        <w:rPr>
          <w:sz w:val="20"/>
          <w:szCs w:val="20"/>
          <w:color w:val="auto"/>
        </w:rPr>
      </w:pPr>
      <w:r>
        <w:rPr>
          <w:rFonts w:ascii="Arial" w:cs="Arial" w:eastAsia="Arial" w:hAnsi="Arial"/>
          <w:sz w:val="15"/>
          <w:szCs w:val="15"/>
          <w:color w:val="auto"/>
        </w:rPr>
        <w:t>Trustee</w:t>
      </w:r>
      <w:r>
        <w:rPr>
          <w:sz w:val="20"/>
          <w:szCs w:val="20"/>
          <w:color w:val="auto"/>
        </w:rPr>
        <w:tab/>
      </w:r>
      <w:r>
        <w:rPr>
          <w:rFonts w:ascii="Arial" w:cs="Arial" w:eastAsia="Arial" w:hAnsi="Arial"/>
          <w:sz w:val="15"/>
          <w:szCs w:val="15"/>
          <w:color w:val="auto"/>
        </w:rPr>
        <w:t>June 20, 2006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4800" w:val="left"/>
        </w:tabs>
        <w:rPr>
          <w:sz w:val="20"/>
          <w:szCs w:val="20"/>
          <w:color w:val="auto"/>
        </w:rPr>
      </w:pPr>
      <w:r>
        <w:rPr>
          <w:rFonts w:ascii="Arial" w:cs="Arial" w:eastAsia="Arial" w:hAnsi="Arial"/>
          <w:sz w:val="15"/>
          <w:szCs w:val="15"/>
          <w:color w:val="auto"/>
        </w:rPr>
        <w:t>Trustee</w:t>
      </w:r>
      <w:r>
        <w:rPr>
          <w:sz w:val="20"/>
          <w:szCs w:val="20"/>
          <w:color w:val="auto"/>
        </w:rPr>
        <w:tab/>
      </w:r>
      <w:r>
        <w:rPr>
          <w:rFonts w:ascii="Arial" w:cs="Arial" w:eastAsia="Arial" w:hAnsi="Arial"/>
          <w:sz w:val="15"/>
          <w:szCs w:val="15"/>
          <w:color w:val="auto"/>
        </w:rPr>
        <w:t>June 20,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200" w:space="720"/>
            <w:col w:w="650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0"/>
        <w:spacing w:after="0"/>
        <w:tabs>
          <w:tab w:leader="none" w:pos="670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68580</wp:posOffset>
            </wp:positionV>
            <wp:extent cx="7200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68580</wp:posOffset>
            </wp:positionV>
            <wp:extent cx="4124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/s/ Walter F. Loeb</w:t>
            </w:r>
          </w:p>
        </w:tc>
        <w:tc>
          <w:tcPr>
            <w:tcW w:w="720" w:type="dxa"/>
            <w:vAlign w:val="bottom"/>
          </w:tcPr>
          <w:p>
            <w:pPr>
              <w:ind w:left="120"/>
              <w:spacing w:after="0"/>
              <w:rPr>
                <w:sz w:val="20"/>
                <w:szCs w:val="20"/>
                <w:color w:val="auto"/>
              </w:rPr>
            </w:pPr>
            <w:r>
              <w:rPr>
                <w:rFonts w:ascii="Arial" w:cs="Arial" w:eastAsia="Arial" w:hAnsi="Arial"/>
                <w:sz w:val="18"/>
                <w:szCs w:val="18"/>
                <w:color w:val="auto"/>
                <w:w w:val="94"/>
              </w:rPr>
              <w:t>Trustee</w:t>
            </w:r>
          </w:p>
        </w:tc>
        <w:tc>
          <w:tcPr>
            <w:tcW w:w="5200" w:type="dxa"/>
            <w:vAlign w:val="bottom"/>
          </w:tcPr>
          <w:p>
            <w:pPr>
              <w:ind w:left="4220"/>
              <w:spacing w:after="0"/>
              <w:rPr>
                <w:sz w:val="20"/>
                <w:szCs w:val="20"/>
                <w:color w:val="auto"/>
              </w:rPr>
            </w:pPr>
            <w:r>
              <w:rPr>
                <w:rFonts w:ascii="Arial" w:cs="Arial" w:eastAsia="Arial" w:hAnsi="Arial"/>
                <w:sz w:val="18"/>
                <w:szCs w:val="18"/>
                <w:color w:val="auto"/>
                <w:w w:val="84"/>
              </w:rPr>
              <w:t>June 20, 2006</w:t>
            </w:r>
          </w:p>
        </w:tc>
      </w:tr>
      <w:tr>
        <w:trPr>
          <w:trHeight w:val="110"/>
        </w:trPr>
        <w:tc>
          <w:tcPr>
            <w:tcW w:w="4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Walter F. Loeb</w:t>
            </w:r>
          </w:p>
        </w:tc>
        <w:tc>
          <w:tcPr>
            <w:tcW w:w="7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Mark S. Ordan</w:t>
            </w:r>
          </w:p>
        </w:tc>
        <w:tc>
          <w:tcPr>
            <w:tcW w:w="720" w:type="dxa"/>
            <w:vAlign w:val="bottom"/>
          </w:tcPr>
          <w:p>
            <w:pPr>
              <w:ind w:left="120"/>
              <w:spacing w:after="0"/>
              <w:rPr>
                <w:sz w:val="20"/>
                <w:szCs w:val="20"/>
                <w:color w:val="auto"/>
              </w:rPr>
            </w:pPr>
            <w:r>
              <w:rPr>
                <w:rFonts w:ascii="Arial" w:cs="Arial" w:eastAsia="Arial" w:hAnsi="Arial"/>
                <w:sz w:val="18"/>
                <w:szCs w:val="18"/>
                <w:color w:val="auto"/>
                <w:w w:val="94"/>
              </w:rPr>
              <w:t>Trustee</w:t>
            </w:r>
          </w:p>
        </w:tc>
        <w:tc>
          <w:tcPr>
            <w:tcW w:w="5200" w:type="dxa"/>
            <w:vAlign w:val="bottom"/>
          </w:tcPr>
          <w:p>
            <w:pPr>
              <w:ind w:left="4220"/>
              <w:spacing w:after="0"/>
              <w:rPr>
                <w:sz w:val="20"/>
                <w:szCs w:val="20"/>
                <w:color w:val="auto"/>
              </w:rPr>
            </w:pPr>
            <w:r>
              <w:rPr>
                <w:rFonts w:ascii="Arial" w:cs="Arial" w:eastAsia="Arial" w:hAnsi="Arial"/>
                <w:sz w:val="18"/>
                <w:szCs w:val="18"/>
                <w:color w:val="auto"/>
                <w:w w:val="84"/>
              </w:rPr>
              <w:t>June 20, 2006</w:t>
            </w:r>
          </w:p>
        </w:tc>
      </w:tr>
      <w:tr>
        <w:trPr>
          <w:trHeight w:val="110"/>
        </w:trPr>
        <w:tc>
          <w:tcPr>
            <w:tcW w:w="4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Mark S. Ordan</w:t>
            </w:r>
          </w:p>
        </w:tc>
        <w:tc>
          <w:tcPr>
            <w:tcW w:w="7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46"/>
        </w:trPr>
        <w:tc>
          <w:tcPr>
            <w:tcW w:w="4800" w:type="dxa"/>
            <w:vAlign w:val="bottom"/>
          </w:tcPr>
          <w:p>
            <w:pPr>
              <w:spacing w:after="0"/>
              <w:rPr>
                <w:sz w:val="20"/>
                <w:szCs w:val="20"/>
                <w:color w:val="auto"/>
              </w:rPr>
            </w:pPr>
            <w:r>
              <w:rPr>
                <w:rFonts w:ascii="Arial" w:cs="Arial" w:eastAsia="Arial" w:hAnsi="Arial"/>
                <w:sz w:val="18"/>
                <w:szCs w:val="18"/>
                <w:color w:val="auto"/>
              </w:rPr>
              <w:t>/s/ Joseph S. Vassalluzzo</w:t>
            </w:r>
          </w:p>
        </w:tc>
        <w:tc>
          <w:tcPr>
            <w:tcW w:w="720" w:type="dxa"/>
            <w:vAlign w:val="bottom"/>
          </w:tcPr>
          <w:p>
            <w:pPr>
              <w:ind w:left="120"/>
              <w:spacing w:after="0"/>
              <w:rPr>
                <w:sz w:val="20"/>
                <w:szCs w:val="20"/>
                <w:color w:val="auto"/>
              </w:rPr>
            </w:pPr>
            <w:r>
              <w:rPr>
                <w:rFonts w:ascii="Arial" w:cs="Arial" w:eastAsia="Arial" w:hAnsi="Arial"/>
                <w:sz w:val="18"/>
                <w:szCs w:val="18"/>
                <w:color w:val="auto"/>
                <w:w w:val="94"/>
              </w:rPr>
              <w:t>Trustee</w:t>
            </w:r>
          </w:p>
        </w:tc>
        <w:tc>
          <w:tcPr>
            <w:tcW w:w="5200" w:type="dxa"/>
            <w:vAlign w:val="bottom"/>
          </w:tcPr>
          <w:p>
            <w:pPr>
              <w:ind w:left="4220"/>
              <w:spacing w:after="0"/>
              <w:rPr>
                <w:sz w:val="20"/>
                <w:szCs w:val="20"/>
                <w:color w:val="auto"/>
              </w:rPr>
            </w:pPr>
            <w:r>
              <w:rPr>
                <w:rFonts w:ascii="Arial" w:cs="Arial" w:eastAsia="Arial" w:hAnsi="Arial"/>
                <w:sz w:val="18"/>
                <w:szCs w:val="18"/>
                <w:color w:val="auto"/>
                <w:w w:val="84"/>
              </w:rPr>
              <w:t>June 20, 2006</w:t>
            </w:r>
          </w:p>
        </w:tc>
      </w:tr>
      <w:tr>
        <w:trPr>
          <w:trHeight w:val="110"/>
        </w:trPr>
        <w:tc>
          <w:tcPr>
            <w:tcW w:w="4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Joseph S. Vassalluzzo</w:t>
            </w:r>
          </w:p>
        </w:tc>
        <w:tc>
          <w:tcPr>
            <w:tcW w:w="7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378"/>
        </w:trPr>
        <w:tc>
          <w:tcPr>
            <w:tcW w:w="4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tcPr>
          <w:p>
            <w:pPr>
              <w:ind w:left="6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0720"/>
          </w:cols>
          <w:pgMar w:left="240" w:top="459" w:right="9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4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07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40" w:type="dxa"/>
            <w:vAlign w:val="bottom"/>
          </w:tcPr>
          <w:p>
            <w:pPr>
              <w:spacing w:after="0"/>
              <w:rPr>
                <w:sz w:val="8"/>
                <w:szCs w:val="8"/>
                <w:color w:val="auto"/>
              </w:rPr>
            </w:pPr>
          </w:p>
        </w:tc>
      </w:tr>
      <w:tr>
        <w:trPr>
          <w:trHeight w:val="383"/>
        </w:trPr>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 for Debt Securities*</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 for Equity Securities*</w:t>
            </w: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 Trust</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w w:val="96"/>
              </w:rPr>
              <w:t>of Federal Realty Investment Trust dated May 6, 2004, as corrected by the Certificate of Correction of Articles of Amendment of</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w w:val="93"/>
              </w:rPr>
              <w:t>Declaration of Trust of Federal Realty Investment Trust dated June 17, 2004 (previously filed as Exhibit 3.1 to the Trust’s Quarterly</w:t>
            </w:r>
          </w:p>
        </w:tc>
      </w:tr>
      <w:tr>
        <w:trPr>
          <w:trHeight w:val="222"/>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Report on Form 10-Q for the quarter ended June 30, 2005 (File No. 1-07533) and incorporated herein by reference)</w:t>
            </w: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 and</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w w:val="89"/>
              </w:rPr>
              <w:t>February 17, 2006 (previously filed as Exhibit 3.2 to the Trust’s Annual Report on Form 10-K for the year ended December 31, 2005 (File</w:t>
            </w:r>
          </w:p>
        </w:tc>
      </w:tr>
      <w:tr>
        <w:trPr>
          <w:trHeight w:val="222"/>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No. 1-07533) and incorporated herein by reference)</w:t>
            </w: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w w:val="89"/>
              </w:rPr>
              <w:t>Specimen Common Share certificate (filed as Exhibit 4(i) to the Trust’s Annual Report on Form 10-K for the year ended December 31, 1999,</w:t>
            </w:r>
          </w:p>
        </w:tc>
      </w:tr>
      <w:tr>
        <w:trPr>
          <w:trHeight w:val="222"/>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and incorporated herein by reference)</w:t>
            </w: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w w:val="88"/>
              </w:rPr>
              <w:t>Amended and Restated Rights Agreement, dated March 11, 1999, between the Trust and American Stock Transfer &amp; Trust Company (filed as</w:t>
            </w:r>
          </w:p>
        </w:tc>
      </w:tr>
      <w:tr>
        <w:trPr>
          <w:trHeight w:val="216"/>
        </w:trPr>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w w:val="96"/>
              </w:rPr>
              <w:t>Exhibit 1 to the Trust’s Registration Statement No. 1-07533 on Form 8-A/A filed on March 11, 1999, and incorporated herein by</w:t>
            </w:r>
          </w:p>
        </w:tc>
      </w:tr>
      <w:tr>
        <w:trPr>
          <w:trHeight w:val="222"/>
        </w:trPr>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740" w:type="dxa"/>
            <w:vAlign w:val="bottom"/>
            <w:gridSpan w:val="3"/>
          </w:tcPr>
          <w:p>
            <w:pPr>
              <w:ind w:left="760"/>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bl>
    <w:p>
      <w:pPr>
        <w:ind w:left="1640" w:right="140" w:firstLine="2"/>
        <w:spacing w:after="0" w:line="261" w:lineRule="auto"/>
        <w:tabs>
          <w:tab w:leader="none" w:pos="18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Trust Company (filed as Exhibit 4.5 to the Trust’s Annual Report on Form 10-K for the year ended December 31, 2003 filed on March 15, 2004, and incorporated herein by reference)</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380" w:type="dxa"/>
            <w:vAlign w:val="bottom"/>
          </w:tcPr>
          <w:p>
            <w:pPr>
              <w:ind w:left="380"/>
              <w:spacing w:after="0"/>
              <w:rPr>
                <w:sz w:val="20"/>
                <w:szCs w:val="20"/>
                <w:color w:val="auto"/>
              </w:rPr>
            </w:pPr>
            <w:r>
              <w:rPr>
                <w:rFonts w:ascii="Arial" w:cs="Arial" w:eastAsia="Arial" w:hAnsi="Arial"/>
                <w:sz w:val="18"/>
                <w:szCs w:val="18"/>
                <w:color w:val="auto"/>
                <w:w w:val="88"/>
              </w:rPr>
              <w:t xml:space="preserve">Articles Supplementary relating to the 8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/2% Series B Cumulative Redeemable Preferred Shares (previously filed as Exhibit 4.1 to the Trust’s</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1"/>
              </w:rPr>
              <w:t>Registration Statement on Form 8-A filed on November 26, 2001 (File No. 1-07533) (the “2001 Form 8-A”) and incorporated herein by</w:t>
            </w:r>
          </w:p>
        </w:tc>
      </w:tr>
      <w:tr>
        <w:trPr>
          <w:trHeight w:val="222"/>
        </w:trPr>
        <w:tc>
          <w:tcPr>
            <w:tcW w:w="70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reference)</w:t>
            </w:r>
          </w:p>
        </w:tc>
      </w:tr>
      <w:tr>
        <w:trPr>
          <w:trHeight w:val="277"/>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380" w:type="dxa"/>
            <w:vAlign w:val="bottom"/>
          </w:tcPr>
          <w:p>
            <w:pPr>
              <w:ind w:left="380"/>
              <w:spacing w:after="0"/>
              <w:rPr>
                <w:sz w:val="20"/>
                <w:szCs w:val="20"/>
                <w:color w:val="auto"/>
              </w:rPr>
            </w:pPr>
            <w:r>
              <w:rPr>
                <w:rFonts w:ascii="Arial" w:cs="Arial" w:eastAsia="Arial" w:hAnsi="Arial"/>
                <w:sz w:val="18"/>
                <w:szCs w:val="18"/>
                <w:color w:val="auto"/>
                <w:w w:val="92"/>
              </w:rPr>
              <w:t xml:space="preserve">Specimen 8 </w:t>
            </w:r>
            <w:r>
              <w:rPr>
                <w:rFonts w:ascii="Arial" w:cs="Arial" w:eastAsia="Arial" w:hAnsi="Arial"/>
                <w:sz w:val="22"/>
                <w:szCs w:val="22"/>
                <w:color w:val="auto"/>
                <w:w w:val="92"/>
                <w:vertAlign w:val="superscript"/>
              </w:rPr>
              <w:t>1</w:t>
            </w:r>
            <w:r>
              <w:rPr>
                <w:rFonts w:ascii="Arial" w:cs="Arial" w:eastAsia="Arial" w:hAnsi="Arial"/>
                <w:sz w:val="18"/>
                <w:szCs w:val="18"/>
                <w:color w:val="auto"/>
                <w:w w:val="92"/>
              </w:rPr>
              <w:t>/2% Series B Cumulative Redeemable Preferred Share certificate (previously filed as Exhibit 4.2 to the 2001 Form 8-A and</w:t>
            </w:r>
          </w:p>
        </w:tc>
      </w:tr>
      <w:tr>
        <w:trPr>
          <w:trHeight w:val="222"/>
        </w:trPr>
        <w:tc>
          <w:tcPr>
            <w:tcW w:w="70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277"/>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380" w:type="dxa"/>
            <w:vAlign w:val="bottom"/>
          </w:tcPr>
          <w:p>
            <w:pPr>
              <w:ind w:left="380"/>
              <w:spacing w:after="0"/>
              <w:rPr>
                <w:sz w:val="20"/>
                <w:szCs w:val="20"/>
                <w:color w:val="auto"/>
              </w:rPr>
            </w:pPr>
            <w:r>
              <w:rPr>
                <w:rFonts w:ascii="Arial" w:cs="Arial" w:eastAsia="Arial" w:hAnsi="Arial"/>
                <w:sz w:val="18"/>
                <w:szCs w:val="18"/>
                <w:color w:val="auto"/>
                <w:w w:val="89"/>
              </w:rPr>
              <w:t>Indenture dated December 13, 1993 related to the Trust’s 7.48% Debentures due August 15, 2026; 6 5/8% Notes due 2005; 6.82% Medium</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3"/>
              </w:rPr>
              <w:t>Term Notes due August 1, 2027; and 6.99% Medium Term Notes due March 10, 2006 (previously filed as Exhibit 4(a) to the Trust’s</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88"/>
              </w:rPr>
              <w:t>Registration Statement on Form S-3 (File No. 33-51029), and amended on Form S-3 (File No. 33-63687), filed on December 13, 1993 and</w:t>
            </w:r>
          </w:p>
        </w:tc>
      </w:tr>
      <w:tr>
        <w:trPr>
          <w:trHeight w:val="222"/>
        </w:trPr>
        <w:tc>
          <w:tcPr>
            <w:tcW w:w="70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277"/>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380" w:type="dxa"/>
            <w:vAlign w:val="bottom"/>
          </w:tcPr>
          <w:p>
            <w:pPr>
              <w:ind w:left="38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w:t>
            </w:r>
          </w:p>
        </w:tc>
      </w:tr>
      <w:tr>
        <w:trPr>
          <w:trHeight w:val="216"/>
        </w:trPr>
        <w:tc>
          <w:tcPr>
            <w:tcW w:w="700" w:type="dxa"/>
            <w:vAlign w:val="bottom"/>
          </w:tcPr>
          <w:p>
            <w:pPr>
              <w:spacing w:after="0"/>
              <w:rPr>
                <w:sz w:val="18"/>
                <w:szCs w:val="18"/>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w w:val="93"/>
              </w:rPr>
              <w:t>2007 and the Trust’s 4.50% Notes due 2011 (previously filed as Exhibit 4(a) to the Trust’s Registration Statement on Form S-3 (File</w:t>
            </w:r>
          </w:p>
        </w:tc>
      </w:tr>
      <w:tr>
        <w:trPr>
          <w:trHeight w:val="222"/>
        </w:trPr>
        <w:tc>
          <w:tcPr>
            <w:tcW w:w="70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277"/>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4.8</w:t>
            </w:r>
          </w:p>
        </w:tc>
        <w:tc>
          <w:tcPr>
            <w:tcW w:w="10380" w:type="dxa"/>
            <w:vAlign w:val="bottom"/>
          </w:tcPr>
          <w:p>
            <w:pPr>
              <w:ind w:left="380"/>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22"/>
        </w:trPr>
        <w:tc>
          <w:tcPr>
            <w:tcW w:w="70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4.9</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Warrant Agreement*</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4.10</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Certificate for Preferred Stock*</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w w:val="85"/>
              </w:rPr>
              <w:t>4.11</w:t>
            </w:r>
          </w:p>
        </w:tc>
        <w:tc>
          <w:tcPr>
            <w:tcW w:w="10380" w:type="dxa"/>
            <w:vAlign w:val="bottom"/>
          </w:tcPr>
          <w:p>
            <w:pPr>
              <w:ind w:left="380"/>
              <w:spacing w:after="0"/>
              <w:rPr>
                <w:sz w:val="20"/>
                <w:szCs w:val="20"/>
                <w:color w:val="auto"/>
              </w:rPr>
            </w:pPr>
            <w:r>
              <w:rPr>
                <w:rFonts w:ascii="Arial" w:cs="Arial" w:eastAsia="Arial" w:hAnsi="Arial"/>
                <w:sz w:val="18"/>
                <w:szCs w:val="18"/>
                <w:color w:val="auto"/>
              </w:rPr>
              <w:t>Form of Deposit Agreement and Depositary Receipt*</w:t>
            </w:r>
          </w:p>
        </w:tc>
      </w:tr>
      <w:tr>
        <w:trPr>
          <w:trHeight w:val="284"/>
        </w:trPr>
        <w:tc>
          <w:tcPr>
            <w:tcW w:w="700" w:type="dxa"/>
            <w:vAlign w:val="bottom"/>
          </w:tcPr>
          <w:p>
            <w:pPr>
              <w:jc w:val="right"/>
              <w:ind w:right="292"/>
              <w:spacing w:after="0"/>
              <w:rPr>
                <w:sz w:val="20"/>
                <w:szCs w:val="20"/>
                <w:color w:val="auto"/>
              </w:rPr>
            </w:pPr>
            <w:r>
              <w:rPr>
                <w:rFonts w:ascii="Arial" w:cs="Arial" w:eastAsia="Arial" w:hAnsi="Arial"/>
                <w:sz w:val="18"/>
                <w:szCs w:val="18"/>
                <w:color w:val="auto"/>
              </w:rPr>
              <w:t>5.1</w:t>
            </w:r>
          </w:p>
        </w:tc>
        <w:tc>
          <w:tcPr>
            <w:tcW w:w="10380" w:type="dxa"/>
            <w:vAlign w:val="bottom"/>
          </w:tcPr>
          <w:p>
            <w:pPr>
              <w:ind w:left="380"/>
              <w:spacing w:after="0"/>
              <w:rPr>
                <w:sz w:val="20"/>
                <w:szCs w:val="20"/>
                <w:color w:val="auto"/>
              </w:rPr>
            </w:pPr>
            <w:r>
              <w:rPr>
                <w:rFonts w:ascii="Arial" w:cs="Arial" w:eastAsia="Arial" w:hAnsi="Arial"/>
                <w:sz w:val="18"/>
                <w:szCs w:val="18"/>
                <w:color w:val="auto"/>
              </w:rPr>
              <w:t>Opinion of Pillsbury Winthrop Shaw Pittman LLP regarding the validity of the securities being registered (filed herewith)</w:t>
            </w:r>
          </w:p>
        </w:tc>
      </w:tr>
      <w:tr>
        <w:trPr>
          <w:trHeight w:val="365"/>
        </w:trPr>
        <w:tc>
          <w:tcPr>
            <w:tcW w:w="70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88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r>
      <w:tr>
        <w:trPr>
          <w:trHeight w:val="383"/>
        </w:trPr>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Opinion of Pillsbury Winthrop Shaw Pittman LLP regarding certain tax matters (filed herewith)</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w w:val="88"/>
              </w:rPr>
              <w:t>Statement of Computation of Earnings to Combined Fixed Charges and Preferred Stock Dividends (filed herewith)</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Consent of Pillsbury Winthrop Shaw Pittman LLP (included in Exhibit 8.1)</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Power of Attorney (included on signature page)</w:t>
            </w:r>
          </w:p>
        </w:tc>
      </w:tr>
      <w:tr>
        <w:trPr>
          <w:trHeight w:val="284"/>
        </w:trPr>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8840" w:type="dxa"/>
            <w:vAlign w:val="bottom"/>
            <w:gridSpan w:val="3"/>
          </w:tcPr>
          <w:p>
            <w:pPr>
              <w:ind w:left="760"/>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580" w:right="1839" w:hanging="5572"/>
        <w:spacing w:after="0" w:line="440" w:lineRule="auto"/>
        <w:tabs>
          <w:tab w:leader="none" w:pos="5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II-9</w:t>
      </w:r>
    </w:p>
    <w:p>
      <w:pPr>
        <w:sectPr>
          <w:pgSz w:w="11900" w:h="16838" w:orient="portrait"/>
          <w:cols w:equalWidth="0" w:num="1">
            <w:col w:w="10219"/>
          </w:cols>
          <w:pgMar w:left="240" w:top="459"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PILLSBURY WINTHROP SHAW PITTMAN LLP]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20,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Statement on Form S-3</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Rule 462(e) under the Securities Act of 1933 (the “</w:t>
      </w:r>
      <w:r>
        <w:rPr>
          <w:rFonts w:ascii="Arial" w:cs="Arial" w:eastAsia="Arial" w:hAnsi="Arial"/>
          <w:sz w:val="16"/>
          <w:szCs w:val="16"/>
          <w:u w:val="single" w:color="auto"/>
          <w:color w:val="auto"/>
        </w:rPr>
        <w:t>Act</w:t>
      </w:r>
      <w:r>
        <w:rPr>
          <w:rFonts w:ascii="Arial" w:cs="Arial" w:eastAsia="Arial" w:hAnsi="Arial"/>
          <w:sz w:val="16"/>
          <w:szCs w:val="16"/>
          <w:color w:val="auto"/>
        </w:rPr>
        <w:t>”). The Registration Statement relates to the proposed offering and sale from time to time of securities, which may be all or any combination of: (1) debt securities of the Company which may be either senior debt securities or subordinated debt securities (the “</w:t>
      </w:r>
      <w:r>
        <w:rPr>
          <w:rFonts w:ascii="Arial" w:cs="Arial" w:eastAsia="Arial" w:hAnsi="Arial"/>
          <w:sz w:val="16"/>
          <w:szCs w:val="16"/>
          <w:u w:val="single" w:color="auto"/>
          <w:color w:val="auto"/>
        </w:rPr>
        <w:t>Debt Securities</w:t>
      </w:r>
      <w:r>
        <w:rPr>
          <w:rFonts w:ascii="Arial" w:cs="Arial" w:eastAsia="Arial" w:hAnsi="Arial"/>
          <w:sz w:val="16"/>
          <w:szCs w:val="16"/>
          <w:color w:val="auto"/>
        </w:rPr>
        <w:t>”),</w:t>
      </w:r>
    </w:p>
    <w:p>
      <w:pPr>
        <w:spacing w:after="0" w:line="3" w:lineRule="exact"/>
        <w:rPr>
          <w:sz w:val="20"/>
          <w:szCs w:val="20"/>
          <w:color w:val="auto"/>
        </w:rPr>
      </w:pPr>
    </w:p>
    <w:p>
      <w:pPr>
        <w:ind w:right="60" w:firstLine="8"/>
        <w:spacing w:after="0" w:line="255"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(3) preferred shares represented by depositary shares (the “</w:t>
      </w:r>
      <w:r>
        <w:rPr>
          <w:rFonts w:ascii="Arial" w:cs="Arial" w:eastAsia="Arial" w:hAnsi="Arial"/>
          <w:sz w:val="18"/>
          <w:szCs w:val="18"/>
          <w:u w:val="single" w:color="auto"/>
          <w:color w:val="auto"/>
        </w:rPr>
        <w:t>Depositary Shares</w:t>
      </w:r>
      <w:r>
        <w:rPr>
          <w:rFonts w:ascii="Arial" w:cs="Arial" w:eastAsia="Arial" w:hAnsi="Arial"/>
          <w:sz w:val="18"/>
          <w:szCs w:val="18"/>
          <w:color w:val="auto"/>
        </w:rPr>
        <w:t>”), (4) common shares including rights to acquire common shares that are attached to, or trade with, common shares (the “</w:t>
      </w:r>
      <w:r>
        <w:rPr>
          <w:rFonts w:ascii="Arial" w:cs="Arial" w:eastAsia="Arial" w:hAnsi="Arial"/>
          <w:sz w:val="18"/>
          <w:szCs w:val="18"/>
          <w:u w:val="single" w:color="auto"/>
          <w:color w:val="auto"/>
        </w:rPr>
        <w:t>Common Shares</w:t>
      </w:r>
      <w:r>
        <w:rPr>
          <w:rFonts w:ascii="Arial" w:cs="Arial" w:eastAsia="Arial" w:hAnsi="Arial"/>
          <w:sz w:val="18"/>
          <w:szCs w:val="18"/>
          <w:color w:val="auto"/>
        </w:rPr>
        <w:t>”), and/or (5) warrants to purchase Common Shares or Preferred Shares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Debt Securities, the Preferred Shares, the Depositary Shares, the Common Shares and the Warrants are collectively referred to herein as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The Debt Securities will be offered and sold pursuant to (1) the indenture dated September 1, 1998 between the Company and Wachovia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Association (as successor to First Union National Bank), which was filed as an exhibit to the Company’s registration statement on Form S-3 filed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17, 1998, and/or (2) the indenture dated December 13, 1993 between the Company and Wachovia Bank National Association (as successor to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National Bank), which was filed as an exhibit to the Company’s registration statement on Form S-3 filed on December 13, 1993 (together,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Indentures</w:t>
      </w:r>
      <w:r>
        <w:rPr>
          <w:rFonts w:ascii="Arial" w:cs="Arial" w:eastAsia="Arial" w:hAnsi="Arial"/>
          <w:sz w:val="16"/>
          <w:szCs w:val="16"/>
          <w:color w:val="auto"/>
        </w:rPr>
        <w:t>”). The Common Shares and/or Preferred Shares may be offered in any class or series and to the extent required will be offered and sold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Declaration of Trust (as defined below) and/or any amendments thereto which are to be filed with the Maryland State Department of Assessments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Taxation (“</w:t>
      </w:r>
      <w:r>
        <w:rPr>
          <w:rFonts w:ascii="Arial" w:cs="Arial" w:eastAsia="Arial" w:hAnsi="Arial"/>
          <w:sz w:val="16"/>
          <w:szCs w:val="16"/>
          <w:u w:val="single" w:color="auto"/>
          <w:color w:val="auto"/>
        </w:rPr>
        <w:t>SDAT</w:t>
      </w:r>
      <w:r>
        <w:rPr>
          <w:rFonts w:ascii="Arial" w:cs="Arial" w:eastAsia="Arial" w:hAnsi="Arial"/>
          <w:sz w:val="16"/>
          <w:szCs w:val="16"/>
          <w:color w:val="auto"/>
        </w:rPr>
        <w:t>”). Any Depositary Shares will be issued under one or more deposit agreements (each, a “</w:t>
      </w:r>
      <w:r>
        <w:rPr>
          <w:rFonts w:ascii="Arial" w:cs="Arial" w:eastAsia="Arial" w:hAnsi="Arial"/>
          <w:sz w:val="16"/>
          <w:szCs w:val="16"/>
          <w:u w:val="single" w:color="auto"/>
          <w:color w:val="auto"/>
        </w:rPr>
        <w:t>Deposit Agreement</w:t>
      </w:r>
      <w:r>
        <w:rPr>
          <w:rFonts w:ascii="Arial" w:cs="Arial" w:eastAsia="Arial" w:hAnsi="Arial"/>
          <w:sz w:val="16"/>
          <w:szCs w:val="16"/>
          <w:color w:val="auto"/>
        </w:rPr>
        <w:t>”), each between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financial institution identified therein as the depositary (each, a “</w:t>
      </w:r>
      <w:r>
        <w:rPr>
          <w:rFonts w:ascii="Arial" w:cs="Arial" w:eastAsia="Arial" w:hAnsi="Arial"/>
          <w:sz w:val="16"/>
          <w:szCs w:val="16"/>
          <w:u w:val="single" w:color="auto"/>
          <w:color w:val="auto"/>
        </w:rPr>
        <w:t>Depositary</w:t>
      </w:r>
      <w:r>
        <w:rPr>
          <w:rFonts w:ascii="Arial" w:cs="Arial" w:eastAsia="Arial" w:hAnsi="Arial"/>
          <w:sz w:val="16"/>
          <w:szCs w:val="16"/>
          <w:color w:val="auto"/>
        </w:rPr>
        <w:t>”). Any Warrants will be issued under one or more warrant agreements (each,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each between the Company and a financial institution identified therein as a warrant agent (each, a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20,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the following documents:</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executed copy of the Registration Statement;</w:t>
      </w:r>
    </w:p>
    <w:p>
      <w:pPr>
        <w:spacing w:after="0" w:line="90" w:lineRule="exact"/>
        <w:rPr>
          <w:rFonts w:ascii="Arial" w:cs="Arial" w:eastAsia="Arial" w:hAnsi="Arial"/>
          <w:sz w:val="18"/>
          <w:szCs w:val="18"/>
          <w:color w:val="auto"/>
        </w:rPr>
      </w:pPr>
    </w:p>
    <w:p>
      <w:pPr>
        <w:jc w:val="both"/>
        <w:ind w:left="460" w:right="360" w:hanging="452"/>
        <w:spacing w:after="0" w:line="256"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Declaration of Trust of the Company dated May 5, 1999, as amended by the Articles of Amendment of Declaration of Trust of the Company dated May 6, 2004, as corrected by the Certificate of Correction of Articles of Amendment of Declaration of Trust of the Company dated June 17, 2004 (the “</w:t>
      </w:r>
      <w:r>
        <w:rPr>
          <w:rFonts w:ascii="Arial" w:cs="Arial" w:eastAsia="Arial" w:hAnsi="Arial"/>
          <w:sz w:val="18"/>
          <w:szCs w:val="18"/>
          <w:u w:val="single" w:color="auto"/>
          <w:color w:val="auto"/>
        </w:rPr>
        <w:t>Declaration of Trust</w:t>
      </w:r>
      <w:r>
        <w:rPr>
          <w:rFonts w:ascii="Arial" w:cs="Arial" w:eastAsia="Arial" w:hAnsi="Arial"/>
          <w:sz w:val="18"/>
          <w:szCs w:val="18"/>
          <w:color w:val="auto"/>
        </w:rPr>
        <w:t>”), as certified by SDAT on June 13, 2006 and as certified to us by the Secretary of the Company as being in effect as of the date hereof;</w:t>
      </w:r>
    </w:p>
    <w:p>
      <w:pPr>
        <w:spacing w:after="0" w:line="62"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Amended and Restated Bylaws of the Company dated February 12, 2004, as amended October 29, 2003, May 5, 2004 and February 17, 2006 (the “</w:t>
      </w:r>
      <w:r>
        <w:rPr>
          <w:rFonts w:ascii="Arial" w:cs="Arial" w:eastAsia="Arial" w:hAnsi="Arial"/>
          <w:sz w:val="18"/>
          <w:szCs w:val="18"/>
          <w:u w:val="single" w:color="auto"/>
          <w:color w:val="auto"/>
        </w:rPr>
        <w:t>Bylaws</w:t>
      </w:r>
      <w:r>
        <w:rPr>
          <w:rFonts w:ascii="Arial" w:cs="Arial" w:eastAsia="Arial" w:hAnsi="Arial"/>
          <w:sz w:val="18"/>
          <w:szCs w:val="18"/>
          <w:color w:val="auto"/>
        </w:rPr>
        <w:t>”), as certified to us by the Secretary of the Company as being in effect as of the date hereof;</w:t>
      </w:r>
    </w:p>
    <w:p>
      <w:pPr>
        <w:spacing w:after="0" w:line="50" w:lineRule="exact"/>
        <w:rPr>
          <w:rFonts w:ascii="Arial" w:cs="Arial" w:eastAsia="Arial" w:hAnsi="Arial"/>
          <w:sz w:val="18"/>
          <w:szCs w:val="18"/>
          <w:color w:val="auto"/>
        </w:rPr>
      </w:pPr>
    </w:p>
    <w:p>
      <w:pPr>
        <w:ind w:left="460" w:right="500" w:hanging="452"/>
        <w:spacing w:after="0" w:line="22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Articles Supplementary relating to the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B Cumulative Redeemable Preferred shares dated November 26, 2001, as certified by SDAT on June 13, 2006 and as certified to us by the Secretary of the Company as being in effect as of the date hereof;</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Indentures;</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Amended and Restated Rights Agreement, dated March 11, 1999, between the Company and American Stock Transfer &amp; Trust Company, as amended by the First Amendment to Amended and Restated Rights Agreement, dated as of November 2003, between the Company and American Stock Transfer &amp; Trust Company;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resolutions of the Board of Trustees of the Company adopted at a meeting held on February 17, 2006 (the “</w:t>
      </w:r>
      <w:r>
        <w:rPr>
          <w:rFonts w:ascii="Arial" w:cs="Arial" w:eastAsia="Arial" w:hAnsi="Arial"/>
          <w:sz w:val="18"/>
          <w:szCs w:val="18"/>
          <w:u w:val="single" w:color="auto"/>
          <w:color w:val="auto"/>
        </w:rPr>
        <w:t>Resolutions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Securities pursuant to the Registration Statement, (i) the Board of Trustees of the Company (or the committee of the Board or the officer authorized to act 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20, 2006</w:t>
      </w:r>
    </w:p>
    <w:p>
      <w:pPr>
        <w:spacing w:after="0" w:line="151"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behalf of the Company) will have duly established the rights, powers, privileges and preferences and other terms, if any, of any class or series, as applicable, of the Debt Securities, the Preferred Shares, the Depositary Shares, the Common Shares or the Warrants, and shall have authorized the sale of such Securities,</w:t>
      </w:r>
    </w:p>
    <w:p>
      <w:pPr>
        <w:ind w:right="140" w:firstLine="8"/>
        <w:spacing w:after="0" w:line="320" w:lineRule="auto"/>
        <w:tabs>
          <w:tab w:leader="none" w:pos="258"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Resolutions will have not been amended, modified or rescinded, (iii) the Registration Statement will have been declared effective and no stop order suspending the effectiveness of the Registration Statement will have been issued and no proceedings with respect thereto will have been commenced or threatened, (iv) a Prospectus Supplement will have been prepared and filed with the Commission describing the Securities offered thereby, and (v) there will not have occurred any change in law materially and adversely affecting the power of the Company to offer and sell the Securities or the validity of the Securities.</w:t>
      </w:r>
    </w:p>
    <w:p>
      <w:pPr>
        <w:spacing w:after="0" w:line="10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also assumed that the terms of any Debt Securities, Preferred Shares, Depositary Shares, Common Shares or Warrants to be established subsequent to the date hereof, the offering, sale and delivery of any such Securities, and compliance by the Company with the rights, powers, privileges and preferences and other terms, if any, of such Debt Securities, Preferred Shares, Depositary Shares, Common Shares or Warrants will not at the time of such offering, sale and delivery violate or conflict with (i) the Declaration of Trust, as then amended, restated and supplemented, and the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shares of Common Shares or Preferred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We have also assumed that prior to the offering and sale (i) in the case of Debt Securities, any supplement to the Indentures will have been executed and delivered by the Company, the trustee and the other parties thereto that complies with the Trust Indenture Act of 1939 and any other applicable laws; (ii) in the case of Preferred Shares and Depositary Shares, as applicable, articles supplementary will have been filed with, and accepted for record by, SDAT; (iii) in the case of Depositary Shares, a Deposit Agreement will have been executed and delivered by the Company (and any other maker thereof); and (iv) in the case of Warrants, a Warrant Agreement will have been executed and delivered by the Company (and any other maker thereof).</w:t>
      </w:r>
    </w:p>
    <w:p>
      <w:pPr>
        <w:spacing w:after="0" w:line="1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extent that the obligations of the Company with respect to the Securities may be dependent upon such matters, we assume for purposes of this opinion that the other party under the Indentures or any supplements thereto for any Debt Securities, under a Deposit Agreement for any Depositary Shares and under a Warrant Agreement for any Warrants, namely, the trustee, the Depositary or the Warrant Agent, respectively, is duly organized, validly existing and in good standing under the laws of its jurisdiction of organization; that such other party is duly qualified to engage in the activities contemplated by the Indentures or any supplements thereto, Deposit Agreement or Warrant Agreement, as applicable; that the Indentures or any supplements thereto, Deposit Agreement or Warrant Agreement, as applicable, has been duly authorized, executed and delivered by the other party and constitutes the legal, valid and binding obligation of the other party enforceable against the other party in accordance with its terms; that such other party is in compliance with respect to performance of its obligations under the Indentures or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20, 2006</w:t>
      </w:r>
    </w:p>
    <w:p>
      <w:pPr>
        <w:spacing w:after="0" w:line="151" w:lineRule="exact"/>
        <w:rPr>
          <w:sz w:val="20"/>
          <w:szCs w:val="20"/>
          <w:color w:val="auto"/>
        </w:rPr>
      </w:pPr>
    </w:p>
    <w:p>
      <w:pPr>
        <w:jc w:val="both"/>
        <w:ind w:right="740"/>
        <w:spacing w:after="0" w:line="259" w:lineRule="auto"/>
        <w:rPr>
          <w:sz w:val="20"/>
          <w:szCs w:val="20"/>
          <w:color w:val="auto"/>
        </w:rPr>
      </w:pPr>
      <w:r>
        <w:rPr>
          <w:rFonts w:ascii="Arial" w:cs="Arial" w:eastAsia="Arial" w:hAnsi="Arial"/>
          <w:sz w:val="18"/>
          <w:szCs w:val="18"/>
          <w:color w:val="auto"/>
        </w:rPr>
        <w:t>supplements thereto, Deposit Agreement or Warrant Agreement, and with all applicable laws and regulations; and that such other party has the requisite organizational and legal power and authority to perform its obligations under the Indentures or any supplements thereto, Deposit Agreement or Warrant Agreement, as applicable.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subject to and limited by the foregoing, we are of the opinion that:</w:t>
      </w:r>
    </w:p>
    <w:p>
      <w:pPr>
        <w:spacing w:after="0" w:line="90" w:lineRule="exact"/>
        <w:rPr>
          <w:sz w:val="20"/>
          <w:szCs w:val="20"/>
          <w:color w:val="auto"/>
        </w:rPr>
      </w:pPr>
    </w:p>
    <w:p>
      <w:pPr>
        <w:ind w:left="460" w:right="140" w:hanging="452"/>
        <w:spacing w:after="0" w:line="289"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Debt Securities will constitute legally valid and binding obligations of the Company, enforceable against the Company in accordance with their terms and entitled to the benefits of the Indentures and any applicable supplements thereto when (i) the final terms of the Debt Securities and any applicable supplements to the Indentures have been duly established in accordance with the Declaration of Trust and applicable law; (ii) the Board of Trustees or a duly authorized committee thereof has adopted a resolution, in form and content as required by applicable law, establishing the final terms of the Debt Securities and any applicable supplements to the Indentures and duly authorizing the issuance and delivery of the Debt Securities; and (iii) the Debt Securities are duly executed, authenticated and delivered by the Company against payment therefor and countersigned by the applicable trustee in accordance with any applicable supplements to the Indentures and sold, delivered to and paid for by the purchasers of the Debt Securities in the manner contemplated by the Registration Statement, the applicable prospectus supplement and such resolution.</w:t>
      </w:r>
    </w:p>
    <w:p>
      <w:pPr>
        <w:spacing w:after="0" w:line="37" w:lineRule="exact"/>
        <w:rPr>
          <w:rFonts w:ascii="Arial" w:cs="Arial" w:eastAsia="Arial" w:hAnsi="Arial"/>
          <w:sz w:val="16"/>
          <w:szCs w:val="16"/>
          <w:color w:val="auto"/>
        </w:rPr>
      </w:pPr>
    </w:p>
    <w:p>
      <w:pPr>
        <w:ind w:left="460" w:right="40" w:hanging="452"/>
        <w:spacing w:after="0" w:line="310" w:lineRule="auto"/>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Upon adoption by the Board of Trustees or an authorized committee thereof of a resolution in form and content as required by applicable law approving the issuance and establishing the terms of any particular series of Preferred Shares (including any Preferred Shares represented by Depositary Shares), the offering thereof and related matters, including the filing of an Articles Supplementary conforming to the Maryland General Corporation Law regarding the Preferred Shares with the State Department of Assessments and Taxation of the State of Maryland, and upon issuance and delivery of and payment in the manner contemplated by, and in accordance with, the Registration Statement, the applicable prospectus supplement and such resolution, the Preferred Shares (including any Preferred Shares represented by Depositary Shares and any Preferred Shares duly issued upon conversion, exchange or exercise of any other Security in accordance with the terms of such Security or the instrument governing such Security providing for such conversion, exchange or exercise as approved by the Board of Trustees) offered and sold pursuant to the Registration Statement will be legally issued, fully paid and nonassessable.</w:t>
      </w:r>
    </w:p>
    <w:p>
      <w:pPr>
        <w:spacing w:after="0" w:line="27" w:lineRule="exact"/>
        <w:rPr>
          <w:rFonts w:ascii="Arial" w:cs="Arial" w:eastAsia="Arial" w:hAnsi="Arial"/>
          <w:sz w:val="15"/>
          <w:szCs w:val="15"/>
          <w:color w:val="auto"/>
        </w:rPr>
      </w:pPr>
    </w:p>
    <w:p>
      <w:pPr>
        <w:ind w:left="460" w:right="40" w:hanging="452"/>
        <w:spacing w:after="0" w:line="291"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adoption by the Board of Trustees or an authorized committee thereof of a resolution in form and content as required by applicable law approving the issuance and establishing the terms of the offering of Common Shares and related matters, and upon issuance and delivery of and payment in the manner contemplated by, and in accordance with, the Registration Statement, the applicable prospectus supplement and such resolution, the Common Shares (including any Common Shares duly issued upon conversion, exchange or exercise of any other Security in accordance with the terms of such Security or the instrument governing such Security providing for such conversion, exchange or exercise as approved by the Board of Trustees) offered and sold pursuant to the Registration Statement will be legally issued, fully paid and nonassessable.</w:t>
      </w:r>
    </w:p>
    <w:p>
      <w:pPr>
        <w:spacing w:after="0" w:line="39" w:lineRule="exact"/>
        <w:rPr>
          <w:rFonts w:ascii="Arial" w:cs="Arial" w:eastAsia="Arial" w:hAnsi="Arial"/>
          <w:sz w:val="16"/>
          <w:szCs w:val="16"/>
          <w:color w:val="auto"/>
        </w:rPr>
      </w:pPr>
    </w:p>
    <w:p>
      <w:pPr>
        <w:ind w:left="460" w:hanging="452"/>
        <w:spacing w:after="0" w:line="312" w:lineRule="auto"/>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Upon (i) adoption by the Board of Trustees or an authorized committee thereof, of a resolution in form and content as required by applicable law, establishing or authorizing the terms of the series of Preferred Shares to be offered in connection with the Depositary Shares, the terms of the Depositary Shares and the applicable Deposit Agreement and specifically authorizing for issuance the depositary receipts evidencing the Depositary Shares and (ii) due execution by the Company of the depositary receipts evidencing the Depositary Shares and approving related matters, including the filing of an Articles Supplementary conforming to the Maryland General Corporation Law regarding the Preferred Shares with the State Department of Assessments and Taxation of the State of Maryland, satisfaction of all conditions for delivery of such depositary receipts established by the authorization of the Company’s Board of Trustees or an authorized committee thereof, and delivery of such depositary receipts by the Company against payment therefor in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20, 2006</w:t>
      </w:r>
    </w:p>
    <w:p>
      <w:pPr>
        <w:spacing w:after="0" w:line="151"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manner contemplated by, and in accordance with, the Registration Statement, the applicable prospectus supplement, the Deposit Agreement relating thereto, and such resolution,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26" w:lineRule="exact"/>
        <w:rPr>
          <w:sz w:val="20"/>
          <w:szCs w:val="20"/>
          <w:color w:val="auto"/>
        </w:rPr>
      </w:pPr>
    </w:p>
    <w:p>
      <w:pPr>
        <w:ind w:left="460" w:right="14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Upon (i) adoption by the Board of Trustees or an authorized committee thereof, of a resolution in form and content as required by applicable law, establishing or authorizing the terms of the Warrants and the applicable Warrant Agreement and (ii) due execution by the Company of such Warrants and such Warrant Agreement, satisfaction of all conditions for delivery of such Warrants established by the authorization of the Company’s Board of Trustees or an authorized committee thereof, and delivery of such Warrants by the Company against payment therefor in the manner contemplated by, and in accordance with, the Registration Statement, the applicable prospectus supplement, the Warrant Agreement relating thereto, and such resolution, the Warrants will constitute valid and binding obligations of the Company, enforceable against the Company in accordance with their terms.</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opinions in Paragraphs 1, 4 and 5 above are subject to and limited by the effect of bankruptcy, insolvency, fraudulent conveyance and other similar laws affecting or relating to the rights of creditors generally, and are limited by general equitable principles.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opinion is limited to the laws of the United States, the State of Maryland and, with respect to the opinion expressed in Paragraph 1 above, the State of New York contract law (but not including any statutes, ordinances, administrative decisions, rules or regulations of any political subdivision of the State of New York), in each case excluding choice-of-law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therein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20, 2006</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/s/ Pillsbury Winthrop Shaw Pittman LLP</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PITTMAN LLP</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8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PILLSBURY WINTHROP SHAW PITTMAN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20,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 (the “Commission”).</w:t>
      </w:r>
    </w:p>
    <w:p>
      <w:pPr>
        <w:spacing w:after="0" w:line="130"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09"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67" w:name="page68"/>
    <w:bookmarkEnd w:id="6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20,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99"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(2006) taxable year and for future taxable years, and (iii) the discussions in the Prospectus under the caption “Federal Income Tax Consequences,” to the extent that they discuss matters of law or legal conclusions or purport to describe certain provisions of the federal tax laws, are correct summaries of the matters discussed therein, and the opinions of such counsel appearing in the Prospectus under “Federal Income Tax Consequences” are hereby confirmed.</w:t>
      </w:r>
    </w:p>
    <w:p>
      <w:pPr>
        <w:spacing w:after="0" w:line="105"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80" w:right="2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20,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320"/>
          </w:cols>
          <w:pgMar w:left="240" w:top="280" w:right="339" w:bottom="1440" w:gutter="0" w:footer="0" w:header="0"/>
        </w:sectPr>
      </w:pPr>
    </w:p>
    <w:bookmarkStart w:id="69" w:name="page70"/>
    <w:bookmarkEnd w:id="69"/>
    <w:p>
      <w:pPr>
        <w:ind w:left="1032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right="4800"/>
        <w:spacing w:after="0" w:line="261" w:lineRule="auto"/>
        <w:rPr>
          <w:sz w:val="20"/>
          <w:szCs w:val="20"/>
          <w:color w:val="auto"/>
        </w:rPr>
      </w:pPr>
      <w:r>
        <w:rPr>
          <w:rFonts w:ascii="Arial" w:cs="Arial" w:eastAsia="Arial" w:hAnsi="Arial"/>
          <w:sz w:val="18"/>
          <w:szCs w:val="18"/>
          <w:color w:val="auto"/>
        </w:rPr>
        <w:t>Computation of Ratio of Earnings to Combined Fixed Charges and Preferred Stock Dividends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w w:val="91"/>
              </w:rPr>
              <w:t>Income from continuing operations before minority interests and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640"/>
              <w:spacing w:after="0"/>
              <w:rPr>
                <w:sz w:val="20"/>
                <w:szCs w:val="20"/>
                <w:color w:val="auto"/>
              </w:rPr>
            </w:pPr>
            <w:r>
              <w:rPr>
                <w:rFonts w:ascii="Arial" w:cs="Arial" w:eastAsia="Arial" w:hAnsi="Arial"/>
                <w:sz w:val="18"/>
                <w:szCs w:val="18"/>
                <w:color w:val="auto"/>
              </w:rPr>
              <w:t>from equity investees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$23,265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$20,586</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88,672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73,063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41,848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24,812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90,491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87,023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77,120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income of subsidiaries with no fixed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47,964</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42,556</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177,935</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153,504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147,932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106,341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$24,280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$22,063</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88,566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$23,478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96,182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Preferred stock dividends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11,475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15,084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redemption costs</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Total fixed charges and preferred stock dividends (C)</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28,385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26,347</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107,657</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103,619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109,086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109,834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1"/>
              </w:rPr>
              <w:t>Ratio of earnings to combined fixed charges and preferred stock dividends (A</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divided by 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have issued our reports dated February 27, 2006, accompanying the consolidated financial statements and schedules, and management’s assessment of the effectiveness of internal control over financial reporting, included in the Annual Report of Federal Realty Investment Trust on Form 10-K for the year ended December 31, 2005. We hereby consent to the incorporation by reference of said reports in the Registration Statement of Federal Realty Investment Trust on Form S-3.</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20,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lvl w:ilvl="1">
      <w:lvlJc w:val="left"/>
      <w:lvlText w:val="•"/>
      <w:numFmt w:val="bullet"/>
      <w:start w:val="1"/>
    </w:lvl>
  </w:abstractNum>
  <w:abstractNum w:abstractNumId="16">
    <w:nsid w:val="520EEDD1"/>
    <w:multiLevelType w:val="hybridMultilevel"/>
    <w:lvl w:ilvl="0">
      <w:lvlJc w:val="left"/>
      <w:lvlText w:val="•"/>
      <w:numFmt w:val="bullet"/>
      <w:start w:val="1"/>
    </w:lvl>
    <w:lvl w:ilvl="1">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1"/>
    </w:lvl>
    <w:lvl w:ilvl="1">
      <w:lvlJc w:val="left"/>
      <w:lvlText w:val="(%2)"/>
      <w:numFmt w:val="lowerLetter"/>
      <w:start w:val="1"/>
    </w:lvl>
  </w:abstractNum>
  <w:abstractNum w:abstractNumId="23">
    <w:nsid w:val="1CF10FD8"/>
    <w:multiLevelType w:val="hybridMultilevel"/>
    <w:lvl w:ilvl="0">
      <w:lvlJc w:val="left"/>
      <w:lvlText w:val="%1."/>
      <w:numFmt w:val="decimal"/>
      <w:start w:val="7"/>
    </w:lvl>
    <w:lvl w:ilvl="1">
      <w:lvlJc w:val="left"/>
      <w:lvlText w:val="(%2)"/>
      <w:numFmt w:val="lowerLetter"/>
      <w:start w:val="1"/>
    </w:lvl>
  </w:abstractNum>
  <w:abstractNum w:abstractNumId="24">
    <w:nsid w:val="180115BE"/>
    <w:multiLevelType w:val="hybridMultilevel"/>
    <w:lvl w:ilvl="0">
      <w:lvlJc w:val="left"/>
      <w:lvlText w:val="%1"/>
      <w:numFmt w:val="decimal"/>
      <w:start w:val="1"/>
    </w:lvl>
    <w:lvl w:ilvl="1">
      <w:lvlJc w:val="left"/>
      <w:lvlText w:val="(%2)"/>
      <w:numFmt w:val="lowerLetter"/>
      <w:start w:val="4"/>
    </w:lvl>
  </w:abstractNum>
  <w:abstractNum w:abstractNumId="25">
    <w:nsid w:val="235BA861"/>
    <w:multiLevelType w:val="hybridMultilevel"/>
    <w:lvl w:ilvl="0">
      <w:lvlJc w:val="left"/>
      <w:lvlText w:val="%1."/>
      <w:numFmt w:val="decimal"/>
      <w:start w:val="8"/>
    </w:lvl>
    <w:lvl w:ilvl="1">
      <w:lvlJc w:val="left"/>
      <w:lvlText w:val="%2"/>
      <w:numFmt w:val="lowerLetter"/>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lvl w:ilvl="1">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a"/>
      <w:numFmt w:val="bullet"/>
      <w:start w:val="1"/>
    </w:lvl>
    <w:lvl w:ilvl="1">
      <w:lvlJc w:val="left"/>
      <w:lvlText w:val="•"/>
      <w:numFmt w:val="bullet"/>
      <w:start w:val="1"/>
    </w:lvl>
  </w:abstractNum>
  <w:abstractNum w:abstractNumId="30">
    <w:nsid w:val="D34B6A8"/>
    <w:multiLevelType w:val="hybridMultilevel"/>
    <w:lvl w:ilvl="0">
      <w:lvlJc w:val="left"/>
      <w:lvlText w:val="•"/>
      <w:numFmt w:val="bullet"/>
      <w:start w:val="1"/>
    </w:lvl>
    <w:lvl w:ilvl="1">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lvl w:ilvl="1">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6"/>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lvl w:ilvl="1">
      <w:lvlJc w:val="left"/>
      <w:lvlText w:val="•"/>
      <w:numFmt w:val="bullet"/>
      <w:start w:val="1"/>
    </w:lvl>
  </w:abstractNum>
  <w:abstractNum w:abstractNumId="69">
    <w:nsid w:val="68EB2F63"/>
    <w:multiLevelType w:val="hybridMultilevel"/>
    <w:lvl w:ilvl="0">
      <w:lvlJc w:val="left"/>
      <w:lvlText w:val="(%1)"/>
      <w:numFmt w:val="lowerRoman"/>
      <w:start w:val="2"/>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amp;"/>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decimal"/>
      <w:start w:val="1"/>
    </w:lvl>
    <w:lvl w:ilvl="1">
      <w:lvlJc w:val="left"/>
      <w:lvlText w:val="(%2)"/>
      <w:numFmt w:val="lowerRoman"/>
      <w:start w:val="1"/>
    </w:lvl>
  </w:abstractNum>
  <w:abstractNum w:abstractNumId="81">
    <w:nsid w:val="94211F2"/>
    <w:multiLevelType w:val="hybridMultilevel"/>
    <w:lvl w:ilvl="0">
      <w:lvlJc w:val="left"/>
      <w:lvlText w:val="%1."/>
      <w:numFmt w:val="decimal"/>
      <w:start w:val="2"/>
    </w:lvl>
    <w:lvl w:ilvl="1">
      <w:lvlJc w:val="left"/>
      <w:lvlText w:val="(%2)"/>
      <w:numFmt w:val="upperLetter"/>
      <w:start w:val="1"/>
    </w:lvl>
  </w:abstractNum>
  <w:abstractNum w:abstractNumId="82">
    <w:nsid w:val="885E1B"/>
    <w:multiLevelType w:val="hybridMultilevel"/>
    <w:lvl w:ilvl="0">
      <w:lvlJc w:val="left"/>
      <w:lvlText w:val="%1."/>
      <w:numFmt w:val="decimal"/>
      <w:start w:val="5"/>
    </w:lvl>
    <w:lvl w:ilvl="1">
      <w:lvlJc w:val="left"/>
      <w:lvlText w:val="(%2)"/>
      <w:numFmt w:val="lowerRoman"/>
      <w:start w:val="1"/>
    </w:lvl>
  </w:abstractNum>
  <w:abstractNum w:abstractNumId="83">
    <w:nsid w:val="76272110"/>
    <w:multiLevelType w:val="hybridMultilevel"/>
    <w:lvl w:ilvl="0">
      <w:lvlJc w:val="left"/>
      <w:lvlText w:val="&amp;"/>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lowerRoman"/>
      <w:start w:val="2"/>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2019-12-12T08:59:13Z</dcterms:created>
  <dcterms:modified xsi:type="dcterms:W3CDTF">2019-12-12T08:59:13Z</dcterms:modified>
</cp:coreProperties>
</file>